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4301DA" w:rsidRPr="004C1BC2" w14:paraId="607371B9" w14:textId="77777777">
        <w:trPr>
          <w:cantSplit/>
        </w:trPr>
        <w:tc>
          <w:tcPr>
            <w:tcW w:w="6912" w:type="dxa"/>
          </w:tcPr>
          <w:p w14:paraId="0B59C96B" w14:textId="54BC0743" w:rsidR="004301DA" w:rsidRPr="004C1BC2" w:rsidRDefault="004301DA" w:rsidP="004301DA">
            <w:pPr>
              <w:spacing w:before="360"/>
            </w:pPr>
            <w:bookmarkStart w:id="0" w:name="dc06"/>
            <w:bookmarkEnd w:id="0"/>
            <w:r w:rsidRPr="00C51344">
              <w:rPr>
                <w:b/>
                <w:bCs/>
                <w:sz w:val="30"/>
                <w:szCs w:val="30"/>
              </w:rPr>
              <w:t>Conseil 2022</w:t>
            </w:r>
            <w:r w:rsidRPr="00C51344">
              <w:rPr>
                <w:rFonts w:ascii="Verdana" w:hAnsi="Verdana"/>
                <w:b/>
                <w:bCs/>
                <w:sz w:val="26"/>
                <w:szCs w:val="26"/>
              </w:rPr>
              <w:br/>
            </w:r>
            <w:r w:rsidRPr="00AC649C">
              <w:rPr>
                <w:b/>
                <w:bCs/>
                <w:sz w:val="26"/>
                <w:szCs w:val="26"/>
              </w:rPr>
              <w:t>Genève, 21-31 mars 2022</w:t>
            </w:r>
          </w:p>
        </w:tc>
        <w:tc>
          <w:tcPr>
            <w:tcW w:w="3261" w:type="dxa"/>
          </w:tcPr>
          <w:p w14:paraId="0E90B4C4" w14:textId="77777777" w:rsidR="004301DA" w:rsidRPr="004C1BC2" w:rsidRDefault="004301DA" w:rsidP="004301DA">
            <w:pPr>
              <w:spacing w:before="0"/>
            </w:pPr>
            <w:bookmarkStart w:id="1" w:name="ditulogo"/>
            <w:bookmarkEnd w:id="1"/>
            <w:r w:rsidRPr="004C1BC2">
              <w:rPr>
                <w:noProof/>
                <w:lang w:val="en-US"/>
              </w:rPr>
              <w:drawing>
                <wp:inline distT="0" distB="0" distL="0" distR="0" wp14:anchorId="2C8654A0" wp14:editId="38695AB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301DA" w:rsidRPr="004C1BC2" w14:paraId="4A4482C3" w14:textId="77777777" w:rsidTr="00761B6C">
        <w:trPr>
          <w:cantSplit/>
          <w:trHeight w:val="20"/>
        </w:trPr>
        <w:tc>
          <w:tcPr>
            <w:tcW w:w="6912" w:type="dxa"/>
            <w:tcBorders>
              <w:bottom w:val="single" w:sz="12" w:space="0" w:color="auto"/>
            </w:tcBorders>
            <w:vAlign w:val="center"/>
          </w:tcPr>
          <w:p w14:paraId="47DEAF72" w14:textId="77777777" w:rsidR="004301DA" w:rsidRPr="004C1BC2" w:rsidRDefault="004301DA" w:rsidP="004301DA">
            <w:pPr>
              <w:spacing w:before="0"/>
              <w:rPr>
                <w:b/>
                <w:bCs/>
                <w:sz w:val="26"/>
                <w:szCs w:val="26"/>
              </w:rPr>
            </w:pPr>
          </w:p>
        </w:tc>
        <w:tc>
          <w:tcPr>
            <w:tcW w:w="3261" w:type="dxa"/>
            <w:tcBorders>
              <w:bottom w:val="single" w:sz="12" w:space="0" w:color="auto"/>
            </w:tcBorders>
          </w:tcPr>
          <w:p w14:paraId="44FD737E" w14:textId="77777777" w:rsidR="004301DA" w:rsidRPr="004C1BC2" w:rsidRDefault="004301DA" w:rsidP="004301DA">
            <w:pPr>
              <w:spacing w:before="0"/>
              <w:rPr>
                <w:b/>
                <w:bCs/>
              </w:rPr>
            </w:pPr>
          </w:p>
        </w:tc>
      </w:tr>
      <w:tr w:rsidR="00520F36" w:rsidRPr="004C1BC2" w14:paraId="598E1112" w14:textId="77777777">
        <w:trPr>
          <w:cantSplit/>
          <w:trHeight w:val="20"/>
        </w:trPr>
        <w:tc>
          <w:tcPr>
            <w:tcW w:w="6912" w:type="dxa"/>
            <w:tcBorders>
              <w:top w:val="single" w:sz="12" w:space="0" w:color="auto"/>
            </w:tcBorders>
          </w:tcPr>
          <w:p w14:paraId="41595273" w14:textId="77777777" w:rsidR="00520F36" w:rsidRPr="004C1BC2" w:rsidRDefault="00520F36" w:rsidP="002178B4">
            <w:pPr>
              <w:spacing w:before="0"/>
              <w:rPr>
                <w:smallCaps/>
                <w:sz w:val="22"/>
              </w:rPr>
            </w:pPr>
          </w:p>
        </w:tc>
        <w:tc>
          <w:tcPr>
            <w:tcW w:w="3261" w:type="dxa"/>
            <w:tcBorders>
              <w:top w:val="single" w:sz="12" w:space="0" w:color="auto"/>
            </w:tcBorders>
          </w:tcPr>
          <w:p w14:paraId="1ABCD6ED" w14:textId="77777777" w:rsidR="00520F36" w:rsidRPr="004C1BC2" w:rsidRDefault="00520F36" w:rsidP="002178B4">
            <w:pPr>
              <w:spacing w:before="0"/>
              <w:rPr>
                <w:b/>
                <w:bCs/>
              </w:rPr>
            </w:pPr>
          </w:p>
        </w:tc>
      </w:tr>
      <w:tr w:rsidR="00520F36" w:rsidRPr="004C1BC2" w14:paraId="045DD9E4" w14:textId="77777777">
        <w:trPr>
          <w:cantSplit/>
          <w:trHeight w:val="20"/>
        </w:trPr>
        <w:tc>
          <w:tcPr>
            <w:tcW w:w="6912" w:type="dxa"/>
            <w:vMerge w:val="restart"/>
          </w:tcPr>
          <w:p w14:paraId="3A31CA9D" w14:textId="1DC2222C" w:rsidR="00520F36" w:rsidRPr="004C1BC2" w:rsidRDefault="005265FE" w:rsidP="002178B4">
            <w:pPr>
              <w:spacing w:before="0"/>
              <w:rPr>
                <w:rFonts w:cs="Times"/>
                <w:b/>
                <w:bCs/>
                <w:szCs w:val="24"/>
              </w:rPr>
            </w:pPr>
            <w:bookmarkStart w:id="2" w:name="dnum" w:colFirst="1" w:colLast="1"/>
            <w:bookmarkStart w:id="3" w:name="dmeeting" w:colFirst="0" w:colLast="0"/>
            <w:r w:rsidRPr="004C1BC2">
              <w:rPr>
                <w:rFonts w:cs="Times"/>
                <w:b/>
                <w:bCs/>
                <w:szCs w:val="24"/>
              </w:rPr>
              <w:t>Point de l'ordre du jour: ADM 1</w:t>
            </w:r>
            <w:r w:rsidR="004301DA">
              <w:rPr>
                <w:rFonts w:cs="Times"/>
                <w:b/>
                <w:bCs/>
                <w:szCs w:val="24"/>
              </w:rPr>
              <w:t>1</w:t>
            </w:r>
          </w:p>
        </w:tc>
        <w:tc>
          <w:tcPr>
            <w:tcW w:w="3261" w:type="dxa"/>
          </w:tcPr>
          <w:p w14:paraId="2336B22B" w14:textId="5CA6F317" w:rsidR="00520F36" w:rsidRPr="004C1BC2" w:rsidRDefault="00520F36" w:rsidP="002178B4">
            <w:pPr>
              <w:spacing w:before="0"/>
              <w:rPr>
                <w:b/>
                <w:bCs/>
              </w:rPr>
            </w:pPr>
            <w:r w:rsidRPr="004C1BC2">
              <w:rPr>
                <w:b/>
                <w:bCs/>
              </w:rPr>
              <w:t>Document C</w:t>
            </w:r>
            <w:r w:rsidR="009C353C" w:rsidRPr="004C1BC2">
              <w:rPr>
                <w:b/>
                <w:bCs/>
              </w:rPr>
              <w:t>2</w:t>
            </w:r>
            <w:r w:rsidR="004301DA">
              <w:rPr>
                <w:b/>
                <w:bCs/>
              </w:rPr>
              <w:t>2</w:t>
            </w:r>
            <w:r w:rsidRPr="004C1BC2">
              <w:rPr>
                <w:b/>
                <w:bCs/>
              </w:rPr>
              <w:t>/</w:t>
            </w:r>
            <w:r w:rsidR="005265FE" w:rsidRPr="004C1BC2">
              <w:rPr>
                <w:b/>
                <w:bCs/>
              </w:rPr>
              <w:t>42</w:t>
            </w:r>
            <w:r w:rsidRPr="004C1BC2">
              <w:rPr>
                <w:b/>
                <w:bCs/>
              </w:rPr>
              <w:t>-F</w:t>
            </w:r>
          </w:p>
        </w:tc>
      </w:tr>
      <w:tr w:rsidR="00520F36" w:rsidRPr="004C1BC2" w14:paraId="6E55EC49" w14:textId="77777777">
        <w:trPr>
          <w:cantSplit/>
          <w:trHeight w:val="20"/>
        </w:trPr>
        <w:tc>
          <w:tcPr>
            <w:tcW w:w="6912" w:type="dxa"/>
            <w:vMerge/>
          </w:tcPr>
          <w:p w14:paraId="1F7CB122" w14:textId="77777777" w:rsidR="00520F36" w:rsidRPr="004C1BC2" w:rsidRDefault="00520F36" w:rsidP="002178B4">
            <w:pPr>
              <w:shd w:val="solid" w:color="FFFFFF" w:fill="FFFFFF"/>
              <w:spacing w:before="180"/>
              <w:rPr>
                <w:smallCaps/>
              </w:rPr>
            </w:pPr>
            <w:bookmarkStart w:id="4" w:name="ddate" w:colFirst="1" w:colLast="1"/>
            <w:bookmarkEnd w:id="2"/>
            <w:bookmarkEnd w:id="3"/>
          </w:p>
        </w:tc>
        <w:tc>
          <w:tcPr>
            <w:tcW w:w="3261" w:type="dxa"/>
          </w:tcPr>
          <w:p w14:paraId="0DA42CC3" w14:textId="334BB9A4" w:rsidR="00520F36" w:rsidRPr="004C1BC2" w:rsidRDefault="005265FE" w:rsidP="002178B4">
            <w:pPr>
              <w:spacing w:before="0"/>
              <w:rPr>
                <w:b/>
                <w:bCs/>
              </w:rPr>
            </w:pPr>
            <w:r w:rsidRPr="004C1BC2">
              <w:rPr>
                <w:b/>
                <w:bCs/>
              </w:rPr>
              <w:t>1</w:t>
            </w:r>
            <w:r w:rsidR="004301DA">
              <w:rPr>
                <w:b/>
                <w:bCs/>
              </w:rPr>
              <w:t>8</w:t>
            </w:r>
            <w:r w:rsidRPr="004C1BC2">
              <w:rPr>
                <w:b/>
                <w:bCs/>
              </w:rPr>
              <w:t xml:space="preserve"> </w:t>
            </w:r>
            <w:r w:rsidR="004301DA">
              <w:rPr>
                <w:b/>
                <w:bCs/>
              </w:rPr>
              <w:t>janvier</w:t>
            </w:r>
            <w:r w:rsidRPr="004C1BC2">
              <w:rPr>
                <w:b/>
                <w:bCs/>
              </w:rPr>
              <w:t xml:space="preserve"> 2021</w:t>
            </w:r>
          </w:p>
        </w:tc>
      </w:tr>
      <w:tr w:rsidR="00520F36" w:rsidRPr="004C1BC2" w14:paraId="10EC87E1" w14:textId="77777777">
        <w:trPr>
          <w:cantSplit/>
          <w:trHeight w:val="20"/>
        </w:trPr>
        <w:tc>
          <w:tcPr>
            <w:tcW w:w="6912" w:type="dxa"/>
            <w:vMerge/>
          </w:tcPr>
          <w:p w14:paraId="7156963E" w14:textId="77777777" w:rsidR="00520F36" w:rsidRPr="004C1BC2" w:rsidRDefault="00520F36" w:rsidP="002178B4">
            <w:pPr>
              <w:shd w:val="solid" w:color="FFFFFF" w:fill="FFFFFF"/>
              <w:spacing w:before="180"/>
              <w:rPr>
                <w:smallCaps/>
              </w:rPr>
            </w:pPr>
            <w:bookmarkStart w:id="5" w:name="dorlang" w:colFirst="1" w:colLast="1"/>
            <w:bookmarkEnd w:id="4"/>
          </w:p>
        </w:tc>
        <w:tc>
          <w:tcPr>
            <w:tcW w:w="3261" w:type="dxa"/>
          </w:tcPr>
          <w:p w14:paraId="21CEADC1" w14:textId="77777777" w:rsidR="00520F36" w:rsidRPr="004C1BC2" w:rsidRDefault="00520F36" w:rsidP="002178B4">
            <w:pPr>
              <w:spacing w:before="0"/>
              <w:rPr>
                <w:b/>
                <w:bCs/>
              </w:rPr>
            </w:pPr>
            <w:r w:rsidRPr="004C1BC2">
              <w:rPr>
                <w:b/>
                <w:bCs/>
              </w:rPr>
              <w:t>Original: anglais</w:t>
            </w:r>
          </w:p>
        </w:tc>
      </w:tr>
      <w:tr w:rsidR="00520F36" w:rsidRPr="004C1BC2" w14:paraId="004C1822" w14:textId="77777777">
        <w:trPr>
          <w:cantSplit/>
        </w:trPr>
        <w:tc>
          <w:tcPr>
            <w:tcW w:w="10173" w:type="dxa"/>
            <w:gridSpan w:val="2"/>
          </w:tcPr>
          <w:p w14:paraId="5D257025" w14:textId="77777777" w:rsidR="00520F36" w:rsidRPr="004C1BC2" w:rsidRDefault="005265FE" w:rsidP="002178B4">
            <w:pPr>
              <w:pStyle w:val="Source"/>
            </w:pPr>
            <w:bookmarkStart w:id="6" w:name="dsource" w:colFirst="0" w:colLast="0"/>
            <w:bookmarkEnd w:id="5"/>
            <w:r w:rsidRPr="004C1BC2">
              <w:t>Rapport du Secrétaire général</w:t>
            </w:r>
          </w:p>
        </w:tc>
      </w:tr>
      <w:tr w:rsidR="00520F36" w:rsidRPr="004C1BC2" w14:paraId="64732240" w14:textId="77777777">
        <w:trPr>
          <w:cantSplit/>
        </w:trPr>
        <w:tc>
          <w:tcPr>
            <w:tcW w:w="10173" w:type="dxa"/>
            <w:gridSpan w:val="2"/>
          </w:tcPr>
          <w:p w14:paraId="024677EB" w14:textId="085EFE35" w:rsidR="00520F36" w:rsidRPr="004C1BC2" w:rsidRDefault="005265FE" w:rsidP="002178B4">
            <w:pPr>
              <w:pStyle w:val="Title1"/>
            </w:pPr>
            <w:bookmarkStart w:id="7" w:name="_Toc387166326"/>
            <w:bookmarkStart w:id="8" w:name="_Toc387166604"/>
            <w:bookmarkStart w:id="9" w:name="_Toc395260890"/>
            <w:bookmarkStart w:id="10" w:name="_Toc395261091"/>
            <w:bookmarkStart w:id="11" w:name="_Hlk96674291"/>
            <w:bookmarkStart w:id="12" w:name="dtitle1" w:colFirst="0" w:colLast="0"/>
            <w:bookmarkEnd w:id="6"/>
            <w:r w:rsidRPr="004C1BC2">
              <w:t>RAPPORT DE GESTION FINANCIÈRE POUR L'EXERCICE</w:t>
            </w:r>
            <w:r w:rsidR="002178B4" w:rsidRPr="004C1BC2">
              <w:t xml:space="preserve"> </w:t>
            </w:r>
            <w:r w:rsidRPr="004C1BC2">
              <w:t>FINANCIER</w:t>
            </w:r>
            <w:r w:rsidR="002178B4" w:rsidRPr="004C1BC2">
              <w:t xml:space="preserve"> </w:t>
            </w:r>
            <w:r w:rsidRPr="004C1BC2">
              <w:t>20</w:t>
            </w:r>
            <w:bookmarkEnd w:id="7"/>
            <w:bookmarkEnd w:id="8"/>
            <w:bookmarkEnd w:id="9"/>
            <w:bookmarkEnd w:id="10"/>
            <w:r w:rsidRPr="004C1BC2">
              <w:t>20</w:t>
            </w:r>
            <w:bookmarkEnd w:id="11"/>
          </w:p>
        </w:tc>
      </w:tr>
      <w:bookmarkEnd w:id="12"/>
    </w:tbl>
    <w:p w14:paraId="2FF5DC16" w14:textId="77777777" w:rsidR="00520F36" w:rsidRPr="004C1BC2" w:rsidRDefault="00520F36" w:rsidP="002178B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4C1BC2" w14:paraId="3256826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60912A9" w14:textId="77777777" w:rsidR="00520F36" w:rsidRPr="004C1BC2" w:rsidRDefault="00520F36" w:rsidP="002178B4">
            <w:pPr>
              <w:pStyle w:val="Headingb"/>
            </w:pPr>
            <w:bookmarkStart w:id="13" w:name="_Toc73354266"/>
            <w:bookmarkStart w:id="14" w:name="_Toc73354401"/>
            <w:bookmarkStart w:id="15" w:name="_Toc73356354"/>
            <w:r w:rsidRPr="004C1BC2">
              <w:t>Résumé</w:t>
            </w:r>
            <w:bookmarkEnd w:id="13"/>
            <w:bookmarkEnd w:id="14"/>
            <w:bookmarkEnd w:id="15"/>
          </w:p>
          <w:p w14:paraId="251D88A1" w14:textId="77777777" w:rsidR="005265FE" w:rsidRPr="004C1BC2" w:rsidRDefault="005265FE" w:rsidP="002178B4">
            <w:r w:rsidRPr="004C1BC2">
              <w:t>Aux termes du numéro 101 de la Convention de l'Union internationale des télécommunications et de l'Article 30 du Règlement financier de l'Union, le Secrétaire général est prié de soumettre, chaque année au Conseil, un rapport de gestion financière.</w:t>
            </w:r>
          </w:p>
          <w:p w14:paraId="790F5AE8" w14:textId="77777777" w:rsidR="005265FE" w:rsidRPr="004C1BC2" w:rsidRDefault="005265FE" w:rsidP="002178B4">
            <w:r w:rsidRPr="004C1BC2">
              <w:t>Le rapport de gestion financière pour l'exercice financier 2020 présente:</w:t>
            </w:r>
          </w:p>
          <w:p w14:paraId="5D1F6EFD" w14:textId="192CBE8C" w:rsidR="005265FE" w:rsidRPr="004C1BC2" w:rsidRDefault="005265FE" w:rsidP="002178B4">
            <w:pPr>
              <w:pStyle w:val="enumlev1"/>
            </w:pPr>
            <w:r w:rsidRPr="004C1BC2">
              <w:t>•</w:t>
            </w:r>
            <w:r w:rsidRPr="004C1BC2">
              <w:tab/>
            </w:r>
            <w:r w:rsidR="003B04AA">
              <w:t>l</w:t>
            </w:r>
            <w:r w:rsidRPr="004C1BC2">
              <w:t>es comptes vérifiés de l'exercice in</w:t>
            </w:r>
            <w:r w:rsidR="003B04AA">
              <w:t>ancier2020 du budget de l'Union;</w:t>
            </w:r>
          </w:p>
          <w:p w14:paraId="19F1D1BB" w14:textId="2EDF5E1D" w:rsidR="005265FE" w:rsidRPr="004C1BC2" w:rsidRDefault="005265FE" w:rsidP="002178B4">
            <w:pPr>
              <w:pStyle w:val="enumlev1"/>
              <w:rPr>
                <w:bCs/>
              </w:rPr>
            </w:pPr>
            <w:r w:rsidRPr="004C1BC2">
              <w:t>•</w:t>
            </w:r>
            <w:r w:rsidRPr="004C1BC2">
              <w:tab/>
            </w:r>
            <w:r w:rsidR="003B04AA">
              <w:rPr>
                <w:bCs/>
              </w:rPr>
              <w:t>l</w:t>
            </w:r>
            <w:r w:rsidRPr="004C1BC2">
              <w:rPr>
                <w:bCs/>
              </w:rPr>
              <w:t>es comptes vérifiés de 2020 pour les projets de coopération technique, les contributions volontaires et la Caisse d'assurance du personnel</w:t>
            </w:r>
            <w:r w:rsidR="002178B4" w:rsidRPr="004C1BC2">
              <w:rPr>
                <w:bCs/>
              </w:rPr>
              <w:t xml:space="preserve"> </w:t>
            </w:r>
            <w:r w:rsidR="003B04AA">
              <w:rPr>
                <w:bCs/>
              </w:rPr>
              <w:t>de l'UIT;</w:t>
            </w:r>
          </w:p>
          <w:p w14:paraId="6D07A309" w14:textId="341FCCCC" w:rsidR="00520F36" w:rsidRPr="004C1BC2" w:rsidRDefault="005265FE" w:rsidP="002178B4">
            <w:pPr>
              <w:pStyle w:val="enumlev1"/>
            </w:pPr>
            <w:r w:rsidRPr="004C1BC2">
              <w:rPr>
                <w:bCs/>
              </w:rPr>
              <w:t>•</w:t>
            </w:r>
            <w:r w:rsidRPr="004C1BC2">
              <w:rPr>
                <w:bCs/>
              </w:rPr>
              <w:tab/>
            </w:r>
            <w:r w:rsidR="003B04AA">
              <w:t>l</w:t>
            </w:r>
            <w:r w:rsidRPr="004C1BC2">
              <w:t>es comptes vérifiés relatifs à la manifestation ITU Telecom World 2020.</w:t>
            </w:r>
          </w:p>
          <w:p w14:paraId="590681A3" w14:textId="77777777" w:rsidR="00520F36" w:rsidRPr="004C1BC2" w:rsidRDefault="00520F36" w:rsidP="002178B4">
            <w:pPr>
              <w:pStyle w:val="Headingb"/>
            </w:pPr>
            <w:bookmarkStart w:id="16" w:name="_Toc73354267"/>
            <w:bookmarkStart w:id="17" w:name="_Toc73354402"/>
            <w:bookmarkStart w:id="18" w:name="_Toc73356355"/>
            <w:r w:rsidRPr="004C1BC2">
              <w:t>Suite à donner</w:t>
            </w:r>
            <w:bookmarkEnd w:id="16"/>
            <w:bookmarkEnd w:id="17"/>
            <w:bookmarkEnd w:id="18"/>
          </w:p>
          <w:p w14:paraId="69A81D4F" w14:textId="77777777" w:rsidR="005265FE" w:rsidRPr="004C1BC2" w:rsidRDefault="005265FE" w:rsidP="002178B4">
            <w:r w:rsidRPr="004C1BC2">
              <w:t xml:space="preserve">Le rapport de gestion financière sur les comptes vérifiés ainsi que le projet de Résolution figurant à l'Annexe A sont soumis au Conseil pour </w:t>
            </w:r>
            <w:r w:rsidRPr="004C1BC2">
              <w:rPr>
                <w:b/>
                <w:bCs/>
              </w:rPr>
              <w:t xml:space="preserve">examen </w:t>
            </w:r>
            <w:r w:rsidRPr="004C1BC2">
              <w:t xml:space="preserve">et </w:t>
            </w:r>
            <w:r w:rsidRPr="004C1BC2">
              <w:rPr>
                <w:b/>
                <w:bCs/>
              </w:rPr>
              <w:t>approbation</w:t>
            </w:r>
            <w:r w:rsidRPr="004C1BC2">
              <w:t>.</w:t>
            </w:r>
          </w:p>
          <w:p w14:paraId="71794A65" w14:textId="77777777" w:rsidR="00520F36" w:rsidRPr="004C1BC2" w:rsidRDefault="005265FE" w:rsidP="002178B4">
            <w:r w:rsidRPr="004C1BC2">
              <w:t>Une fois examiné et approuvé par le Conseil, le rapport sera communiqué aux États Membres et aux Membres de Secteur.</w:t>
            </w:r>
          </w:p>
          <w:p w14:paraId="5527F7B5" w14:textId="77777777" w:rsidR="00520F36" w:rsidRPr="004C1BC2" w:rsidRDefault="00520F36" w:rsidP="002178B4">
            <w:pPr>
              <w:pStyle w:val="Table"/>
              <w:keepNext w:val="0"/>
              <w:spacing w:before="0" w:after="0"/>
              <w:rPr>
                <w:rFonts w:ascii="Calibri" w:hAnsi="Calibri"/>
                <w:caps w:val="0"/>
                <w:sz w:val="22"/>
                <w:lang w:val="fr-FR"/>
              </w:rPr>
            </w:pPr>
            <w:r w:rsidRPr="004C1BC2">
              <w:rPr>
                <w:rFonts w:ascii="Calibri" w:hAnsi="Calibri"/>
                <w:caps w:val="0"/>
                <w:sz w:val="22"/>
                <w:lang w:val="fr-FR"/>
              </w:rPr>
              <w:t>____________</w:t>
            </w:r>
          </w:p>
          <w:p w14:paraId="7956ADB2" w14:textId="77777777" w:rsidR="00520F36" w:rsidRPr="004C1BC2" w:rsidRDefault="00520F36" w:rsidP="002178B4">
            <w:pPr>
              <w:pStyle w:val="Headingb"/>
            </w:pPr>
            <w:bookmarkStart w:id="19" w:name="_Toc73354268"/>
            <w:bookmarkStart w:id="20" w:name="_Toc73354403"/>
            <w:bookmarkStart w:id="21" w:name="_Toc73356356"/>
            <w:r w:rsidRPr="004C1BC2">
              <w:t>Références</w:t>
            </w:r>
            <w:bookmarkEnd w:id="19"/>
            <w:bookmarkEnd w:id="20"/>
            <w:bookmarkEnd w:id="21"/>
          </w:p>
          <w:p w14:paraId="0D5288CB" w14:textId="77777777" w:rsidR="00520F36" w:rsidRPr="004C1BC2" w:rsidRDefault="005265FE" w:rsidP="002178B4">
            <w:pPr>
              <w:spacing w:after="120"/>
              <w:rPr>
                <w:i/>
                <w:iCs/>
              </w:rPr>
            </w:pPr>
            <w:r w:rsidRPr="004C1BC2">
              <w:rPr>
                <w:i/>
                <w:iCs/>
              </w:rPr>
              <w:t xml:space="preserve">Numéro </w:t>
            </w:r>
            <w:hyperlink r:id="rId9" w:history="1">
              <w:r w:rsidRPr="004C1BC2">
                <w:rPr>
                  <w:rStyle w:val="Hyperlink"/>
                  <w:i/>
                  <w:iCs/>
                </w:rPr>
                <w:t>101</w:t>
              </w:r>
            </w:hyperlink>
            <w:r w:rsidRPr="004C1BC2">
              <w:rPr>
                <w:i/>
                <w:iCs/>
              </w:rPr>
              <w:t xml:space="preserve"> de la Convention</w:t>
            </w:r>
            <w:r w:rsidRPr="004C1BC2">
              <w:rPr>
                <w:i/>
                <w:iCs/>
              </w:rPr>
              <w:br/>
            </w:r>
            <w:hyperlink r:id="rId10" w:history="1">
              <w:r w:rsidRPr="004C1BC2">
                <w:rPr>
                  <w:rStyle w:val="Hyperlink"/>
                  <w:i/>
                  <w:iCs/>
                </w:rPr>
                <w:t>Article 30</w:t>
              </w:r>
            </w:hyperlink>
            <w:r w:rsidRPr="004C1BC2">
              <w:rPr>
                <w:i/>
                <w:iCs/>
              </w:rPr>
              <w:t> du Règlement financier de l'Union</w:t>
            </w:r>
          </w:p>
        </w:tc>
      </w:tr>
    </w:tbl>
    <w:p w14:paraId="1DDBA56A" w14:textId="77777777" w:rsidR="005265FE" w:rsidRPr="004C1BC2" w:rsidRDefault="005265FE" w:rsidP="002178B4">
      <w:pPr>
        <w:spacing w:before="1200"/>
      </w:pPr>
      <w:r w:rsidRPr="004C1BC2">
        <w:rPr>
          <w:b/>
          <w:bCs/>
        </w:rPr>
        <w:t>Annexes</w:t>
      </w:r>
      <w:r w:rsidRPr="004C1BC2">
        <w:t>: 12</w:t>
      </w:r>
    </w:p>
    <w:p w14:paraId="0E659513" w14:textId="77777777" w:rsidR="005265FE" w:rsidRPr="004C1BC2" w:rsidRDefault="005265FE" w:rsidP="002178B4">
      <w:pPr>
        <w:spacing w:before="360"/>
      </w:pPr>
      <w:r w:rsidRPr="004C1BC2">
        <w:br w:type="page"/>
      </w:r>
    </w:p>
    <w:p w14:paraId="6A14AAE7" w14:textId="77777777" w:rsidR="005265FE" w:rsidRPr="004C1BC2" w:rsidRDefault="005265FE" w:rsidP="002178B4">
      <w:pPr>
        <w:pStyle w:val="Title"/>
        <w:spacing w:before="840"/>
        <w:rPr>
          <w:sz w:val="28"/>
          <w:szCs w:val="28"/>
        </w:rPr>
      </w:pPr>
      <w:r w:rsidRPr="004C1BC2">
        <w:rPr>
          <w:noProof/>
          <w:lang w:val="en-US" w:eastAsia="en-US"/>
        </w:rPr>
        <w:lastRenderedPageBreak/>
        <w:drawing>
          <wp:inline distT="0" distB="0" distL="0" distR="0" wp14:anchorId="5488C290" wp14:editId="1D9D041A">
            <wp:extent cx="684000" cy="738000"/>
            <wp:effectExtent l="0" t="0" r="1905" b="5080"/>
            <wp:docPr id="1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35ED582E" w14:textId="77777777" w:rsidR="005265FE" w:rsidRPr="004C1BC2" w:rsidRDefault="005265FE" w:rsidP="002178B4">
      <w:pPr>
        <w:pStyle w:val="Title4"/>
        <w:spacing w:before="360"/>
      </w:pPr>
      <w:r w:rsidRPr="004C1BC2">
        <w:t>Rapport de gestion financière</w:t>
      </w:r>
    </w:p>
    <w:p w14:paraId="6D5CA4A4" w14:textId="77777777" w:rsidR="005265FE" w:rsidRPr="004C1BC2" w:rsidRDefault="005265FE" w:rsidP="002178B4">
      <w:pPr>
        <w:spacing w:before="600"/>
      </w:pPr>
      <w:r w:rsidRPr="004C1BC2">
        <w:t xml:space="preserve">Le présent rapport de gestion financière </w:t>
      </w:r>
      <w:r w:rsidRPr="004C1BC2">
        <w:rPr>
          <w:color w:val="000000" w:themeColor="text1"/>
        </w:rPr>
        <w:t>sur les comptes vérifiés</w:t>
      </w:r>
      <w:r w:rsidRPr="004C1BC2">
        <w:t xml:space="preserve"> donne les résultats financiers au 31 décembre 2020 des comptes tenus par l'Union internationale des télécommunications (UIT), conformément aux dispositions de l'Article 30 du Règlement financier de l'Union (édition de 2018).</w:t>
      </w:r>
    </w:p>
    <w:p w14:paraId="16250FCE" w14:textId="77777777" w:rsidR="005265FE" w:rsidRPr="004C1BC2" w:rsidRDefault="005265FE" w:rsidP="003B04AA">
      <w:r w:rsidRPr="004C1BC2">
        <w:t>Les états financiers s</w:t>
      </w:r>
      <w:r w:rsidRPr="004C1BC2">
        <w:rPr>
          <w:color w:val="000000"/>
        </w:rPr>
        <w:t>ont établis conformément aux Normes comptables internationales pour le secteur public (IPSAS) depuis 2010 et couvrent les points suivants</w:t>
      </w:r>
      <w:r w:rsidRPr="004C1BC2">
        <w:t>:</w:t>
      </w:r>
    </w:p>
    <w:p w14:paraId="26DC1ECA" w14:textId="77777777" w:rsidR="005265FE" w:rsidRPr="004C1BC2" w:rsidRDefault="005265FE" w:rsidP="002178B4">
      <w:pPr>
        <w:pStyle w:val="enumlev1"/>
      </w:pPr>
      <w:r w:rsidRPr="004C1BC2">
        <w:t>–</w:t>
      </w:r>
      <w:r w:rsidRPr="004C1BC2">
        <w:tab/>
        <w:t xml:space="preserve">L'exercice financier </w:t>
      </w:r>
      <w:r w:rsidRPr="004C1BC2">
        <w:rPr>
          <w:rFonts w:asciiTheme="minorHAnsi" w:hAnsiTheme="minorHAnsi"/>
          <w:szCs w:val="24"/>
        </w:rPr>
        <w:t xml:space="preserve">2020 </w:t>
      </w:r>
      <w:r w:rsidRPr="004C1BC2">
        <w:t>de l'Union.</w:t>
      </w:r>
    </w:p>
    <w:p w14:paraId="6595F3C3" w14:textId="77777777" w:rsidR="005265FE" w:rsidRPr="004C1BC2" w:rsidRDefault="005265FE" w:rsidP="002178B4">
      <w:pPr>
        <w:pStyle w:val="enumlev1"/>
      </w:pPr>
      <w:r w:rsidRPr="004C1BC2">
        <w:t>–</w:t>
      </w:r>
      <w:r w:rsidRPr="004C1BC2">
        <w:tab/>
        <w:t xml:space="preserve">La Caisse d'assurance du personnel de l'UIT pour l'exercice </w:t>
      </w:r>
      <w:r w:rsidRPr="004C1BC2">
        <w:rPr>
          <w:rFonts w:asciiTheme="minorHAnsi" w:hAnsiTheme="minorHAnsi"/>
          <w:szCs w:val="24"/>
        </w:rPr>
        <w:t>2020</w:t>
      </w:r>
      <w:r w:rsidRPr="004C1BC2">
        <w:t>.</w:t>
      </w:r>
    </w:p>
    <w:p w14:paraId="44B56B83" w14:textId="77777777" w:rsidR="005265FE" w:rsidRPr="004C1BC2" w:rsidRDefault="005265FE" w:rsidP="002178B4">
      <w:pPr>
        <w:pStyle w:val="enumlev1"/>
      </w:pPr>
      <w:r w:rsidRPr="004C1BC2">
        <w:t>–</w:t>
      </w:r>
      <w:r w:rsidRPr="004C1BC2">
        <w:tab/>
        <w:t xml:space="preserve">La Caisse commune des pensions du personnel des Nations Unies pour l'exercice </w:t>
      </w:r>
      <w:r w:rsidRPr="004C1BC2">
        <w:rPr>
          <w:rFonts w:asciiTheme="minorHAnsi" w:hAnsiTheme="minorHAnsi"/>
          <w:szCs w:val="24"/>
        </w:rPr>
        <w:t>2020</w:t>
      </w:r>
      <w:r w:rsidRPr="004C1BC2">
        <w:t>.</w:t>
      </w:r>
    </w:p>
    <w:p w14:paraId="7EEA5B1A" w14:textId="77777777" w:rsidR="005265FE" w:rsidRPr="004C1BC2" w:rsidRDefault="005265FE" w:rsidP="002178B4">
      <w:pPr>
        <w:pStyle w:val="enumlev1"/>
      </w:pPr>
      <w:r w:rsidRPr="004C1BC2">
        <w:t>–</w:t>
      </w:r>
      <w:r w:rsidRPr="004C1BC2">
        <w:tab/>
        <w:t xml:space="preserve">Les projets de coopération technique financés par le Programme des Nations Unies pour le développement (PNUD) pour l'exercice </w:t>
      </w:r>
      <w:r w:rsidRPr="004C1BC2">
        <w:rPr>
          <w:rFonts w:asciiTheme="minorHAnsi" w:hAnsiTheme="minorHAnsi"/>
          <w:szCs w:val="24"/>
        </w:rPr>
        <w:t>2020</w:t>
      </w:r>
      <w:r w:rsidRPr="004C1BC2">
        <w:t>.</w:t>
      </w:r>
    </w:p>
    <w:p w14:paraId="7FB5DE77" w14:textId="77777777" w:rsidR="005265FE" w:rsidRPr="004C1BC2" w:rsidRDefault="005265FE" w:rsidP="002178B4">
      <w:pPr>
        <w:pStyle w:val="enumlev1"/>
      </w:pPr>
      <w:r w:rsidRPr="004C1BC2">
        <w:t>–</w:t>
      </w:r>
      <w:r w:rsidRPr="004C1BC2">
        <w:tab/>
        <w:t>Les fonds d'affectation spéciale pour l'exercice 2020.</w:t>
      </w:r>
    </w:p>
    <w:p w14:paraId="7F247C54" w14:textId="77777777" w:rsidR="005265FE" w:rsidRPr="004C1BC2" w:rsidRDefault="005265FE" w:rsidP="002178B4">
      <w:pPr>
        <w:pStyle w:val="enumlev1"/>
      </w:pPr>
      <w:r w:rsidRPr="004C1BC2">
        <w:t>–</w:t>
      </w:r>
      <w:r w:rsidRPr="004C1BC2">
        <w:tab/>
        <w:t>Les contributions volontaires pour l'exercice 2020.</w:t>
      </w:r>
    </w:p>
    <w:p w14:paraId="35C2A185" w14:textId="77777777" w:rsidR="005265FE" w:rsidRPr="004C1BC2" w:rsidRDefault="005265FE" w:rsidP="002178B4">
      <w:pPr>
        <w:pStyle w:val="enumlev1"/>
      </w:pPr>
      <w:r w:rsidRPr="004C1BC2">
        <w:t>–</w:t>
      </w:r>
      <w:r w:rsidRPr="004C1BC2">
        <w:tab/>
        <w:t>Le Fonds pour le développement des technologies de l'information et de la communication pour l'exercice 2020.</w:t>
      </w:r>
    </w:p>
    <w:p w14:paraId="06BB40AA" w14:textId="77777777" w:rsidR="005265FE" w:rsidRPr="004C1BC2" w:rsidRDefault="005265FE" w:rsidP="002178B4">
      <w:pPr>
        <w:pStyle w:val="enumlev1"/>
      </w:pPr>
      <w:r w:rsidRPr="004C1BC2">
        <w:t>–</w:t>
      </w:r>
      <w:r w:rsidRPr="004C1BC2">
        <w:tab/>
        <w:t>La manifestation ITU TELECOM World 2020.</w:t>
      </w:r>
    </w:p>
    <w:p w14:paraId="58AC68F6" w14:textId="77777777" w:rsidR="005265FE" w:rsidRPr="004C1BC2" w:rsidRDefault="005265FE" w:rsidP="002178B4">
      <w:pPr>
        <w:pStyle w:val="enumlev1"/>
      </w:pPr>
      <w:r w:rsidRPr="004C1BC2">
        <w:t>–</w:t>
      </w:r>
      <w:r w:rsidRPr="004C1BC2">
        <w:tab/>
        <w:t>Le projet de nouveau bâtiment.</w:t>
      </w:r>
    </w:p>
    <w:p w14:paraId="69438FD7" w14:textId="77777777" w:rsidR="005265FE" w:rsidRPr="004C1BC2" w:rsidRDefault="005265FE" w:rsidP="002178B4">
      <w:pPr>
        <w:pStyle w:val="enumlev1"/>
      </w:pPr>
      <w:r w:rsidRPr="004C1BC2">
        <w:br w:type="page"/>
      </w:r>
    </w:p>
    <w:p w14:paraId="5FF20937" w14:textId="77777777" w:rsidR="005265FE" w:rsidRPr="004C1BC2" w:rsidRDefault="005265FE" w:rsidP="002178B4">
      <w:pPr>
        <w:pStyle w:val="Title3"/>
        <w:rPr>
          <w:b/>
          <w:bCs/>
        </w:rPr>
      </w:pPr>
      <w:r w:rsidRPr="004C1BC2">
        <w:rPr>
          <w:b/>
          <w:bCs/>
        </w:rPr>
        <w:lastRenderedPageBreak/>
        <w:t>Table des matières</w:t>
      </w:r>
    </w:p>
    <w:p w14:paraId="63586236" w14:textId="77777777" w:rsidR="005265FE" w:rsidRPr="004C1BC2" w:rsidRDefault="005265FE" w:rsidP="002178B4">
      <w:pPr>
        <w:pStyle w:val="toc0"/>
        <w:jc w:val="right"/>
      </w:pPr>
      <w:r w:rsidRPr="004C1BC2">
        <w:t>Page</w:t>
      </w:r>
    </w:p>
    <w:p w14:paraId="28AC5038" w14:textId="6EB3E1A7" w:rsidR="00911C64" w:rsidRDefault="00911C64">
      <w:pPr>
        <w:pStyle w:val="TOC1"/>
        <w:rPr>
          <w:rFonts w:asciiTheme="minorHAnsi" w:eastAsiaTheme="minorEastAsia" w:hAnsiTheme="minorHAnsi" w:cstheme="minorBidi"/>
          <w:noProof/>
          <w:sz w:val="22"/>
          <w:szCs w:val="22"/>
          <w:lang w:val="en-US"/>
        </w:rPr>
      </w:pPr>
      <w:r>
        <w:fldChar w:fldCharType="begin"/>
      </w:r>
      <w:r>
        <w:instrText xml:space="preserve"> TOC \o "1-3" \h \z \t "Annex_No;1;Annex_ref;1;Annex_title;1" </w:instrText>
      </w:r>
      <w:r>
        <w:fldChar w:fldCharType="separate"/>
      </w:r>
      <w:hyperlink w:anchor="_Toc73354404" w:history="1">
        <w:r w:rsidRPr="00930762">
          <w:rPr>
            <w:rStyle w:val="Hyperlink"/>
            <w:noProof/>
          </w:rPr>
          <w:t>Avant-propos du Secrétaire général</w:t>
        </w:r>
        <w:r>
          <w:rPr>
            <w:noProof/>
            <w:webHidden/>
          </w:rPr>
          <w:tab/>
        </w:r>
        <w:r>
          <w:rPr>
            <w:noProof/>
            <w:webHidden/>
          </w:rPr>
          <w:tab/>
        </w:r>
        <w:r>
          <w:rPr>
            <w:noProof/>
            <w:webHidden/>
          </w:rPr>
          <w:fldChar w:fldCharType="begin"/>
        </w:r>
        <w:r>
          <w:rPr>
            <w:noProof/>
            <w:webHidden/>
          </w:rPr>
          <w:instrText xml:space="preserve"> PAGEREF _Toc73354404 \h </w:instrText>
        </w:r>
        <w:r>
          <w:rPr>
            <w:noProof/>
            <w:webHidden/>
          </w:rPr>
        </w:r>
        <w:r>
          <w:rPr>
            <w:noProof/>
            <w:webHidden/>
          </w:rPr>
          <w:fldChar w:fldCharType="separate"/>
        </w:r>
        <w:r w:rsidR="0007628D">
          <w:rPr>
            <w:noProof/>
            <w:webHidden/>
          </w:rPr>
          <w:t>4</w:t>
        </w:r>
        <w:r>
          <w:rPr>
            <w:noProof/>
            <w:webHidden/>
          </w:rPr>
          <w:fldChar w:fldCharType="end"/>
        </w:r>
      </w:hyperlink>
    </w:p>
    <w:p w14:paraId="3F18F2B4" w14:textId="5829672D" w:rsidR="00911C64" w:rsidRDefault="00B774B6">
      <w:pPr>
        <w:pStyle w:val="TOC1"/>
        <w:rPr>
          <w:rFonts w:asciiTheme="minorHAnsi" w:eastAsiaTheme="minorEastAsia" w:hAnsiTheme="minorHAnsi" w:cstheme="minorBidi"/>
          <w:noProof/>
          <w:sz w:val="22"/>
          <w:szCs w:val="22"/>
          <w:lang w:val="en-US"/>
        </w:rPr>
      </w:pPr>
      <w:hyperlink w:anchor="_Toc73354416" w:history="1">
        <w:r w:rsidR="00911C64" w:rsidRPr="00930762">
          <w:rPr>
            <w:rStyle w:val="Hyperlink"/>
            <w:noProof/>
            <w:w w:val="105"/>
          </w:rPr>
          <w:t>Rapport de gestion 2020</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_Toc73354416 \h </w:instrText>
        </w:r>
        <w:r w:rsidR="00911C64">
          <w:rPr>
            <w:noProof/>
            <w:webHidden/>
          </w:rPr>
        </w:r>
        <w:r w:rsidR="00911C64">
          <w:rPr>
            <w:noProof/>
            <w:webHidden/>
          </w:rPr>
          <w:fldChar w:fldCharType="separate"/>
        </w:r>
        <w:r w:rsidR="0007628D">
          <w:rPr>
            <w:noProof/>
            <w:webHidden/>
          </w:rPr>
          <w:t>15</w:t>
        </w:r>
        <w:r w:rsidR="00911C64">
          <w:rPr>
            <w:noProof/>
            <w:webHidden/>
          </w:rPr>
          <w:fldChar w:fldCharType="end"/>
        </w:r>
      </w:hyperlink>
    </w:p>
    <w:p w14:paraId="3B26BC33" w14:textId="079C63F8" w:rsidR="00911C64" w:rsidRDefault="00B774B6">
      <w:pPr>
        <w:pStyle w:val="TOC1"/>
        <w:rPr>
          <w:rFonts w:asciiTheme="minorHAnsi" w:eastAsiaTheme="minorEastAsia" w:hAnsiTheme="minorHAnsi" w:cstheme="minorBidi"/>
          <w:noProof/>
          <w:sz w:val="22"/>
          <w:szCs w:val="22"/>
          <w:lang w:val="en-US"/>
        </w:rPr>
      </w:pPr>
      <w:hyperlink w:anchor="_Toc73354425" w:history="1">
        <w:r w:rsidR="00911C64" w:rsidRPr="00930762">
          <w:rPr>
            <w:rStyle w:val="Hyperlink"/>
            <w:noProof/>
            <w:lang w:eastAsia="zh-CN"/>
          </w:rPr>
          <w:t>ÉTATS FINANCIERS</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_Toc73354425 \h </w:instrText>
        </w:r>
        <w:r w:rsidR="00911C64">
          <w:rPr>
            <w:noProof/>
            <w:webHidden/>
          </w:rPr>
        </w:r>
        <w:r w:rsidR="00911C64">
          <w:rPr>
            <w:noProof/>
            <w:webHidden/>
          </w:rPr>
          <w:fldChar w:fldCharType="separate"/>
        </w:r>
        <w:r w:rsidR="0007628D">
          <w:rPr>
            <w:noProof/>
            <w:webHidden/>
          </w:rPr>
          <w:t>24</w:t>
        </w:r>
        <w:r w:rsidR="00911C64">
          <w:rPr>
            <w:noProof/>
            <w:webHidden/>
          </w:rPr>
          <w:fldChar w:fldCharType="end"/>
        </w:r>
      </w:hyperlink>
    </w:p>
    <w:p w14:paraId="585AFA4F" w14:textId="6B1AD264" w:rsidR="00911C64" w:rsidRDefault="00B774B6">
      <w:pPr>
        <w:pStyle w:val="TOC1"/>
        <w:rPr>
          <w:rFonts w:asciiTheme="minorHAnsi" w:eastAsiaTheme="minorEastAsia" w:hAnsiTheme="minorHAnsi" w:cstheme="minorBidi"/>
          <w:noProof/>
          <w:sz w:val="22"/>
          <w:szCs w:val="22"/>
          <w:lang w:val="en-US"/>
        </w:rPr>
      </w:pPr>
      <w:hyperlink w:anchor="_Toc73354476" w:history="1">
        <w:r w:rsidR="00911C64" w:rsidRPr="00930762">
          <w:rPr>
            <w:rStyle w:val="Hyperlink"/>
            <w:noProof/>
          </w:rPr>
          <w:t>I</w:t>
        </w:r>
        <w:r w:rsidR="00911C64">
          <w:rPr>
            <w:rFonts w:asciiTheme="minorHAnsi" w:eastAsiaTheme="minorEastAsia" w:hAnsiTheme="minorHAnsi" w:cstheme="minorBidi"/>
            <w:noProof/>
            <w:sz w:val="22"/>
            <w:szCs w:val="22"/>
            <w:lang w:val="en-US"/>
          </w:rPr>
          <w:tab/>
        </w:r>
        <w:r w:rsidR="00911C64" w:rsidRPr="00930762">
          <w:rPr>
            <w:rStyle w:val="Hyperlink"/>
            <w:noProof/>
          </w:rPr>
          <w:t>BUDGET ORDINAIRE (ANNEXE B1)</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_Toc73354476 \h </w:instrText>
        </w:r>
        <w:r w:rsidR="00911C64">
          <w:rPr>
            <w:noProof/>
            <w:webHidden/>
          </w:rPr>
        </w:r>
        <w:r w:rsidR="00911C64">
          <w:rPr>
            <w:noProof/>
            <w:webHidden/>
          </w:rPr>
          <w:fldChar w:fldCharType="separate"/>
        </w:r>
        <w:r w:rsidR="0007628D">
          <w:rPr>
            <w:noProof/>
            <w:webHidden/>
          </w:rPr>
          <w:t>80</w:t>
        </w:r>
        <w:r w:rsidR="00911C64">
          <w:rPr>
            <w:noProof/>
            <w:webHidden/>
          </w:rPr>
          <w:fldChar w:fldCharType="end"/>
        </w:r>
      </w:hyperlink>
    </w:p>
    <w:p w14:paraId="4E87872B" w14:textId="353FC90B" w:rsidR="00911C64" w:rsidRDefault="00B774B6">
      <w:pPr>
        <w:pStyle w:val="TOC1"/>
        <w:rPr>
          <w:rFonts w:asciiTheme="minorHAnsi" w:eastAsiaTheme="minorEastAsia" w:hAnsiTheme="minorHAnsi" w:cstheme="minorBidi"/>
          <w:noProof/>
          <w:sz w:val="22"/>
          <w:szCs w:val="22"/>
          <w:lang w:val="en-US"/>
        </w:rPr>
      </w:pPr>
      <w:hyperlink w:anchor="_Toc73354487" w:history="1">
        <w:r w:rsidR="00911C64" w:rsidRPr="00930762">
          <w:rPr>
            <w:rStyle w:val="Hyperlink"/>
            <w:noProof/>
          </w:rPr>
          <w:t>II</w:t>
        </w:r>
        <w:r w:rsidR="00911C64">
          <w:rPr>
            <w:rFonts w:asciiTheme="minorHAnsi" w:eastAsiaTheme="minorEastAsia" w:hAnsiTheme="minorHAnsi" w:cstheme="minorBidi"/>
            <w:noProof/>
            <w:sz w:val="22"/>
            <w:szCs w:val="22"/>
            <w:lang w:val="en-US"/>
          </w:rPr>
          <w:tab/>
        </w:r>
        <w:r w:rsidR="00911C64" w:rsidRPr="00930762">
          <w:rPr>
            <w:rStyle w:val="Hyperlink"/>
            <w:noProof/>
          </w:rPr>
          <w:t>NOUVEAUX LOCAUX DU SIÈGE (ANNEXE B2)</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_Toc73354487 \h </w:instrText>
        </w:r>
        <w:r w:rsidR="00911C64">
          <w:rPr>
            <w:noProof/>
            <w:webHidden/>
          </w:rPr>
        </w:r>
        <w:r w:rsidR="00911C64">
          <w:rPr>
            <w:noProof/>
            <w:webHidden/>
          </w:rPr>
          <w:fldChar w:fldCharType="separate"/>
        </w:r>
        <w:r w:rsidR="0007628D">
          <w:rPr>
            <w:noProof/>
            <w:webHidden/>
          </w:rPr>
          <w:t>83</w:t>
        </w:r>
        <w:r w:rsidR="00911C64">
          <w:rPr>
            <w:noProof/>
            <w:webHidden/>
          </w:rPr>
          <w:fldChar w:fldCharType="end"/>
        </w:r>
      </w:hyperlink>
    </w:p>
    <w:p w14:paraId="40595556" w14:textId="018B9263" w:rsidR="00911C64" w:rsidRDefault="00B774B6">
      <w:pPr>
        <w:pStyle w:val="TOC1"/>
        <w:rPr>
          <w:rFonts w:asciiTheme="minorHAnsi" w:eastAsiaTheme="minorEastAsia" w:hAnsiTheme="minorHAnsi" w:cstheme="minorBidi"/>
          <w:noProof/>
          <w:sz w:val="22"/>
          <w:szCs w:val="22"/>
          <w:lang w:val="en-US"/>
        </w:rPr>
      </w:pPr>
      <w:hyperlink w:anchor="_Toc73354488" w:history="1">
        <w:r w:rsidR="00911C64" w:rsidRPr="00930762">
          <w:rPr>
            <w:rStyle w:val="Hyperlink"/>
            <w:noProof/>
          </w:rPr>
          <w:t>III</w:t>
        </w:r>
        <w:r w:rsidR="00911C64">
          <w:rPr>
            <w:rFonts w:asciiTheme="minorHAnsi" w:eastAsiaTheme="minorEastAsia" w:hAnsiTheme="minorHAnsi" w:cstheme="minorBidi"/>
            <w:noProof/>
            <w:sz w:val="22"/>
            <w:szCs w:val="22"/>
            <w:lang w:val="en-US"/>
          </w:rPr>
          <w:tab/>
        </w:r>
        <w:r w:rsidR="00911C64" w:rsidRPr="00930762">
          <w:rPr>
            <w:rStyle w:val="Hyperlink"/>
            <w:noProof/>
          </w:rPr>
          <w:t>CAISSE D'ASSURANCE (ANNEXE B3)</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_Toc73354488 \h </w:instrText>
        </w:r>
        <w:r w:rsidR="00911C64">
          <w:rPr>
            <w:noProof/>
            <w:webHidden/>
          </w:rPr>
        </w:r>
        <w:r w:rsidR="00911C64">
          <w:rPr>
            <w:noProof/>
            <w:webHidden/>
          </w:rPr>
          <w:fldChar w:fldCharType="separate"/>
        </w:r>
        <w:r w:rsidR="0007628D">
          <w:rPr>
            <w:noProof/>
            <w:webHidden/>
          </w:rPr>
          <w:t>83</w:t>
        </w:r>
        <w:r w:rsidR="00911C64">
          <w:rPr>
            <w:noProof/>
            <w:webHidden/>
          </w:rPr>
          <w:fldChar w:fldCharType="end"/>
        </w:r>
      </w:hyperlink>
    </w:p>
    <w:p w14:paraId="3E2BA07B" w14:textId="1AC68ED9" w:rsidR="00911C64" w:rsidRDefault="00B774B6">
      <w:pPr>
        <w:pStyle w:val="TOC1"/>
        <w:rPr>
          <w:rFonts w:asciiTheme="minorHAnsi" w:eastAsiaTheme="minorEastAsia" w:hAnsiTheme="minorHAnsi" w:cstheme="minorBidi"/>
          <w:noProof/>
          <w:sz w:val="22"/>
          <w:szCs w:val="22"/>
          <w:lang w:val="en-US"/>
        </w:rPr>
      </w:pPr>
      <w:hyperlink w:anchor="_Toc73354489" w:history="1">
        <w:r w:rsidR="00911C64" w:rsidRPr="00930762">
          <w:rPr>
            <w:rStyle w:val="Hyperlink"/>
            <w:noProof/>
          </w:rPr>
          <w:t>IV</w:t>
        </w:r>
        <w:r w:rsidR="00911C64">
          <w:rPr>
            <w:rFonts w:asciiTheme="minorHAnsi" w:eastAsiaTheme="minorEastAsia" w:hAnsiTheme="minorHAnsi" w:cstheme="minorBidi"/>
            <w:noProof/>
            <w:sz w:val="22"/>
            <w:szCs w:val="22"/>
            <w:lang w:val="en-US"/>
          </w:rPr>
          <w:tab/>
        </w:r>
        <w:r w:rsidR="00911C64" w:rsidRPr="00930762">
          <w:rPr>
            <w:rStyle w:val="Hyperlink"/>
            <w:noProof/>
          </w:rPr>
          <w:t>PROGRAMME DES NATIONS UNIES POUR LE DÉVELOPPEMENT</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_Toc73354489 \h </w:instrText>
        </w:r>
        <w:r w:rsidR="00911C64">
          <w:rPr>
            <w:noProof/>
            <w:webHidden/>
          </w:rPr>
        </w:r>
        <w:r w:rsidR="00911C64">
          <w:rPr>
            <w:noProof/>
            <w:webHidden/>
          </w:rPr>
          <w:fldChar w:fldCharType="separate"/>
        </w:r>
        <w:r w:rsidR="0007628D">
          <w:rPr>
            <w:noProof/>
            <w:webHidden/>
          </w:rPr>
          <w:t>84</w:t>
        </w:r>
        <w:r w:rsidR="00911C64">
          <w:rPr>
            <w:noProof/>
            <w:webHidden/>
          </w:rPr>
          <w:fldChar w:fldCharType="end"/>
        </w:r>
      </w:hyperlink>
    </w:p>
    <w:p w14:paraId="2AB8592A" w14:textId="6E62597A" w:rsidR="00911C64" w:rsidRDefault="00B774B6">
      <w:pPr>
        <w:pStyle w:val="TOC1"/>
        <w:rPr>
          <w:rFonts w:asciiTheme="minorHAnsi" w:eastAsiaTheme="minorEastAsia" w:hAnsiTheme="minorHAnsi" w:cstheme="minorBidi"/>
          <w:noProof/>
          <w:sz w:val="22"/>
          <w:szCs w:val="22"/>
          <w:lang w:val="en-US"/>
        </w:rPr>
      </w:pPr>
      <w:hyperlink w:anchor="_Toc73354490" w:history="1">
        <w:r w:rsidR="00911C64" w:rsidRPr="00930762">
          <w:rPr>
            <w:rStyle w:val="Hyperlink"/>
            <w:noProof/>
          </w:rPr>
          <w:t>V</w:t>
        </w:r>
        <w:r w:rsidR="00911C64">
          <w:rPr>
            <w:rFonts w:asciiTheme="minorHAnsi" w:eastAsiaTheme="minorEastAsia" w:hAnsiTheme="minorHAnsi" w:cstheme="minorBidi"/>
            <w:noProof/>
            <w:sz w:val="22"/>
            <w:szCs w:val="22"/>
            <w:lang w:val="en-US"/>
          </w:rPr>
          <w:tab/>
        </w:r>
        <w:r w:rsidR="00911C64" w:rsidRPr="00930762">
          <w:rPr>
            <w:rStyle w:val="Hyperlink"/>
            <w:noProof/>
          </w:rPr>
          <w:t>FONDS D'AFFECTATION SPÉCIALE (ANNEXE B4)</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_Toc73354490 \h </w:instrText>
        </w:r>
        <w:r w:rsidR="00911C64">
          <w:rPr>
            <w:noProof/>
            <w:webHidden/>
          </w:rPr>
        </w:r>
        <w:r w:rsidR="00911C64">
          <w:rPr>
            <w:noProof/>
            <w:webHidden/>
          </w:rPr>
          <w:fldChar w:fldCharType="separate"/>
        </w:r>
        <w:r w:rsidR="0007628D">
          <w:rPr>
            <w:noProof/>
            <w:webHidden/>
          </w:rPr>
          <w:t>84</w:t>
        </w:r>
        <w:r w:rsidR="00911C64">
          <w:rPr>
            <w:noProof/>
            <w:webHidden/>
          </w:rPr>
          <w:fldChar w:fldCharType="end"/>
        </w:r>
      </w:hyperlink>
    </w:p>
    <w:p w14:paraId="5160C080" w14:textId="02065FD8" w:rsidR="00911C64" w:rsidRDefault="00B774B6">
      <w:pPr>
        <w:pStyle w:val="TOC1"/>
        <w:rPr>
          <w:rFonts w:asciiTheme="minorHAnsi" w:eastAsiaTheme="minorEastAsia" w:hAnsiTheme="minorHAnsi" w:cstheme="minorBidi"/>
          <w:noProof/>
          <w:sz w:val="22"/>
          <w:szCs w:val="22"/>
          <w:lang w:val="en-US"/>
        </w:rPr>
      </w:pPr>
      <w:hyperlink w:anchor="_Toc73354492" w:history="1">
        <w:r w:rsidR="00911C64" w:rsidRPr="00930762">
          <w:rPr>
            <w:rStyle w:val="Hyperlink"/>
            <w:noProof/>
          </w:rPr>
          <w:t>VI</w:t>
        </w:r>
        <w:r w:rsidR="00911C64">
          <w:rPr>
            <w:rFonts w:asciiTheme="minorHAnsi" w:eastAsiaTheme="minorEastAsia" w:hAnsiTheme="minorHAnsi" w:cstheme="minorBidi"/>
            <w:noProof/>
            <w:sz w:val="22"/>
            <w:szCs w:val="22"/>
            <w:lang w:val="en-US"/>
          </w:rPr>
          <w:tab/>
        </w:r>
        <w:r w:rsidR="00911C64" w:rsidRPr="00930762">
          <w:rPr>
            <w:rStyle w:val="Hyperlink"/>
            <w:noProof/>
          </w:rPr>
          <w:t>CONTRIBUTIONS VOLONTAIRES (ANNEXE B5)</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_Toc73354492 \h </w:instrText>
        </w:r>
        <w:r w:rsidR="00911C64">
          <w:rPr>
            <w:noProof/>
            <w:webHidden/>
          </w:rPr>
        </w:r>
        <w:r w:rsidR="00911C64">
          <w:rPr>
            <w:noProof/>
            <w:webHidden/>
          </w:rPr>
          <w:fldChar w:fldCharType="separate"/>
        </w:r>
        <w:r w:rsidR="0007628D">
          <w:rPr>
            <w:noProof/>
            <w:webHidden/>
          </w:rPr>
          <w:t>84</w:t>
        </w:r>
        <w:r w:rsidR="00911C64">
          <w:rPr>
            <w:noProof/>
            <w:webHidden/>
          </w:rPr>
          <w:fldChar w:fldCharType="end"/>
        </w:r>
      </w:hyperlink>
    </w:p>
    <w:p w14:paraId="07C5BCA7" w14:textId="4F848CAB" w:rsidR="00911C64" w:rsidRDefault="00B774B6">
      <w:pPr>
        <w:pStyle w:val="TOC1"/>
        <w:rPr>
          <w:rFonts w:asciiTheme="minorHAnsi" w:eastAsiaTheme="minorEastAsia" w:hAnsiTheme="minorHAnsi" w:cstheme="minorBidi"/>
          <w:noProof/>
          <w:sz w:val="22"/>
          <w:szCs w:val="22"/>
          <w:lang w:val="en-US"/>
        </w:rPr>
      </w:pPr>
      <w:hyperlink w:anchor="_Toc73354493" w:history="1">
        <w:r w:rsidR="00911C64" w:rsidRPr="00930762">
          <w:rPr>
            <w:rStyle w:val="Hyperlink"/>
            <w:noProof/>
          </w:rPr>
          <w:t>VII</w:t>
        </w:r>
        <w:r w:rsidR="00911C64">
          <w:rPr>
            <w:rFonts w:asciiTheme="minorHAnsi" w:eastAsiaTheme="minorEastAsia" w:hAnsiTheme="minorHAnsi" w:cstheme="minorBidi"/>
            <w:noProof/>
            <w:sz w:val="22"/>
            <w:szCs w:val="22"/>
            <w:lang w:val="en-US"/>
          </w:rPr>
          <w:tab/>
        </w:r>
        <w:r w:rsidR="00911C64" w:rsidRPr="00930762">
          <w:rPr>
            <w:rStyle w:val="Hyperlink"/>
            <w:noProof/>
          </w:rPr>
          <w:t>FONDS POUR LE DÉVELOPPEMENT DES TIC (FDTIC) (ANNEXE B6)</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_Toc73354493 \h </w:instrText>
        </w:r>
        <w:r w:rsidR="00911C64">
          <w:rPr>
            <w:noProof/>
            <w:webHidden/>
          </w:rPr>
        </w:r>
        <w:r w:rsidR="00911C64">
          <w:rPr>
            <w:noProof/>
            <w:webHidden/>
          </w:rPr>
          <w:fldChar w:fldCharType="separate"/>
        </w:r>
        <w:r w:rsidR="0007628D">
          <w:rPr>
            <w:noProof/>
            <w:webHidden/>
          </w:rPr>
          <w:t>85</w:t>
        </w:r>
        <w:r w:rsidR="00911C64">
          <w:rPr>
            <w:noProof/>
            <w:webHidden/>
          </w:rPr>
          <w:fldChar w:fldCharType="end"/>
        </w:r>
      </w:hyperlink>
    </w:p>
    <w:p w14:paraId="47E31774" w14:textId="1D6FFF1F" w:rsidR="00911C64" w:rsidRDefault="00B774B6">
      <w:pPr>
        <w:pStyle w:val="TOC1"/>
        <w:rPr>
          <w:rFonts w:asciiTheme="minorHAnsi" w:eastAsiaTheme="minorEastAsia" w:hAnsiTheme="minorHAnsi" w:cstheme="minorBidi"/>
          <w:noProof/>
          <w:sz w:val="22"/>
          <w:szCs w:val="22"/>
          <w:lang w:val="en-US"/>
        </w:rPr>
      </w:pPr>
      <w:hyperlink w:anchor="_Toc73354494" w:history="1">
        <w:r w:rsidR="00911C64" w:rsidRPr="00930762">
          <w:rPr>
            <w:rStyle w:val="Hyperlink"/>
            <w:noProof/>
            <w:lang w:val="en-US"/>
          </w:rPr>
          <w:t>VIII</w:t>
        </w:r>
        <w:r w:rsidR="00911C64">
          <w:rPr>
            <w:rFonts w:asciiTheme="minorHAnsi" w:eastAsiaTheme="minorEastAsia" w:hAnsiTheme="minorHAnsi" w:cstheme="minorBidi"/>
            <w:noProof/>
            <w:sz w:val="22"/>
            <w:szCs w:val="22"/>
            <w:lang w:val="en-US"/>
          </w:rPr>
          <w:tab/>
        </w:r>
        <w:r w:rsidR="00911C64" w:rsidRPr="00930762">
          <w:rPr>
            <w:rStyle w:val="Hyperlink"/>
            <w:noProof/>
            <w:lang w:val="en-US"/>
          </w:rPr>
          <w:t>ITU TELECOM WORLD 2019 (ANNEXE B7)</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_Toc73354494 \h </w:instrText>
        </w:r>
        <w:r w:rsidR="00911C64">
          <w:rPr>
            <w:noProof/>
            <w:webHidden/>
          </w:rPr>
        </w:r>
        <w:r w:rsidR="00911C64">
          <w:rPr>
            <w:noProof/>
            <w:webHidden/>
          </w:rPr>
          <w:fldChar w:fldCharType="separate"/>
        </w:r>
        <w:r w:rsidR="0007628D">
          <w:rPr>
            <w:noProof/>
            <w:webHidden/>
          </w:rPr>
          <w:t>85</w:t>
        </w:r>
        <w:r w:rsidR="00911C64">
          <w:rPr>
            <w:noProof/>
            <w:webHidden/>
          </w:rPr>
          <w:fldChar w:fldCharType="end"/>
        </w:r>
      </w:hyperlink>
    </w:p>
    <w:p w14:paraId="6E078D3D" w14:textId="0249B8BD" w:rsidR="00911C64" w:rsidRDefault="00B774B6">
      <w:pPr>
        <w:pStyle w:val="TOC1"/>
        <w:rPr>
          <w:rFonts w:asciiTheme="minorHAnsi" w:eastAsiaTheme="minorEastAsia" w:hAnsiTheme="minorHAnsi" w:cstheme="minorBidi"/>
          <w:noProof/>
          <w:sz w:val="22"/>
          <w:szCs w:val="22"/>
          <w:lang w:val="en-US"/>
        </w:rPr>
      </w:pPr>
      <w:hyperlink w:anchor="_Toc73354495" w:history="1">
        <w:r w:rsidR="00911C64" w:rsidRPr="00930762">
          <w:rPr>
            <w:rStyle w:val="Hyperlink"/>
            <w:noProof/>
          </w:rPr>
          <w:t>IX</w:t>
        </w:r>
        <w:r w:rsidR="00911C64">
          <w:rPr>
            <w:rFonts w:asciiTheme="minorHAnsi" w:eastAsiaTheme="minorEastAsia" w:hAnsiTheme="minorHAnsi" w:cstheme="minorBidi"/>
            <w:noProof/>
            <w:sz w:val="22"/>
            <w:szCs w:val="22"/>
            <w:lang w:val="en-US"/>
          </w:rPr>
          <w:tab/>
        </w:r>
        <w:r w:rsidR="00911C64" w:rsidRPr="00930762">
          <w:rPr>
            <w:rStyle w:val="Hyperlink"/>
            <w:noProof/>
          </w:rPr>
          <w:t>DÉCLARATION DE LA SITUATION FINANCIÈRE</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_Toc73354495 \h </w:instrText>
        </w:r>
        <w:r w:rsidR="00911C64">
          <w:rPr>
            <w:noProof/>
            <w:webHidden/>
          </w:rPr>
        </w:r>
        <w:r w:rsidR="00911C64">
          <w:rPr>
            <w:noProof/>
            <w:webHidden/>
          </w:rPr>
          <w:fldChar w:fldCharType="separate"/>
        </w:r>
        <w:r w:rsidR="0007628D">
          <w:rPr>
            <w:noProof/>
            <w:webHidden/>
          </w:rPr>
          <w:t>85</w:t>
        </w:r>
        <w:r w:rsidR="00911C64">
          <w:rPr>
            <w:noProof/>
            <w:webHidden/>
          </w:rPr>
          <w:fldChar w:fldCharType="end"/>
        </w:r>
      </w:hyperlink>
    </w:p>
    <w:p w14:paraId="32C23DAB" w14:textId="261AD789" w:rsidR="00911C64" w:rsidRPr="002E0B3F" w:rsidRDefault="00B774B6">
      <w:pPr>
        <w:pStyle w:val="TOC1"/>
        <w:rPr>
          <w:rStyle w:val="Hyperlink"/>
          <w:noProof/>
          <w:color w:val="auto"/>
        </w:rPr>
      </w:pPr>
      <w:hyperlink w:anchor="_Toc73354496" w:history="1">
        <w:r w:rsidR="00911C64" w:rsidRPr="002E0B3F">
          <w:rPr>
            <w:rStyle w:val="Hyperlink"/>
            <w:rFonts w:cstheme="minorHAnsi"/>
            <w:noProof/>
            <w:color w:val="auto"/>
          </w:rPr>
          <w:t>X</w:t>
        </w:r>
        <w:r w:rsidR="00911C64" w:rsidRPr="002E0B3F">
          <w:rPr>
            <w:rFonts w:asciiTheme="minorHAnsi" w:eastAsiaTheme="minorEastAsia" w:hAnsiTheme="minorHAnsi" w:cstheme="minorBidi"/>
            <w:noProof/>
            <w:sz w:val="22"/>
            <w:szCs w:val="22"/>
            <w:lang w:val="en-US"/>
          </w:rPr>
          <w:tab/>
        </w:r>
        <w:r w:rsidR="00911C64" w:rsidRPr="002E0B3F">
          <w:rPr>
            <w:rStyle w:val="Hyperlink"/>
            <w:noProof/>
            <w:color w:val="auto"/>
          </w:rPr>
          <w:t>VÉRIFICATION EXTÉRIEURE DES COMPTES DE L'UNION</w:t>
        </w:r>
        <w:r w:rsidR="00911C64" w:rsidRPr="002E0B3F">
          <w:rPr>
            <w:noProof/>
            <w:webHidden/>
          </w:rPr>
          <w:tab/>
        </w:r>
        <w:r w:rsidR="00911C64" w:rsidRPr="002E0B3F">
          <w:rPr>
            <w:noProof/>
            <w:webHidden/>
          </w:rPr>
          <w:tab/>
        </w:r>
        <w:r w:rsidR="00911C64" w:rsidRPr="002E0B3F">
          <w:rPr>
            <w:noProof/>
            <w:webHidden/>
          </w:rPr>
          <w:fldChar w:fldCharType="begin"/>
        </w:r>
        <w:r w:rsidR="00911C64" w:rsidRPr="002E0B3F">
          <w:rPr>
            <w:noProof/>
            <w:webHidden/>
          </w:rPr>
          <w:instrText xml:space="preserve"> PAGEREF _Toc73354496 \h </w:instrText>
        </w:r>
        <w:r w:rsidR="00911C64" w:rsidRPr="002E0B3F">
          <w:rPr>
            <w:noProof/>
            <w:webHidden/>
          </w:rPr>
        </w:r>
        <w:r w:rsidR="00911C64" w:rsidRPr="002E0B3F">
          <w:rPr>
            <w:noProof/>
            <w:webHidden/>
          </w:rPr>
          <w:fldChar w:fldCharType="separate"/>
        </w:r>
        <w:r w:rsidR="0007628D">
          <w:rPr>
            <w:noProof/>
            <w:webHidden/>
          </w:rPr>
          <w:t>86</w:t>
        </w:r>
        <w:r w:rsidR="00911C64" w:rsidRPr="002E0B3F">
          <w:rPr>
            <w:noProof/>
            <w:webHidden/>
          </w:rPr>
          <w:fldChar w:fldCharType="end"/>
        </w:r>
      </w:hyperlink>
    </w:p>
    <w:p w14:paraId="0D65A743" w14:textId="6ECB66A7" w:rsidR="009F4FA0" w:rsidRPr="009F4FA0" w:rsidRDefault="009F4FA0">
      <w:pPr>
        <w:pStyle w:val="TOC1"/>
        <w:rPr>
          <w:rStyle w:val="Hyperlink"/>
          <w:noProof/>
        </w:rPr>
      </w:pPr>
      <w:r>
        <w:rPr>
          <w:noProof/>
        </w:rPr>
        <w:fldChar w:fldCharType="begin"/>
      </w:r>
      <w:r>
        <w:rPr>
          <w:noProof/>
        </w:rPr>
        <w:instrText xml:space="preserve"> HYPERLINK  \l "annexea" </w:instrText>
      </w:r>
      <w:r>
        <w:rPr>
          <w:noProof/>
        </w:rPr>
      </w:r>
      <w:r>
        <w:rPr>
          <w:noProof/>
        </w:rPr>
        <w:fldChar w:fldCharType="separate"/>
      </w:r>
      <w:r w:rsidR="00911C64" w:rsidRPr="009F4FA0">
        <w:rPr>
          <w:rStyle w:val="Hyperlink"/>
          <w:noProof/>
        </w:rPr>
        <w:t>ANNEXE A</w:t>
      </w:r>
      <w:r w:rsidR="00911C64" w:rsidRPr="009F4FA0">
        <w:rPr>
          <w:rStyle w:val="Hyperlink"/>
          <w:noProof/>
          <w:webHidden/>
        </w:rPr>
        <w:tab/>
      </w:r>
      <w:r w:rsidRPr="009F4FA0">
        <w:rPr>
          <w:rStyle w:val="Hyperlink"/>
          <w:noProof/>
        </w:rPr>
        <w:tab/>
        <w:t>87</w:t>
      </w:r>
    </w:p>
    <w:p w14:paraId="72678C24" w14:textId="37BF9F1C" w:rsidR="00911C64" w:rsidRDefault="009F4FA0">
      <w:pPr>
        <w:pStyle w:val="TOC1"/>
        <w:rPr>
          <w:rFonts w:asciiTheme="minorHAnsi" w:eastAsiaTheme="minorEastAsia" w:hAnsiTheme="minorHAnsi" w:cstheme="minorBidi"/>
          <w:noProof/>
          <w:sz w:val="22"/>
          <w:szCs w:val="22"/>
          <w:lang w:val="en-US"/>
        </w:rPr>
      </w:pPr>
      <w:r>
        <w:rPr>
          <w:noProof/>
        </w:rPr>
        <w:fldChar w:fldCharType="end"/>
      </w:r>
      <w:hyperlink w:anchor="_Toc73354498" w:history="1">
        <w:r w:rsidR="00911C64" w:rsidRPr="00930762">
          <w:rPr>
            <w:rStyle w:val="Hyperlink"/>
            <w:noProof/>
          </w:rPr>
          <w:t>ANNEXE B1</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_Toc73354498 \h </w:instrText>
        </w:r>
        <w:r w:rsidR="00911C64">
          <w:rPr>
            <w:noProof/>
            <w:webHidden/>
          </w:rPr>
        </w:r>
        <w:r w:rsidR="00911C64">
          <w:rPr>
            <w:noProof/>
            <w:webHidden/>
          </w:rPr>
          <w:fldChar w:fldCharType="separate"/>
        </w:r>
        <w:r w:rsidR="0007628D">
          <w:rPr>
            <w:noProof/>
            <w:webHidden/>
          </w:rPr>
          <w:t>88</w:t>
        </w:r>
        <w:r w:rsidR="00911C64">
          <w:rPr>
            <w:noProof/>
            <w:webHidden/>
          </w:rPr>
          <w:fldChar w:fldCharType="end"/>
        </w:r>
      </w:hyperlink>
    </w:p>
    <w:p w14:paraId="62EF159D" w14:textId="07DDDD99" w:rsidR="00911C64" w:rsidRDefault="00B774B6">
      <w:pPr>
        <w:pStyle w:val="TOC1"/>
        <w:rPr>
          <w:rFonts w:asciiTheme="minorHAnsi" w:eastAsiaTheme="minorEastAsia" w:hAnsiTheme="minorHAnsi" w:cstheme="minorBidi"/>
          <w:noProof/>
          <w:sz w:val="22"/>
          <w:szCs w:val="22"/>
          <w:lang w:val="en-US"/>
        </w:rPr>
      </w:pPr>
      <w:hyperlink w:anchor="_Toc73354500" w:history="1">
        <w:r w:rsidR="00911C64" w:rsidRPr="00930762">
          <w:rPr>
            <w:rStyle w:val="Hyperlink"/>
            <w:noProof/>
          </w:rPr>
          <w:t>ANNEXE B2</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_Toc73354500 \h </w:instrText>
        </w:r>
        <w:r w:rsidR="00911C64">
          <w:rPr>
            <w:noProof/>
            <w:webHidden/>
          </w:rPr>
        </w:r>
        <w:r w:rsidR="00911C64">
          <w:rPr>
            <w:noProof/>
            <w:webHidden/>
          </w:rPr>
          <w:fldChar w:fldCharType="separate"/>
        </w:r>
        <w:r w:rsidR="0007628D">
          <w:rPr>
            <w:noProof/>
            <w:webHidden/>
          </w:rPr>
          <w:t>90</w:t>
        </w:r>
        <w:r w:rsidR="00911C64">
          <w:rPr>
            <w:noProof/>
            <w:webHidden/>
          </w:rPr>
          <w:fldChar w:fldCharType="end"/>
        </w:r>
      </w:hyperlink>
    </w:p>
    <w:p w14:paraId="38F79EE2" w14:textId="65A97279" w:rsidR="00911C64" w:rsidRDefault="00B774B6">
      <w:pPr>
        <w:pStyle w:val="TOC1"/>
        <w:rPr>
          <w:rFonts w:asciiTheme="minorHAnsi" w:eastAsiaTheme="minorEastAsia" w:hAnsiTheme="minorHAnsi" w:cstheme="minorBidi"/>
          <w:noProof/>
          <w:sz w:val="22"/>
          <w:szCs w:val="22"/>
          <w:lang w:val="en-US"/>
        </w:rPr>
      </w:pPr>
      <w:hyperlink w:anchor="_Toc73354502" w:history="1">
        <w:r w:rsidR="00911C64" w:rsidRPr="00930762">
          <w:rPr>
            <w:rStyle w:val="Hyperlink"/>
            <w:noProof/>
          </w:rPr>
          <w:t>ANNEXE B3</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_Toc73354502 \h </w:instrText>
        </w:r>
        <w:r w:rsidR="00911C64">
          <w:rPr>
            <w:noProof/>
            <w:webHidden/>
          </w:rPr>
        </w:r>
        <w:r w:rsidR="00911C64">
          <w:rPr>
            <w:noProof/>
            <w:webHidden/>
          </w:rPr>
          <w:fldChar w:fldCharType="separate"/>
        </w:r>
        <w:r w:rsidR="0007628D">
          <w:rPr>
            <w:noProof/>
            <w:webHidden/>
          </w:rPr>
          <w:t>92</w:t>
        </w:r>
        <w:r w:rsidR="00911C64">
          <w:rPr>
            <w:noProof/>
            <w:webHidden/>
          </w:rPr>
          <w:fldChar w:fldCharType="end"/>
        </w:r>
      </w:hyperlink>
    </w:p>
    <w:p w14:paraId="0E971EC5" w14:textId="487FC927" w:rsidR="00911C64" w:rsidRDefault="00B774B6">
      <w:pPr>
        <w:pStyle w:val="TOC1"/>
        <w:rPr>
          <w:rFonts w:asciiTheme="minorHAnsi" w:eastAsiaTheme="minorEastAsia" w:hAnsiTheme="minorHAnsi" w:cstheme="minorBidi"/>
          <w:noProof/>
          <w:sz w:val="22"/>
          <w:szCs w:val="22"/>
          <w:lang w:val="en-US"/>
        </w:rPr>
      </w:pPr>
      <w:hyperlink w:anchor="_Toc73354503" w:history="1">
        <w:r w:rsidR="00911C64" w:rsidRPr="00930762">
          <w:rPr>
            <w:rStyle w:val="Hyperlink"/>
            <w:noProof/>
          </w:rPr>
          <w:t>ANNEXE B4</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_Toc73354503 \h </w:instrText>
        </w:r>
        <w:r w:rsidR="00911C64">
          <w:rPr>
            <w:noProof/>
            <w:webHidden/>
          </w:rPr>
        </w:r>
        <w:r w:rsidR="00911C64">
          <w:rPr>
            <w:noProof/>
            <w:webHidden/>
          </w:rPr>
          <w:fldChar w:fldCharType="separate"/>
        </w:r>
        <w:r w:rsidR="0007628D">
          <w:rPr>
            <w:noProof/>
            <w:webHidden/>
          </w:rPr>
          <w:t>94</w:t>
        </w:r>
        <w:r w:rsidR="00911C64">
          <w:rPr>
            <w:noProof/>
            <w:webHidden/>
          </w:rPr>
          <w:fldChar w:fldCharType="end"/>
        </w:r>
      </w:hyperlink>
    </w:p>
    <w:p w14:paraId="2E65461F" w14:textId="442EC1DF" w:rsidR="00911C64" w:rsidRDefault="00B774B6">
      <w:pPr>
        <w:pStyle w:val="TOC1"/>
        <w:rPr>
          <w:rFonts w:asciiTheme="minorHAnsi" w:eastAsiaTheme="minorEastAsia" w:hAnsiTheme="minorHAnsi" w:cstheme="minorBidi"/>
          <w:noProof/>
          <w:sz w:val="22"/>
          <w:szCs w:val="22"/>
          <w:lang w:val="en-US"/>
        </w:rPr>
      </w:pPr>
      <w:hyperlink w:anchor="_Toc73354511" w:history="1">
        <w:r w:rsidR="00911C64" w:rsidRPr="00930762">
          <w:rPr>
            <w:rStyle w:val="Hyperlink"/>
            <w:noProof/>
          </w:rPr>
          <w:t>ANNEXE B5</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_Toc73354511 \h </w:instrText>
        </w:r>
        <w:r w:rsidR="00911C64">
          <w:rPr>
            <w:noProof/>
            <w:webHidden/>
          </w:rPr>
        </w:r>
        <w:r w:rsidR="00911C64">
          <w:rPr>
            <w:noProof/>
            <w:webHidden/>
          </w:rPr>
          <w:fldChar w:fldCharType="separate"/>
        </w:r>
        <w:r w:rsidR="0007628D">
          <w:rPr>
            <w:noProof/>
            <w:webHidden/>
          </w:rPr>
          <w:t>101</w:t>
        </w:r>
        <w:r w:rsidR="00911C64">
          <w:rPr>
            <w:noProof/>
            <w:webHidden/>
          </w:rPr>
          <w:fldChar w:fldCharType="end"/>
        </w:r>
      </w:hyperlink>
    </w:p>
    <w:p w14:paraId="0E9D3779" w14:textId="1C0BA21D" w:rsidR="00911C64" w:rsidRDefault="00B774B6">
      <w:pPr>
        <w:pStyle w:val="TOC1"/>
        <w:rPr>
          <w:rFonts w:asciiTheme="minorHAnsi" w:eastAsiaTheme="minorEastAsia" w:hAnsiTheme="minorHAnsi" w:cstheme="minorBidi"/>
          <w:noProof/>
          <w:sz w:val="22"/>
          <w:szCs w:val="22"/>
          <w:lang w:val="en-US"/>
        </w:rPr>
      </w:pPr>
      <w:hyperlink w:anchor="_Toc73354515" w:history="1">
        <w:r w:rsidR="00911C64" w:rsidRPr="00930762">
          <w:rPr>
            <w:rStyle w:val="Hyperlink"/>
            <w:noProof/>
          </w:rPr>
          <w:t>ANNEXE B6</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_Toc73354515 \h </w:instrText>
        </w:r>
        <w:r w:rsidR="00911C64">
          <w:rPr>
            <w:noProof/>
            <w:webHidden/>
          </w:rPr>
        </w:r>
        <w:r w:rsidR="00911C64">
          <w:rPr>
            <w:noProof/>
            <w:webHidden/>
          </w:rPr>
          <w:fldChar w:fldCharType="separate"/>
        </w:r>
        <w:r w:rsidR="0007628D">
          <w:rPr>
            <w:noProof/>
            <w:webHidden/>
          </w:rPr>
          <w:t>106</w:t>
        </w:r>
        <w:r w:rsidR="00911C64">
          <w:rPr>
            <w:noProof/>
            <w:webHidden/>
          </w:rPr>
          <w:fldChar w:fldCharType="end"/>
        </w:r>
      </w:hyperlink>
    </w:p>
    <w:p w14:paraId="1BFD0F61" w14:textId="0D623A7F" w:rsidR="00911C64" w:rsidRDefault="00B774B6">
      <w:pPr>
        <w:pStyle w:val="TOC1"/>
        <w:rPr>
          <w:rFonts w:asciiTheme="minorHAnsi" w:eastAsiaTheme="minorEastAsia" w:hAnsiTheme="minorHAnsi" w:cstheme="minorBidi"/>
          <w:noProof/>
          <w:sz w:val="22"/>
          <w:szCs w:val="22"/>
          <w:lang w:val="en-US"/>
        </w:rPr>
      </w:pPr>
      <w:hyperlink w:anchor="_Toc73354517" w:history="1">
        <w:r w:rsidR="00911C64" w:rsidRPr="00930762">
          <w:rPr>
            <w:rStyle w:val="Hyperlink"/>
            <w:noProof/>
            <w:w w:val="105"/>
          </w:rPr>
          <w:t>ANNEXE B7</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_Toc73354517 \h </w:instrText>
        </w:r>
        <w:r w:rsidR="00911C64">
          <w:rPr>
            <w:noProof/>
            <w:webHidden/>
          </w:rPr>
        </w:r>
        <w:r w:rsidR="00911C64">
          <w:rPr>
            <w:noProof/>
            <w:webHidden/>
          </w:rPr>
          <w:fldChar w:fldCharType="separate"/>
        </w:r>
        <w:r w:rsidR="0007628D">
          <w:rPr>
            <w:noProof/>
            <w:webHidden/>
          </w:rPr>
          <w:t>107</w:t>
        </w:r>
        <w:r w:rsidR="00911C64">
          <w:rPr>
            <w:noProof/>
            <w:webHidden/>
          </w:rPr>
          <w:fldChar w:fldCharType="end"/>
        </w:r>
      </w:hyperlink>
    </w:p>
    <w:p w14:paraId="004273EE" w14:textId="0DBBBC37" w:rsidR="00911C64" w:rsidRDefault="00B774B6">
      <w:pPr>
        <w:pStyle w:val="TOC1"/>
        <w:rPr>
          <w:rFonts w:asciiTheme="minorHAnsi" w:eastAsiaTheme="minorEastAsia" w:hAnsiTheme="minorHAnsi" w:cstheme="minorBidi"/>
          <w:noProof/>
          <w:sz w:val="22"/>
          <w:szCs w:val="22"/>
          <w:lang w:val="en-US"/>
        </w:rPr>
      </w:pPr>
      <w:hyperlink w:anchor="_Toc73354519" w:history="1">
        <w:r w:rsidR="00911C64" w:rsidRPr="00930762">
          <w:rPr>
            <w:rStyle w:val="Hyperlink"/>
            <w:noProof/>
          </w:rPr>
          <w:t>ANNEXE C</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_Toc73354519 \h </w:instrText>
        </w:r>
        <w:r w:rsidR="00911C64">
          <w:rPr>
            <w:noProof/>
            <w:webHidden/>
          </w:rPr>
        </w:r>
        <w:r w:rsidR="00911C64">
          <w:rPr>
            <w:noProof/>
            <w:webHidden/>
          </w:rPr>
          <w:fldChar w:fldCharType="separate"/>
        </w:r>
        <w:r w:rsidR="0007628D">
          <w:rPr>
            <w:noProof/>
            <w:webHidden/>
          </w:rPr>
          <w:t>108</w:t>
        </w:r>
        <w:r w:rsidR="00911C64">
          <w:rPr>
            <w:noProof/>
            <w:webHidden/>
          </w:rPr>
          <w:fldChar w:fldCharType="end"/>
        </w:r>
      </w:hyperlink>
    </w:p>
    <w:p w14:paraId="37FA7000" w14:textId="38BAE1E6" w:rsidR="00911C64" w:rsidRDefault="00B774B6">
      <w:pPr>
        <w:pStyle w:val="TOC1"/>
        <w:rPr>
          <w:rFonts w:asciiTheme="minorHAnsi" w:eastAsiaTheme="minorEastAsia" w:hAnsiTheme="minorHAnsi" w:cstheme="minorBidi"/>
          <w:noProof/>
          <w:sz w:val="22"/>
          <w:szCs w:val="22"/>
          <w:lang w:val="en-US"/>
        </w:rPr>
      </w:pPr>
      <w:hyperlink w:anchor="_Toc73354521" w:history="1">
        <w:r w:rsidR="00911C64" w:rsidRPr="00930762">
          <w:rPr>
            <w:rStyle w:val="Hyperlink"/>
            <w:noProof/>
          </w:rPr>
          <w:t>ANNEXE D</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_Toc73354521 \h </w:instrText>
        </w:r>
        <w:r w:rsidR="00911C64">
          <w:rPr>
            <w:noProof/>
            <w:webHidden/>
          </w:rPr>
        </w:r>
        <w:r w:rsidR="00911C64">
          <w:rPr>
            <w:noProof/>
            <w:webHidden/>
          </w:rPr>
          <w:fldChar w:fldCharType="separate"/>
        </w:r>
        <w:r w:rsidR="0007628D">
          <w:rPr>
            <w:noProof/>
            <w:webHidden/>
          </w:rPr>
          <w:t>122</w:t>
        </w:r>
        <w:r w:rsidR="00911C64">
          <w:rPr>
            <w:noProof/>
            <w:webHidden/>
          </w:rPr>
          <w:fldChar w:fldCharType="end"/>
        </w:r>
      </w:hyperlink>
    </w:p>
    <w:p w14:paraId="40E04580" w14:textId="3D3105FD" w:rsidR="00911C64" w:rsidRDefault="00B774B6">
      <w:pPr>
        <w:pStyle w:val="TOC1"/>
        <w:rPr>
          <w:rFonts w:asciiTheme="minorHAnsi" w:eastAsiaTheme="minorEastAsia" w:hAnsiTheme="minorHAnsi" w:cstheme="minorBidi"/>
          <w:noProof/>
          <w:sz w:val="22"/>
          <w:szCs w:val="22"/>
          <w:lang w:val="en-US"/>
        </w:rPr>
      </w:pPr>
      <w:hyperlink w:anchor="_Toc73354523" w:history="1">
        <w:r w:rsidR="00911C64" w:rsidRPr="00930762">
          <w:rPr>
            <w:rStyle w:val="Hyperlink"/>
            <w:noProof/>
          </w:rPr>
          <w:t>ANNEXE E</w:t>
        </w:r>
        <w:r w:rsidR="00911C64">
          <w:rPr>
            <w:noProof/>
            <w:webHidden/>
          </w:rPr>
          <w:tab/>
        </w:r>
        <w:r w:rsidR="00911C64">
          <w:rPr>
            <w:noProof/>
            <w:webHidden/>
          </w:rPr>
          <w:tab/>
        </w:r>
        <w:r w:rsidR="00911C64">
          <w:rPr>
            <w:noProof/>
            <w:webHidden/>
          </w:rPr>
          <w:fldChar w:fldCharType="begin"/>
        </w:r>
        <w:r w:rsidR="00911C64">
          <w:rPr>
            <w:noProof/>
            <w:webHidden/>
          </w:rPr>
          <w:instrText xml:space="preserve"> PAGEREF _Toc73354523 \h </w:instrText>
        </w:r>
        <w:r w:rsidR="00911C64">
          <w:rPr>
            <w:noProof/>
            <w:webHidden/>
          </w:rPr>
        </w:r>
        <w:r w:rsidR="00911C64">
          <w:rPr>
            <w:noProof/>
            <w:webHidden/>
          </w:rPr>
          <w:fldChar w:fldCharType="separate"/>
        </w:r>
        <w:r w:rsidR="0007628D">
          <w:rPr>
            <w:noProof/>
            <w:webHidden/>
          </w:rPr>
          <w:t>125</w:t>
        </w:r>
        <w:r w:rsidR="00911C64">
          <w:rPr>
            <w:noProof/>
            <w:webHidden/>
          </w:rPr>
          <w:fldChar w:fldCharType="end"/>
        </w:r>
      </w:hyperlink>
    </w:p>
    <w:p w14:paraId="214C65EB" w14:textId="630D6D25" w:rsidR="005265FE" w:rsidRPr="004C1BC2" w:rsidRDefault="00911C64" w:rsidP="002178B4">
      <w:r>
        <w:fldChar w:fldCharType="end"/>
      </w:r>
      <w:r w:rsidR="005265FE" w:rsidRPr="004C1BC2">
        <w:br w:type="page"/>
      </w:r>
    </w:p>
    <w:p w14:paraId="0AEEACA2" w14:textId="77777777" w:rsidR="005265FE" w:rsidRPr="004C1BC2" w:rsidRDefault="005265FE" w:rsidP="002178B4">
      <w:pPr>
        <w:pStyle w:val="Heading1"/>
      </w:pPr>
      <w:bookmarkStart w:id="22" w:name="_Toc482888700"/>
      <w:bookmarkStart w:id="23" w:name="_Toc511649420"/>
      <w:bookmarkStart w:id="24" w:name="_Toc511649794"/>
      <w:bookmarkStart w:id="25" w:name="_Toc511649901"/>
      <w:bookmarkStart w:id="26" w:name="_Toc511650019"/>
      <w:bookmarkStart w:id="27" w:name="_Toc511650512"/>
      <w:bookmarkStart w:id="28" w:name="_Toc511651157"/>
      <w:bookmarkStart w:id="29" w:name="_Toc511724022"/>
      <w:bookmarkStart w:id="30" w:name="_Toc511739011"/>
      <w:bookmarkStart w:id="31" w:name="_Toc511740805"/>
      <w:bookmarkStart w:id="32" w:name="_Toc511741180"/>
      <w:bookmarkStart w:id="33" w:name="_Toc9605672"/>
      <w:bookmarkStart w:id="34" w:name="_Toc10450682"/>
      <w:bookmarkStart w:id="35" w:name="_Toc41566295"/>
      <w:bookmarkStart w:id="36" w:name="_Toc41566592"/>
      <w:bookmarkStart w:id="37" w:name="_Toc41567332"/>
      <w:bookmarkStart w:id="38" w:name="_Toc41567820"/>
      <w:bookmarkStart w:id="39" w:name="_Toc41814914"/>
      <w:bookmarkStart w:id="40" w:name="_Toc73354269"/>
      <w:bookmarkStart w:id="41" w:name="_Toc73354404"/>
      <w:bookmarkStart w:id="42" w:name="_Toc73356357"/>
      <w:r w:rsidRPr="004C1BC2">
        <w:lastRenderedPageBreak/>
        <w:t>Avant-propos du Secrétaire général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161888A" w14:textId="0621B654" w:rsidR="005265FE" w:rsidRPr="004C1BC2" w:rsidRDefault="005265FE" w:rsidP="002178B4">
      <w:r w:rsidRPr="004C1BC2">
        <w:t>1</w:t>
      </w:r>
      <w:r w:rsidRPr="004C1BC2">
        <w:tab/>
        <w:t>J'ai l'honneur de présenter au Conseil pour examen, conformément à l'Article 30 du Règlement financier de l'Union (édition de 2018), les états financiers v</w:t>
      </w:r>
      <w:r w:rsidR="003B04AA">
        <w:t>érifiés pour l'exercice clos le </w:t>
      </w:r>
      <w:r w:rsidRPr="004C1BC2">
        <w:t>31 décembre 2020.</w:t>
      </w:r>
    </w:p>
    <w:p w14:paraId="15BFC6C4" w14:textId="77777777" w:rsidR="005265FE" w:rsidRPr="004C1BC2" w:rsidRDefault="005265FE" w:rsidP="002178B4">
      <w:r w:rsidRPr="004C1BC2">
        <w:t>2</w:t>
      </w:r>
      <w:r w:rsidRPr="004C1BC2">
        <w:tab/>
        <w:t>Le Rapport du Vérificateur extérieur des comptes sur les états financiers de 2020, ainsi que son opinion concernant les états financiers, comme le prescrivent l'Article 28 du Règlement financier de l'Union ainsi que son Annexe 1, seront également soumis à la consultation virtuelle des Conseillers dans un document distinct.</w:t>
      </w:r>
    </w:p>
    <w:p w14:paraId="7938FC42" w14:textId="77777777" w:rsidR="005265FE" w:rsidRPr="004C1BC2" w:rsidRDefault="005265FE" w:rsidP="002178B4">
      <w:r w:rsidRPr="004C1BC2">
        <w:t>3</w:t>
      </w:r>
      <w:r w:rsidRPr="004C1BC2">
        <w:tab/>
        <w:t>Les états financiers de 2020 ont été établis conformément aux Normes comptables internationales pour le secteur public (IPSAS). Le Règlement financier prévoit que le budget de l'Union couvre un exercice budgétaire de deux années, mais pour mettre en œuvre intégralement les normes IPSAS, les états financiers sont présentés sur une base annuelle.</w:t>
      </w:r>
    </w:p>
    <w:p w14:paraId="1A325804" w14:textId="77777777" w:rsidR="005265FE" w:rsidRPr="004C1BC2" w:rsidRDefault="005265FE" w:rsidP="002178B4">
      <w:r w:rsidRPr="004C1BC2">
        <w:t>4</w:t>
      </w:r>
      <w:r w:rsidRPr="004C1BC2">
        <w:tab/>
        <w:t xml:space="preserve">L'UIT a appliqué les normes IPSAS en vigueur depuis le 1er janvier 2020 et les principes comptables applicables sont décrits dans la Note 2. La seule dérogation faite dans les états financiers présentés est </w:t>
      </w:r>
      <w:r w:rsidRPr="004C1BC2">
        <w:rPr>
          <w:lang w:eastAsia="fr-FR"/>
        </w:rPr>
        <w:t>la non-capitalisation des coûts de main</w:t>
      </w:r>
      <w:r w:rsidRPr="004C1BC2">
        <w:rPr>
          <w:lang w:eastAsia="fr-FR"/>
        </w:rPr>
        <w:noBreakHyphen/>
        <w:t>d'</w:t>
      </w:r>
      <w:r w:rsidRPr="004C1BC2">
        <w:rPr>
          <w:rFonts w:cs="Calibri"/>
          <w:lang w:eastAsia="fr-FR"/>
        </w:rPr>
        <w:t>œ</w:t>
      </w:r>
      <w:r w:rsidRPr="004C1BC2">
        <w:rPr>
          <w:lang w:eastAsia="fr-FR"/>
        </w:rPr>
        <w:t>uvre directs dans l'évaluation des publications, contrairement aux exigences de la norme IPSAS 12. La capitalisation des coûts de main</w:t>
      </w:r>
      <w:r w:rsidRPr="004C1BC2">
        <w:rPr>
          <w:lang w:eastAsia="fr-FR"/>
        </w:rPr>
        <w:noBreakHyphen/>
        <w:t>d'</w:t>
      </w:r>
      <w:r w:rsidRPr="004C1BC2">
        <w:rPr>
          <w:rFonts w:cs="Calibri"/>
          <w:lang w:eastAsia="fr-FR"/>
        </w:rPr>
        <w:t>œ</w:t>
      </w:r>
      <w:r w:rsidRPr="004C1BC2">
        <w:rPr>
          <w:lang w:eastAsia="fr-FR"/>
        </w:rPr>
        <w:t>uvre risquerait de se traduire par une évaluation du prix des publications bien supérieure à la valeur nette de réalisation fondée sur les prix courants des publications et, de ce fait, par une dégradation du prix de remplacement courant si l'on applique un prix plus bas ou la valeur nette de réalisation.</w:t>
      </w:r>
    </w:p>
    <w:p w14:paraId="18676035" w14:textId="77777777" w:rsidR="005265FE" w:rsidRPr="004C1BC2" w:rsidRDefault="005265FE" w:rsidP="002178B4">
      <w:r w:rsidRPr="004C1BC2">
        <w:t>5</w:t>
      </w:r>
      <w:r w:rsidRPr="004C1BC2">
        <w:tab/>
        <w:t xml:space="preserve">On trouvera dans le Document </w:t>
      </w:r>
      <w:r w:rsidRPr="004C1BC2">
        <w:rPr>
          <w:lang w:eastAsia="fr-FR"/>
        </w:rPr>
        <w:t>C11/INF/9</w:t>
      </w:r>
      <w:r w:rsidRPr="004C1BC2">
        <w:t xml:space="preserve"> la définition de plusieurs termes financiers clés qui permettront au lecteur d'utiliser et de comprendre plus facilement les états financiers.</w:t>
      </w:r>
    </w:p>
    <w:p w14:paraId="50E2810F" w14:textId="77777777" w:rsidR="005265FE" w:rsidRPr="004C1BC2" w:rsidRDefault="005265FE" w:rsidP="002178B4">
      <w:pPr>
        <w:pStyle w:val="Headingb"/>
      </w:pPr>
      <w:bookmarkStart w:id="43" w:name="_Toc329202538"/>
      <w:bookmarkStart w:id="44" w:name="_Toc329204971"/>
      <w:bookmarkStart w:id="45" w:name="_Toc329206808"/>
      <w:bookmarkStart w:id="46" w:name="_Toc358379887"/>
      <w:bookmarkStart w:id="47" w:name="_Toc358380428"/>
      <w:bookmarkStart w:id="48" w:name="_Toc387166611"/>
      <w:bookmarkStart w:id="49" w:name="_Toc387167415"/>
      <w:bookmarkStart w:id="50" w:name="_Toc395260896"/>
      <w:bookmarkStart w:id="51" w:name="_Toc395511676"/>
      <w:bookmarkStart w:id="52" w:name="_Toc452138589"/>
      <w:bookmarkStart w:id="53" w:name="_Toc452139036"/>
      <w:bookmarkStart w:id="54" w:name="_Toc452139395"/>
      <w:bookmarkStart w:id="55" w:name="_Toc452139794"/>
      <w:bookmarkStart w:id="56" w:name="_Toc452140381"/>
      <w:bookmarkStart w:id="57" w:name="_Toc452140661"/>
      <w:bookmarkStart w:id="58" w:name="_Toc482801457"/>
      <w:bookmarkStart w:id="59" w:name="_Toc482888701"/>
      <w:bookmarkStart w:id="60" w:name="_Toc511649421"/>
      <w:bookmarkStart w:id="61" w:name="_Toc511649795"/>
      <w:bookmarkStart w:id="62" w:name="_Toc511649902"/>
      <w:bookmarkStart w:id="63" w:name="_Toc511650020"/>
      <w:bookmarkStart w:id="64" w:name="_Toc511650513"/>
      <w:bookmarkStart w:id="65" w:name="_Toc511651158"/>
      <w:bookmarkStart w:id="66" w:name="_Toc511724023"/>
      <w:bookmarkStart w:id="67" w:name="_Toc511739012"/>
      <w:bookmarkStart w:id="68" w:name="_Toc511741181"/>
      <w:bookmarkStart w:id="69" w:name="_Toc9605673"/>
      <w:bookmarkStart w:id="70" w:name="_Toc10450683"/>
      <w:bookmarkStart w:id="71" w:name="_Toc41566296"/>
      <w:bookmarkStart w:id="72" w:name="_Toc41814915"/>
      <w:bookmarkStart w:id="73" w:name="_Toc73354270"/>
      <w:bookmarkStart w:id="74" w:name="_Toc73354405"/>
      <w:bookmarkStart w:id="75" w:name="_Toc73356358"/>
      <w:r w:rsidRPr="004C1BC2">
        <w:t xml:space="preserve">Principales réunions et manifestations pendant l'exercice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C1BC2">
        <w:rPr>
          <w:rFonts w:asciiTheme="minorHAnsi" w:hAnsiTheme="minorHAnsi"/>
          <w:szCs w:val="24"/>
        </w:rPr>
        <w:t>2020</w:t>
      </w:r>
      <w:bookmarkEnd w:id="73"/>
      <w:bookmarkEnd w:id="74"/>
      <w:bookmarkEnd w:id="75"/>
    </w:p>
    <w:p w14:paraId="1C7DF1F2" w14:textId="4619216A" w:rsidR="005265FE" w:rsidRPr="004C1BC2" w:rsidRDefault="005265FE" w:rsidP="002178B4">
      <w:r w:rsidRPr="004C1BC2">
        <w:t>6</w:t>
      </w:r>
      <w:r w:rsidRPr="004C1BC2">
        <w:tab/>
        <w:t>L'apparition du COVID-19 et de la pandémie mondiale ont amené l'UIT à s'adapter et à réorganiser ses activités,</w:t>
      </w:r>
      <w:r w:rsidR="002178B4" w:rsidRPr="004C1BC2">
        <w:t xml:space="preserve"> </w:t>
      </w:r>
      <w:r w:rsidRPr="004C1BC2">
        <w:t>afin de se tourner vers le télétravail et les réunions virtuelles.</w:t>
      </w:r>
    </w:p>
    <w:p w14:paraId="26B78E0F" w14:textId="77777777" w:rsidR="005265FE" w:rsidRPr="004C1BC2" w:rsidRDefault="005265FE" w:rsidP="002178B4">
      <w:r w:rsidRPr="004C1BC2">
        <w:t>7</w:t>
      </w:r>
      <w:r w:rsidRPr="004C1BC2">
        <w:tab/>
        <w:t>En effet, en raison de la situation sanitaire, l'UIT n'a pas été en mesure d'organiser les réunions qui devaient se tenir en présentiel.</w:t>
      </w:r>
    </w:p>
    <w:p w14:paraId="6AD19151" w14:textId="0550524B" w:rsidR="005265FE" w:rsidRPr="004C1BC2" w:rsidRDefault="005265FE" w:rsidP="002178B4">
      <w:r w:rsidRPr="004C1BC2">
        <w:t>8</w:t>
      </w:r>
      <w:r w:rsidRPr="004C1BC2">
        <w:tab/>
        <w:t>Toutefois, grâce à</w:t>
      </w:r>
      <w:r w:rsidR="002178B4" w:rsidRPr="004C1BC2">
        <w:t xml:space="preserve"> </w:t>
      </w:r>
      <w:r w:rsidRPr="004C1BC2">
        <w:t>la mobilisation de</w:t>
      </w:r>
      <w:r w:rsidR="002178B4" w:rsidRPr="004C1BC2">
        <w:t xml:space="preserve"> </w:t>
      </w:r>
      <w:r w:rsidRPr="004C1BC2">
        <w:t>moyens techniques et</w:t>
      </w:r>
      <w:r w:rsidR="002178B4" w:rsidRPr="004C1BC2">
        <w:t xml:space="preserve"> </w:t>
      </w:r>
      <w:r w:rsidRPr="004C1BC2">
        <w:t>à la détermination de tous ses partenaires (États Membres, Membres de Secteur, Associés et établissements universitaires), l'Union a pu poursuivre ses activités.</w:t>
      </w:r>
    </w:p>
    <w:p w14:paraId="04C0AF4A" w14:textId="77777777" w:rsidR="005265FE" w:rsidRPr="004C1BC2" w:rsidRDefault="005265FE" w:rsidP="002178B4">
      <w:r w:rsidRPr="004C1BC2">
        <w:t>9</w:t>
      </w:r>
      <w:r w:rsidRPr="004C1BC2">
        <w:tab/>
        <w:t>En 2020, le programme d'activités de l'Union comprenait, parmi de nombreuses réunions virtuelles, les grandes manifestations suivantes:</w:t>
      </w:r>
    </w:p>
    <w:p w14:paraId="6F115BDC" w14:textId="4A546C7D" w:rsidR="005265FE" w:rsidRPr="004C1BC2" w:rsidRDefault="005265FE" w:rsidP="002178B4">
      <w:r w:rsidRPr="004C1BC2">
        <w:t>10</w:t>
      </w:r>
      <w:r w:rsidRPr="004C1BC2">
        <w:tab/>
        <w:t>Le Sommet mondial sur la société de l'information (SMSI) s'est déroulé durant tout l'été et s'est achevé par la dernière semaine du Forum, qui a eu lieu du 7 au 10 septembre 2020. De la même manière que lors de la manifestation en présentiel, les participants ont été en mesure de suivre toutes les sessions en direct, d'interagir avec les intervenants dans le cadre de séances de questions-réponses, de dialoguer et de nouer des relations avec différentes communautés et de procéder à des échanges de vues au sujet des nouvelles technologies et des faits récents dans le secteur des TIC dans le contexte de la pandémie de COVID-19, afin de poursuivre les efforts en faveur de l'édification de sociétés de l'information et du savoir inclusives.</w:t>
      </w:r>
      <w:r w:rsidR="002178B4" w:rsidRPr="004C1BC2">
        <w:t xml:space="preserve"> </w:t>
      </w:r>
      <w:r w:rsidRPr="004C1BC2">
        <w:t>En 2020, le thème</w:t>
      </w:r>
      <w:r w:rsidR="002178B4" w:rsidRPr="004C1BC2">
        <w:t xml:space="preserve"> </w:t>
      </w:r>
      <w:r w:rsidRPr="004C1BC2">
        <w:t>du</w:t>
      </w:r>
      <w:r w:rsidRPr="004C1BC2">
        <w:rPr>
          <w:color w:val="000000"/>
        </w:rPr>
        <w:t xml:space="preserve"> Forum</w:t>
      </w:r>
      <w:r w:rsidR="002178B4" w:rsidRPr="004C1BC2">
        <w:t xml:space="preserve"> </w:t>
      </w:r>
      <w:r w:rsidRPr="004C1BC2">
        <w:t>était le suivant: "</w:t>
      </w:r>
      <w:r w:rsidRPr="004C1BC2">
        <w:rPr>
          <w:b/>
          <w:bCs/>
        </w:rPr>
        <w:t xml:space="preserve">Promouvoir la transformation numérique et les partenariats au niveau mondial: les grandes orientations du SMSI au service de la réalisation des </w:t>
      </w:r>
      <w:r w:rsidRPr="004C1BC2">
        <w:rPr>
          <w:b/>
          <w:bCs/>
          <w:color w:val="000000"/>
        </w:rPr>
        <w:t xml:space="preserve">Objectifs de </w:t>
      </w:r>
      <w:r w:rsidRPr="004C1BC2">
        <w:rPr>
          <w:b/>
          <w:bCs/>
          <w:color w:val="000000"/>
        </w:rPr>
        <w:lastRenderedPageBreak/>
        <w:t>développement durable (ODD)</w:t>
      </w:r>
      <w:r w:rsidRPr="004C1BC2">
        <w:t>". Pour cette 15ème édition, le Forum a suscité beaucoup d'intérêt et d'enthousiasme dans le monde entier, puisqu'au total, plus de 15 000 participants de 150 pays ont pris part à quelque 160 séances virtuelles,</w:t>
      </w:r>
      <w:r w:rsidR="002178B4" w:rsidRPr="004C1BC2">
        <w:t xml:space="preserve"> </w:t>
      </w:r>
      <w:r w:rsidRPr="004C1BC2">
        <w:t>lors desquelles 846 orateurs différents sont intervenus. Les sessions virtuelles ont été organisées par les parties prenantes du SMSI</w:t>
      </w:r>
      <w:r w:rsidR="002178B4" w:rsidRPr="004C1BC2">
        <w:t>,</w:t>
      </w:r>
      <w:r w:rsidRPr="004C1BC2">
        <w:t xml:space="preserve"> dans le but de mettre en</w:t>
      </w:r>
      <w:r w:rsidR="002178B4" w:rsidRPr="004C1BC2">
        <w:t xml:space="preserve"> </w:t>
      </w:r>
      <w:r w:rsidRPr="004C1BC2">
        <w:t xml:space="preserve">avant le rôle des TIC dans le développement durable. </w:t>
      </w:r>
    </w:p>
    <w:p w14:paraId="07FDE6AF" w14:textId="18C3C1F5" w:rsidR="005265FE" w:rsidRPr="004C1BC2" w:rsidRDefault="005265FE" w:rsidP="002178B4">
      <w:r w:rsidRPr="004C1BC2">
        <w:t>11</w:t>
      </w:r>
      <w:r w:rsidRPr="004C1BC2">
        <w:tab/>
        <w:t>En raison de la pandémie de COVID-19, le Sommet mondial sur l'intelligence artificielle au service du bien social a pris la forme d'une manifestation virtuelle organisée tout au long de l'année. Un programme numérique hebdomadaire a été créé, avec de nouveaux exposés et webinaires spécialisés et de nouvelles présentations de projets, des séances de questions</w:t>
      </w:r>
      <w:r w:rsidR="002178B4" w:rsidRPr="004C1BC2">
        <w:noBreakHyphen/>
      </w:r>
      <w:r w:rsidRPr="004C1BC2">
        <w:t>réponses, des démonstrations et des possibilités de</w:t>
      </w:r>
      <w:r w:rsidR="002178B4" w:rsidRPr="004C1BC2">
        <w:t xml:space="preserve"> </w:t>
      </w:r>
      <w:r w:rsidRPr="004C1BC2">
        <w:rPr>
          <w:color w:val="000000"/>
        </w:rPr>
        <w:t>contacts professionnels</w:t>
      </w:r>
      <w:r w:rsidR="002178B4" w:rsidRPr="004C1BC2">
        <w:rPr>
          <w:color w:val="000000"/>
        </w:rPr>
        <w:t>.</w:t>
      </w:r>
      <w:r w:rsidRPr="004C1BC2">
        <w:t xml:space="preserve"> Dans ce contexte,</w:t>
      </w:r>
      <w:r w:rsidR="002178B4" w:rsidRPr="004C1BC2">
        <w:t xml:space="preserve"> </w:t>
      </w:r>
      <w:r w:rsidRPr="004C1BC2">
        <w:t xml:space="preserve">pas moins de 50 manifestations ont été organisées. Divers thèmes, tels que l'intelligence artificielle au service de la santé, les technologies d'intelligence artificielle pour parvenir à l'égalité hommes-femmes ou la protection en ligne des enfants au moyen de l'intelligence artificielle, ont été traités et examinés tout au long de l'année. </w:t>
      </w:r>
    </w:p>
    <w:p w14:paraId="32878072" w14:textId="7ED27635" w:rsidR="005265FE" w:rsidRPr="004C1BC2" w:rsidRDefault="005265FE" w:rsidP="002178B4">
      <w:r w:rsidRPr="004C1BC2">
        <w:t>12</w:t>
      </w:r>
      <w:r w:rsidRPr="004C1BC2">
        <w:tab/>
        <w:t>Initialement prévue à Hanoï (Viet Nam) du 6 au 8 septembre 2020, la manifestation ITU</w:t>
      </w:r>
      <w:r w:rsidR="002178B4" w:rsidRPr="004C1BC2">
        <w:t> </w:t>
      </w:r>
      <w:r w:rsidRPr="004C1BC2">
        <w:t>Telecom a été organisée par</w:t>
      </w:r>
      <w:r w:rsidR="002178B4" w:rsidRPr="004C1BC2">
        <w:t xml:space="preserve"> </w:t>
      </w:r>
      <w:r w:rsidRPr="004C1BC2">
        <w:t>le secrétariat d'ITU Telecom, avec l'appui du pays hôte, sous la forme</w:t>
      </w:r>
      <w:r w:rsidR="002178B4" w:rsidRPr="004C1BC2">
        <w:t xml:space="preserve"> </w:t>
      </w:r>
      <w:r w:rsidRPr="004C1BC2">
        <w:t>d</w:t>
      </w:r>
      <w:r w:rsidR="002178B4" w:rsidRPr="004C1BC2">
        <w:t>'</w:t>
      </w:r>
      <w:r w:rsidRPr="004C1BC2">
        <w:t>une série de manifestations virtuelles en 2020, afin de mettre en place le cadre de la manifestation en présentiel et de continuer de fournir une tribune à l'ensemble des parties prenantes jusqu'à ce qu'elles puissent se réunir physiquement. La première manifestation</w:t>
      </w:r>
      <w:r w:rsidR="002178B4" w:rsidRPr="004C1BC2">
        <w:t xml:space="preserve">, </w:t>
      </w:r>
      <w:r w:rsidRPr="004C1BC2">
        <w:t>"ITU</w:t>
      </w:r>
      <w:r w:rsidR="002178B4" w:rsidRPr="004C1BC2">
        <w:t> </w:t>
      </w:r>
      <w:r w:rsidRPr="004C1BC2">
        <w:t>Virtual Digital World 2020",</w:t>
      </w:r>
      <w:r w:rsidR="002178B4" w:rsidRPr="004C1BC2">
        <w:t xml:space="preserve"> </w:t>
      </w:r>
      <w:r w:rsidRPr="004C1BC2">
        <w:t xml:space="preserve">a eu lieu en octobre 2020 et comprenait des tables rondes ministérielles portant sur "Le rôle des technologies numériques </w:t>
      </w:r>
      <w:r w:rsidR="003B04AA">
        <w:t>pendant et après la pandémie de </w:t>
      </w:r>
      <w:r w:rsidRPr="004C1BC2">
        <w:t xml:space="preserve">COVID-19", ainsi que des </w:t>
      </w:r>
      <w:r w:rsidRPr="004C1BC2">
        <w:rPr>
          <w:color w:val="000000"/>
        </w:rPr>
        <w:t>webinaires organisés dans le cadre du Forum</w:t>
      </w:r>
      <w:r w:rsidR="002178B4" w:rsidRPr="004C1BC2">
        <w:rPr>
          <w:color w:val="000000"/>
        </w:rPr>
        <w:t>.</w:t>
      </w:r>
      <w:r w:rsidRPr="004C1BC2">
        <w:t xml:space="preserve"> Le programme de Prix virtuels ITU Digital World 2020 destinés aux PME et de </w:t>
      </w:r>
      <w:proofErr w:type="spellStart"/>
      <w:r w:rsidRPr="004C1BC2">
        <w:t>masterclasses</w:t>
      </w:r>
      <w:proofErr w:type="spellEnd"/>
      <w:r w:rsidRPr="004C1BC2">
        <w:t xml:space="preserve"> a été organisé en ligne en novembre et</w:t>
      </w:r>
      <w:r w:rsidR="002178B4" w:rsidRPr="004C1BC2">
        <w:t xml:space="preserve"> </w:t>
      </w:r>
      <w:r w:rsidRPr="004C1BC2">
        <w:t>décembre 2020.</w:t>
      </w:r>
    </w:p>
    <w:p w14:paraId="13576A16" w14:textId="77777777" w:rsidR="005265FE" w:rsidRPr="004C1BC2" w:rsidRDefault="005265FE" w:rsidP="002178B4">
      <w:pPr>
        <w:rPr>
          <w:rFonts w:eastAsia="SimSun"/>
        </w:rPr>
      </w:pPr>
      <w:r w:rsidRPr="004C1BC2">
        <w:t>13</w:t>
      </w:r>
      <w:r w:rsidRPr="004C1BC2">
        <w:tab/>
      </w:r>
      <w:r w:rsidRPr="004C1BC2">
        <w:rPr>
          <w:rFonts w:eastAsia="SimSun"/>
        </w:rPr>
        <w:t xml:space="preserve">En </w:t>
      </w:r>
      <w:r w:rsidRPr="004C1BC2">
        <w:t>2020</w:t>
      </w:r>
      <w:r w:rsidRPr="004C1BC2">
        <w:rPr>
          <w:rFonts w:eastAsia="SimSun"/>
        </w:rPr>
        <w:t>, l'Union a poursuivi ses efforts en vue d'améliorer les procédures de coordination et de réduire les coûts, conformément à l'Annexe 2 de la Décision 5</w:t>
      </w:r>
      <w:r w:rsidRPr="004C1BC2">
        <w:t xml:space="preserve"> (Rév. Dubaï, 2018) de la Conférence de plénipotentiaires.</w:t>
      </w:r>
    </w:p>
    <w:p w14:paraId="1B8D8B36" w14:textId="77777777" w:rsidR="005265FE" w:rsidRPr="004C1BC2" w:rsidRDefault="005265FE" w:rsidP="002178B4">
      <w:r w:rsidRPr="004C1BC2">
        <w:t>14</w:t>
      </w:r>
      <w:r w:rsidRPr="004C1BC2">
        <w:tab/>
        <w:t>L'UIT participe activement aux activités financées conjointement avec les Nations Unies. Plusieurs initiatives récentes ont eu pour résultat de diminuer les coûts pour les organismes participants, soit: baisse des coûts de l'électricité, des fournitures de bureau, du mazout et des services de courrier et négociations avec les compagnies aériennes.</w:t>
      </w:r>
    </w:p>
    <w:p w14:paraId="20225975" w14:textId="50841AF4" w:rsidR="005265FE" w:rsidRPr="004C1BC2" w:rsidRDefault="005265FE" w:rsidP="002178B4">
      <w:r w:rsidRPr="004C1BC2">
        <w:t>15</w:t>
      </w:r>
      <w:r w:rsidRPr="004C1BC2">
        <w:tab/>
        <w:t xml:space="preserve">Depuis le 1er janvier 2020, sur la base d'une recommandation du </w:t>
      </w:r>
      <w:r w:rsidRPr="004C1BC2">
        <w:rPr>
          <w:i/>
          <w:iCs/>
        </w:rPr>
        <w:t>Comité de la Convention collective d</w:t>
      </w:r>
      <w:r w:rsidR="002178B4" w:rsidRPr="004C1BC2">
        <w:rPr>
          <w:i/>
          <w:iCs/>
        </w:rPr>
        <w:t>'</w:t>
      </w:r>
      <w:r w:rsidRPr="004C1BC2">
        <w:rPr>
          <w:i/>
          <w:iCs/>
        </w:rPr>
        <w:t>assurance maladie</w:t>
      </w:r>
      <w:r w:rsidRPr="004C1BC2">
        <w:t>, le Secrétaire général a pris la décision d'intégrer l'Assurance mutuelle contre la maladie et les accidents du personnel des Nations Unies (UNSMIS), qui regroupe plusieurs organisations et institutions spécialisées des Nations Unies basées à Genève et comprend le personnel de l'Office des Nations Unies, du HCR et de l'OMM.</w:t>
      </w:r>
    </w:p>
    <w:p w14:paraId="60CE91E1" w14:textId="77777777" w:rsidR="005265FE" w:rsidRPr="004C1BC2" w:rsidRDefault="005265FE" w:rsidP="002178B4">
      <w:pPr>
        <w:pStyle w:val="Headingb"/>
        <w:rPr>
          <w:rFonts w:eastAsia="SimSun"/>
        </w:rPr>
      </w:pPr>
      <w:bookmarkStart w:id="76" w:name="_Toc387167416"/>
      <w:bookmarkStart w:id="77" w:name="_Toc452138590"/>
      <w:bookmarkStart w:id="78" w:name="_Toc452139037"/>
      <w:bookmarkStart w:id="79" w:name="_Toc452139396"/>
      <w:bookmarkStart w:id="80" w:name="_Toc452139795"/>
      <w:bookmarkStart w:id="81" w:name="_Toc452140382"/>
      <w:bookmarkStart w:id="82" w:name="_Toc452140662"/>
      <w:bookmarkStart w:id="83" w:name="_Toc482801458"/>
      <w:bookmarkStart w:id="84" w:name="_Toc482888702"/>
      <w:bookmarkStart w:id="85" w:name="_Toc511649422"/>
      <w:bookmarkStart w:id="86" w:name="_Toc511649796"/>
      <w:bookmarkStart w:id="87" w:name="_Toc511649903"/>
      <w:bookmarkStart w:id="88" w:name="_Toc511650021"/>
      <w:bookmarkStart w:id="89" w:name="_Toc511650514"/>
      <w:bookmarkStart w:id="90" w:name="_Toc511651159"/>
      <w:bookmarkStart w:id="91" w:name="_Toc511724024"/>
      <w:bookmarkStart w:id="92" w:name="_Toc511739013"/>
      <w:bookmarkStart w:id="93" w:name="_Toc511741182"/>
      <w:bookmarkStart w:id="94" w:name="_Toc9605674"/>
      <w:bookmarkStart w:id="95" w:name="_Toc10450684"/>
      <w:bookmarkStart w:id="96" w:name="_Toc41566297"/>
      <w:bookmarkStart w:id="97" w:name="_Toc41814916"/>
      <w:bookmarkStart w:id="98" w:name="_Toc73354271"/>
      <w:bookmarkStart w:id="99" w:name="_Toc73354406"/>
      <w:bookmarkStart w:id="100" w:name="_Toc73356359"/>
      <w:r w:rsidRPr="004C1BC2">
        <w:rPr>
          <w:rFonts w:eastAsia="SimSun"/>
        </w:rPr>
        <w:t>Éléments essentiels du rapport de gestion financière</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FBF3D4D" w14:textId="77777777" w:rsidR="005265FE" w:rsidRPr="004C1BC2" w:rsidRDefault="005265FE" w:rsidP="002178B4">
      <w:pPr>
        <w:rPr>
          <w:rFonts w:eastAsia="SimSun"/>
        </w:rPr>
      </w:pPr>
      <w:r w:rsidRPr="004C1BC2">
        <w:rPr>
          <w:rFonts w:eastAsia="SimSun"/>
        </w:rPr>
        <w:t>16</w:t>
      </w:r>
      <w:r w:rsidRPr="004C1BC2">
        <w:rPr>
          <w:rFonts w:eastAsia="SimSun"/>
        </w:rPr>
        <w:tab/>
        <w:t>La comptabilité de l'Union est tenue en francs suisses. Les états financiers présentés tiennent compte des activités extrabudgétaires de l'Union.</w:t>
      </w:r>
    </w:p>
    <w:p w14:paraId="5127BDB2" w14:textId="77777777" w:rsidR="00F31D7F" w:rsidRPr="004C1BC2" w:rsidRDefault="00F31D7F" w:rsidP="002178B4">
      <w:pPr>
        <w:keepNext/>
        <w:keepLines/>
        <w:spacing w:after="240"/>
      </w:pPr>
      <w:r w:rsidRPr="004C1BC2">
        <w:br w:type="page"/>
      </w:r>
    </w:p>
    <w:p w14:paraId="7DDB0078" w14:textId="0EAAFFE5" w:rsidR="00F31D7F" w:rsidRPr="004C1BC2" w:rsidRDefault="005265FE" w:rsidP="002178B4">
      <w:pPr>
        <w:keepNext/>
        <w:keepLines/>
        <w:spacing w:after="240"/>
      </w:pPr>
      <w:r w:rsidRPr="004C1BC2">
        <w:lastRenderedPageBreak/>
        <w:t>17</w:t>
      </w:r>
      <w:r w:rsidRPr="004C1BC2">
        <w:tab/>
        <w:t>Le tableau ci-après récapitule la situation financière de l'UIT en 2020, par rapport à 2019.</w:t>
      </w:r>
    </w:p>
    <w:tbl>
      <w:tblPr>
        <w:tblW w:w="7815" w:type="dxa"/>
        <w:tblInd w:w="699" w:type="dxa"/>
        <w:tblLook w:val="04A0" w:firstRow="1" w:lastRow="0" w:firstColumn="1" w:lastColumn="0" w:noHBand="0" w:noVBand="1"/>
      </w:tblPr>
      <w:tblGrid>
        <w:gridCol w:w="3177"/>
        <w:gridCol w:w="2370"/>
        <w:gridCol w:w="2268"/>
      </w:tblGrid>
      <w:tr w:rsidR="00F31D7F" w:rsidRPr="004C1BC2" w14:paraId="457C7971" w14:textId="77777777" w:rsidTr="00761B6C">
        <w:trPr>
          <w:trHeight w:val="510"/>
        </w:trPr>
        <w:tc>
          <w:tcPr>
            <w:tcW w:w="3177" w:type="dxa"/>
            <w:tcBorders>
              <w:top w:val="single" w:sz="8" w:space="0" w:color="auto"/>
              <w:left w:val="single" w:sz="8" w:space="0" w:color="auto"/>
              <w:bottom w:val="single" w:sz="8" w:space="0" w:color="auto"/>
              <w:right w:val="nil"/>
            </w:tcBorders>
            <w:shd w:val="clear" w:color="auto" w:fill="auto"/>
            <w:noWrap/>
            <w:vAlign w:val="center"/>
            <w:hideMark/>
          </w:tcPr>
          <w:p w14:paraId="39BAA0EA" w14:textId="6C25E990" w:rsidR="00F31D7F" w:rsidRPr="004C1BC2" w:rsidRDefault="00F31D7F" w:rsidP="002178B4">
            <w:pPr>
              <w:pStyle w:val="Tablehead"/>
              <w:keepNext/>
              <w:keepLines/>
              <w:spacing w:before="0" w:after="0"/>
              <w:rPr>
                <w:szCs w:val="22"/>
                <w:lang w:eastAsia="zh-CN"/>
              </w:rPr>
            </w:pPr>
            <w:r w:rsidRPr="004C1BC2">
              <w:rPr>
                <w:szCs w:val="22"/>
                <w:lang w:eastAsia="zh-CN"/>
              </w:rPr>
              <w:t>Milliers CHF</w:t>
            </w:r>
          </w:p>
        </w:tc>
        <w:tc>
          <w:tcPr>
            <w:tcW w:w="2370" w:type="dxa"/>
            <w:tcBorders>
              <w:top w:val="single" w:sz="8" w:space="0" w:color="auto"/>
              <w:left w:val="nil"/>
              <w:bottom w:val="single" w:sz="8" w:space="0" w:color="auto"/>
              <w:right w:val="nil"/>
            </w:tcBorders>
            <w:shd w:val="clear" w:color="auto" w:fill="auto"/>
            <w:noWrap/>
            <w:vAlign w:val="center"/>
            <w:hideMark/>
          </w:tcPr>
          <w:p w14:paraId="47BC0E25" w14:textId="77777777" w:rsidR="00F31D7F" w:rsidRPr="004C1BC2" w:rsidRDefault="00F31D7F" w:rsidP="002178B4">
            <w:pPr>
              <w:pStyle w:val="Tablehead"/>
              <w:keepNext/>
              <w:keepLines/>
              <w:spacing w:before="0" w:after="0"/>
              <w:rPr>
                <w:szCs w:val="22"/>
                <w:lang w:eastAsia="zh-CN"/>
              </w:rPr>
            </w:pPr>
            <w:r w:rsidRPr="004C1BC2">
              <w:rPr>
                <w:szCs w:val="22"/>
                <w:lang w:eastAsia="zh-CN"/>
              </w:rPr>
              <w:t>2020</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147772D1" w14:textId="77777777" w:rsidR="00F31D7F" w:rsidRPr="004C1BC2" w:rsidRDefault="00F31D7F" w:rsidP="002178B4">
            <w:pPr>
              <w:pStyle w:val="Tablehead"/>
              <w:keepNext/>
              <w:keepLines/>
              <w:spacing w:before="0" w:after="0"/>
              <w:rPr>
                <w:szCs w:val="22"/>
                <w:lang w:eastAsia="zh-CN"/>
              </w:rPr>
            </w:pPr>
            <w:r w:rsidRPr="004C1BC2">
              <w:rPr>
                <w:szCs w:val="22"/>
                <w:lang w:eastAsia="zh-CN"/>
              </w:rPr>
              <w:t>2019</w:t>
            </w:r>
          </w:p>
        </w:tc>
      </w:tr>
      <w:tr w:rsidR="00F31D7F" w:rsidRPr="004C1BC2" w14:paraId="57E7C0D2" w14:textId="77777777" w:rsidTr="00761B6C">
        <w:trPr>
          <w:trHeight w:val="255"/>
        </w:trPr>
        <w:tc>
          <w:tcPr>
            <w:tcW w:w="3177" w:type="dxa"/>
            <w:tcBorders>
              <w:top w:val="nil"/>
              <w:left w:val="single" w:sz="8" w:space="0" w:color="auto"/>
              <w:bottom w:val="nil"/>
              <w:right w:val="nil"/>
            </w:tcBorders>
            <w:shd w:val="clear" w:color="auto" w:fill="auto"/>
            <w:noWrap/>
            <w:vAlign w:val="bottom"/>
            <w:hideMark/>
          </w:tcPr>
          <w:p w14:paraId="1C7B7D19" w14:textId="34A2F945" w:rsidR="00F31D7F" w:rsidRPr="004C1BC2" w:rsidRDefault="00F31D7F" w:rsidP="00F31D7F">
            <w:pPr>
              <w:pStyle w:val="Tabletext"/>
              <w:spacing w:before="0" w:after="0"/>
              <w:rPr>
                <w:szCs w:val="22"/>
                <w:lang w:eastAsia="zh-CN"/>
              </w:rPr>
            </w:pPr>
            <w:r w:rsidRPr="004C1BC2">
              <w:rPr>
                <w:szCs w:val="22"/>
                <w:lang w:eastAsia="zh-CN"/>
              </w:rPr>
              <w:t>Produits</w:t>
            </w:r>
          </w:p>
        </w:tc>
        <w:tc>
          <w:tcPr>
            <w:tcW w:w="2370" w:type="dxa"/>
            <w:tcBorders>
              <w:top w:val="nil"/>
              <w:left w:val="nil"/>
              <w:bottom w:val="nil"/>
              <w:right w:val="nil"/>
            </w:tcBorders>
            <w:shd w:val="clear" w:color="auto" w:fill="auto"/>
            <w:noWrap/>
            <w:vAlign w:val="bottom"/>
          </w:tcPr>
          <w:p w14:paraId="487ADBC8" w14:textId="682A6FB3" w:rsidR="00F31D7F" w:rsidRPr="004C1BC2" w:rsidRDefault="00F31D7F" w:rsidP="00F31D7F">
            <w:pPr>
              <w:pStyle w:val="Tabletext"/>
              <w:spacing w:before="0" w:after="0"/>
              <w:jc w:val="right"/>
              <w:rPr>
                <w:szCs w:val="22"/>
                <w:lang w:eastAsia="zh-CN"/>
              </w:rPr>
            </w:pPr>
            <w:r w:rsidRPr="004C1BC2">
              <w:rPr>
                <w:rFonts w:asciiTheme="minorHAnsi" w:hAnsiTheme="minorHAnsi" w:cs="Arial"/>
                <w:color w:val="000000"/>
                <w:szCs w:val="24"/>
                <w:lang w:eastAsia="zh-CN"/>
              </w:rPr>
              <w:t>170 373</w:t>
            </w:r>
          </w:p>
        </w:tc>
        <w:tc>
          <w:tcPr>
            <w:tcW w:w="2268" w:type="dxa"/>
            <w:tcBorders>
              <w:top w:val="nil"/>
              <w:left w:val="nil"/>
              <w:bottom w:val="nil"/>
              <w:right w:val="single" w:sz="8" w:space="0" w:color="auto"/>
            </w:tcBorders>
            <w:shd w:val="clear" w:color="auto" w:fill="auto"/>
            <w:noWrap/>
            <w:vAlign w:val="bottom"/>
          </w:tcPr>
          <w:p w14:paraId="2C4E6E3C" w14:textId="2708A4AA" w:rsidR="00F31D7F" w:rsidRPr="004C1BC2" w:rsidRDefault="003B04AA" w:rsidP="00F31D7F">
            <w:pPr>
              <w:pStyle w:val="Tabletext"/>
              <w:spacing w:before="0" w:after="0"/>
              <w:jc w:val="right"/>
              <w:rPr>
                <w:szCs w:val="22"/>
                <w:lang w:eastAsia="zh-CN"/>
              </w:rPr>
            </w:pPr>
            <w:r w:rsidRPr="003B04AA">
              <w:rPr>
                <w:rFonts w:asciiTheme="minorHAnsi" w:hAnsiTheme="minorHAnsi" w:cs="Arial"/>
                <w:color w:val="000000"/>
                <w:szCs w:val="24"/>
                <w:lang w:val="en-US" w:eastAsia="zh-CN"/>
              </w:rPr>
              <w:t>187</w:t>
            </w:r>
            <w:r>
              <w:rPr>
                <w:rFonts w:asciiTheme="minorHAnsi" w:hAnsiTheme="minorHAnsi" w:cs="Arial"/>
                <w:color w:val="000000"/>
                <w:szCs w:val="24"/>
                <w:lang w:val="en-US" w:eastAsia="zh-CN"/>
              </w:rPr>
              <w:t xml:space="preserve"> </w:t>
            </w:r>
            <w:r w:rsidRPr="003B04AA">
              <w:rPr>
                <w:rFonts w:asciiTheme="minorHAnsi" w:hAnsiTheme="minorHAnsi" w:cs="Arial"/>
                <w:color w:val="000000"/>
                <w:szCs w:val="24"/>
                <w:lang w:val="en-US" w:eastAsia="zh-CN"/>
              </w:rPr>
              <w:t>177</w:t>
            </w:r>
          </w:p>
        </w:tc>
      </w:tr>
      <w:tr w:rsidR="00F31D7F" w:rsidRPr="004C1BC2" w14:paraId="22040B8F" w14:textId="77777777" w:rsidTr="00761B6C">
        <w:trPr>
          <w:trHeight w:val="255"/>
        </w:trPr>
        <w:tc>
          <w:tcPr>
            <w:tcW w:w="3177" w:type="dxa"/>
            <w:tcBorders>
              <w:top w:val="nil"/>
              <w:left w:val="single" w:sz="8" w:space="0" w:color="auto"/>
              <w:bottom w:val="nil"/>
              <w:right w:val="nil"/>
            </w:tcBorders>
            <w:shd w:val="clear" w:color="auto" w:fill="auto"/>
            <w:noWrap/>
            <w:vAlign w:val="bottom"/>
            <w:hideMark/>
          </w:tcPr>
          <w:p w14:paraId="703A9D8C" w14:textId="750AD038" w:rsidR="00F31D7F" w:rsidRPr="004C1BC2" w:rsidRDefault="00F31D7F" w:rsidP="00F31D7F">
            <w:pPr>
              <w:pStyle w:val="Tabletext"/>
              <w:spacing w:before="0" w:after="0"/>
              <w:rPr>
                <w:szCs w:val="22"/>
                <w:lang w:eastAsia="zh-CN"/>
              </w:rPr>
            </w:pPr>
            <w:r w:rsidRPr="004C1BC2">
              <w:rPr>
                <w:szCs w:val="22"/>
                <w:lang w:eastAsia="zh-CN"/>
              </w:rPr>
              <w:t>Charges</w:t>
            </w:r>
          </w:p>
        </w:tc>
        <w:tc>
          <w:tcPr>
            <w:tcW w:w="2370" w:type="dxa"/>
            <w:tcBorders>
              <w:top w:val="nil"/>
              <w:left w:val="nil"/>
              <w:bottom w:val="nil"/>
              <w:right w:val="nil"/>
            </w:tcBorders>
            <w:shd w:val="clear" w:color="auto" w:fill="auto"/>
            <w:noWrap/>
            <w:vAlign w:val="bottom"/>
          </w:tcPr>
          <w:p w14:paraId="13BB0543" w14:textId="501237E1" w:rsidR="00F31D7F" w:rsidRPr="004C1BC2" w:rsidRDefault="00F31D7F" w:rsidP="00F31D7F">
            <w:pPr>
              <w:pStyle w:val="Tabletext"/>
              <w:spacing w:before="0" w:after="0"/>
              <w:jc w:val="right"/>
              <w:rPr>
                <w:szCs w:val="22"/>
                <w:lang w:eastAsia="zh-CN"/>
              </w:rPr>
            </w:pPr>
            <w:r w:rsidRPr="004C1BC2">
              <w:rPr>
                <w:rFonts w:asciiTheme="minorHAnsi" w:hAnsiTheme="minorHAnsi" w:cs="Arial"/>
                <w:color w:val="000000"/>
                <w:szCs w:val="24"/>
                <w:lang w:eastAsia="zh-CN"/>
              </w:rPr>
              <w:t>217 632</w:t>
            </w:r>
          </w:p>
        </w:tc>
        <w:tc>
          <w:tcPr>
            <w:tcW w:w="2268" w:type="dxa"/>
            <w:tcBorders>
              <w:top w:val="nil"/>
              <w:left w:val="nil"/>
              <w:bottom w:val="nil"/>
              <w:right w:val="single" w:sz="8" w:space="0" w:color="auto"/>
            </w:tcBorders>
            <w:shd w:val="clear" w:color="auto" w:fill="auto"/>
            <w:noWrap/>
            <w:vAlign w:val="bottom"/>
          </w:tcPr>
          <w:p w14:paraId="08C5A97E" w14:textId="2FB9A86A" w:rsidR="00F31D7F" w:rsidRPr="004C1BC2" w:rsidRDefault="003B04AA" w:rsidP="003B04AA">
            <w:pPr>
              <w:pStyle w:val="Tabletext"/>
              <w:spacing w:before="0" w:after="0"/>
              <w:jc w:val="right"/>
              <w:rPr>
                <w:szCs w:val="22"/>
                <w:lang w:eastAsia="zh-CN"/>
              </w:rPr>
            </w:pPr>
            <w:r>
              <w:rPr>
                <w:rFonts w:asciiTheme="minorHAnsi" w:hAnsiTheme="minorHAnsi" w:cs="Arial"/>
                <w:color w:val="000000"/>
                <w:szCs w:val="24"/>
                <w:lang w:eastAsia="zh-CN"/>
              </w:rPr>
              <w:t>244</w:t>
            </w:r>
            <w:r w:rsidR="00F31D7F" w:rsidRPr="004C1BC2">
              <w:rPr>
                <w:rFonts w:asciiTheme="minorHAnsi" w:hAnsiTheme="minorHAnsi" w:cs="Arial"/>
                <w:color w:val="000000"/>
                <w:szCs w:val="24"/>
                <w:lang w:eastAsia="zh-CN"/>
              </w:rPr>
              <w:t xml:space="preserve"> </w:t>
            </w:r>
            <w:r>
              <w:rPr>
                <w:rFonts w:asciiTheme="minorHAnsi" w:hAnsiTheme="minorHAnsi" w:cs="Arial"/>
                <w:color w:val="000000"/>
                <w:szCs w:val="24"/>
                <w:lang w:eastAsia="zh-CN"/>
              </w:rPr>
              <w:t>640</w:t>
            </w:r>
          </w:p>
        </w:tc>
      </w:tr>
      <w:tr w:rsidR="00F31D7F" w:rsidRPr="004C1BC2" w14:paraId="6265B342" w14:textId="77777777" w:rsidTr="00F31D7F">
        <w:trPr>
          <w:trHeight w:val="270"/>
        </w:trPr>
        <w:tc>
          <w:tcPr>
            <w:tcW w:w="3177" w:type="dxa"/>
            <w:tcBorders>
              <w:top w:val="single" w:sz="8" w:space="0" w:color="auto"/>
              <w:left w:val="single" w:sz="8" w:space="0" w:color="auto"/>
              <w:bottom w:val="single" w:sz="8" w:space="0" w:color="auto"/>
              <w:right w:val="nil"/>
            </w:tcBorders>
            <w:shd w:val="clear" w:color="auto" w:fill="auto"/>
            <w:noWrap/>
            <w:vAlign w:val="bottom"/>
            <w:hideMark/>
          </w:tcPr>
          <w:p w14:paraId="103C3D0D" w14:textId="77777777" w:rsidR="00F31D7F" w:rsidRPr="004C1BC2" w:rsidRDefault="00F31D7F" w:rsidP="00F31D7F">
            <w:pPr>
              <w:pStyle w:val="Tablehead"/>
              <w:spacing w:before="0" w:after="0"/>
              <w:jc w:val="left"/>
              <w:rPr>
                <w:szCs w:val="22"/>
                <w:lang w:eastAsia="zh-CN"/>
              </w:rPr>
            </w:pPr>
            <w:r w:rsidRPr="004C1BC2">
              <w:rPr>
                <w:szCs w:val="22"/>
                <w:lang w:eastAsia="zh-CN"/>
              </w:rPr>
              <w:t>Excédent (Déficit)</w:t>
            </w:r>
          </w:p>
        </w:tc>
        <w:tc>
          <w:tcPr>
            <w:tcW w:w="2370" w:type="dxa"/>
            <w:tcBorders>
              <w:top w:val="single" w:sz="8" w:space="0" w:color="auto"/>
              <w:left w:val="nil"/>
              <w:bottom w:val="single" w:sz="8" w:space="0" w:color="auto"/>
              <w:right w:val="nil"/>
            </w:tcBorders>
            <w:shd w:val="clear" w:color="auto" w:fill="auto"/>
            <w:noWrap/>
            <w:vAlign w:val="center"/>
          </w:tcPr>
          <w:p w14:paraId="71FED5DD" w14:textId="421F3189" w:rsidR="00F31D7F" w:rsidRPr="004C1BC2" w:rsidRDefault="00F31D7F" w:rsidP="00F31D7F">
            <w:pPr>
              <w:pStyle w:val="Tablehead"/>
              <w:spacing w:before="0" w:after="0"/>
              <w:jc w:val="right"/>
              <w:rPr>
                <w:szCs w:val="22"/>
                <w:lang w:eastAsia="zh-CN"/>
              </w:rPr>
            </w:pPr>
            <w:r w:rsidRPr="004C1BC2">
              <w:rPr>
                <w:rFonts w:asciiTheme="minorHAnsi" w:hAnsiTheme="minorHAnsi" w:cs="Arial"/>
                <w:bCs/>
                <w:color w:val="000000"/>
                <w:szCs w:val="24"/>
                <w:lang w:eastAsia="zh-CN"/>
              </w:rPr>
              <w:t>–47 259</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585F7DB0" w14:textId="6C631C2F" w:rsidR="00F31D7F" w:rsidRPr="004C1BC2" w:rsidRDefault="00F31D7F" w:rsidP="00F31D7F">
            <w:pPr>
              <w:pStyle w:val="Tablehead"/>
              <w:spacing w:before="0" w:after="0"/>
              <w:jc w:val="right"/>
              <w:rPr>
                <w:szCs w:val="22"/>
                <w:lang w:eastAsia="zh-CN"/>
              </w:rPr>
            </w:pPr>
            <w:r w:rsidRPr="004C1BC2">
              <w:rPr>
                <w:rFonts w:asciiTheme="minorHAnsi" w:hAnsiTheme="minorHAnsi" w:cs="Arial"/>
                <w:bCs/>
                <w:color w:val="000000"/>
                <w:szCs w:val="24"/>
                <w:lang w:eastAsia="zh-CN"/>
              </w:rPr>
              <w:t>–57 463</w:t>
            </w:r>
          </w:p>
        </w:tc>
      </w:tr>
      <w:tr w:rsidR="00F31D7F" w:rsidRPr="004C1BC2" w14:paraId="6967B48A" w14:textId="77777777" w:rsidTr="00761B6C">
        <w:trPr>
          <w:trHeight w:val="255"/>
        </w:trPr>
        <w:tc>
          <w:tcPr>
            <w:tcW w:w="3177" w:type="dxa"/>
            <w:tcBorders>
              <w:top w:val="nil"/>
              <w:left w:val="single" w:sz="8" w:space="0" w:color="auto"/>
              <w:bottom w:val="nil"/>
              <w:right w:val="nil"/>
            </w:tcBorders>
            <w:shd w:val="clear" w:color="auto" w:fill="auto"/>
            <w:noWrap/>
            <w:vAlign w:val="bottom"/>
            <w:hideMark/>
          </w:tcPr>
          <w:p w14:paraId="3ACA4611" w14:textId="7CB0B62D" w:rsidR="00F31D7F" w:rsidRPr="004C1BC2" w:rsidRDefault="00F31D7F" w:rsidP="00F31D7F">
            <w:pPr>
              <w:pStyle w:val="Tabletext"/>
              <w:spacing w:before="0" w:after="0"/>
              <w:rPr>
                <w:szCs w:val="22"/>
                <w:lang w:eastAsia="zh-CN"/>
              </w:rPr>
            </w:pPr>
            <w:r w:rsidRPr="004C1BC2">
              <w:rPr>
                <w:szCs w:val="22"/>
                <w:lang w:eastAsia="zh-CN"/>
              </w:rPr>
              <w:t>Actif</w:t>
            </w:r>
          </w:p>
        </w:tc>
        <w:tc>
          <w:tcPr>
            <w:tcW w:w="2370" w:type="dxa"/>
            <w:tcBorders>
              <w:top w:val="nil"/>
              <w:left w:val="nil"/>
              <w:bottom w:val="nil"/>
              <w:right w:val="nil"/>
            </w:tcBorders>
            <w:shd w:val="clear" w:color="auto" w:fill="auto"/>
            <w:noWrap/>
            <w:vAlign w:val="bottom"/>
          </w:tcPr>
          <w:p w14:paraId="7CEECE2B" w14:textId="13DD77C9" w:rsidR="00F31D7F" w:rsidRPr="004C1BC2" w:rsidRDefault="00F31D7F" w:rsidP="00F31D7F">
            <w:pPr>
              <w:pStyle w:val="Tabletext"/>
              <w:spacing w:before="0" w:after="0"/>
              <w:jc w:val="right"/>
              <w:rPr>
                <w:szCs w:val="22"/>
                <w:lang w:eastAsia="zh-CN"/>
              </w:rPr>
            </w:pPr>
            <w:r w:rsidRPr="004C1BC2">
              <w:rPr>
                <w:rFonts w:asciiTheme="minorHAnsi" w:hAnsiTheme="minorHAnsi" w:cs="Arial"/>
                <w:color w:val="000000"/>
                <w:szCs w:val="24"/>
                <w:lang w:eastAsia="zh-CN"/>
              </w:rPr>
              <w:t>408 974</w:t>
            </w:r>
          </w:p>
        </w:tc>
        <w:tc>
          <w:tcPr>
            <w:tcW w:w="2268" w:type="dxa"/>
            <w:tcBorders>
              <w:top w:val="nil"/>
              <w:left w:val="nil"/>
              <w:bottom w:val="nil"/>
              <w:right w:val="single" w:sz="8" w:space="0" w:color="auto"/>
            </w:tcBorders>
            <w:shd w:val="clear" w:color="auto" w:fill="auto"/>
            <w:noWrap/>
            <w:vAlign w:val="bottom"/>
          </w:tcPr>
          <w:p w14:paraId="70683936" w14:textId="36289FE5" w:rsidR="00F31D7F" w:rsidRPr="004C1BC2" w:rsidRDefault="00F31D7F" w:rsidP="003B04AA">
            <w:pPr>
              <w:pStyle w:val="Tabletext"/>
              <w:spacing w:before="0" w:after="0"/>
              <w:jc w:val="right"/>
              <w:rPr>
                <w:szCs w:val="22"/>
                <w:lang w:eastAsia="zh-CN"/>
              </w:rPr>
            </w:pPr>
            <w:r w:rsidRPr="004C1BC2">
              <w:rPr>
                <w:rFonts w:asciiTheme="minorHAnsi" w:hAnsiTheme="minorHAnsi" w:cs="Arial"/>
                <w:color w:val="000000"/>
                <w:szCs w:val="24"/>
                <w:lang w:eastAsia="zh-CN"/>
              </w:rPr>
              <w:t>4</w:t>
            </w:r>
            <w:r w:rsidR="003B04AA">
              <w:rPr>
                <w:rFonts w:asciiTheme="minorHAnsi" w:hAnsiTheme="minorHAnsi" w:cs="Arial"/>
                <w:color w:val="000000"/>
                <w:szCs w:val="24"/>
                <w:lang w:eastAsia="zh-CN"/>
              </w:rPr>
              <w:t>57</w:t>
            </w:r>
            <w:r w:rsidRPr="004C1BC2">
              <w:rPr>
                <w:rFonts w:asciiTheme="minorHAnsi" w:hAnsiTheme="minorHAnsi" w:cs="Arial"/>
                <w:color w:val="000000"/>
                <w:szCs w:val="24"/>
                <w:lang w:eastAsia="zh-CN"/>
              </w:rPr>
              <w:t xml:space="preserve"> </w:t>
            </w:r>
            <w:r w:rsidR="003B04AA">
              <w:rPr>
                <w:rFonts w:asciiTheme="minorHAnsi" w:hAnsiTheme="minorHAnsi" w:cs="Arial"/>
                <w:color w:val="000000"/>
                <w:szCs w:val="24"/>
                <w:lang w:eastAsia="zh-CN"/>
              </w:rPr>
              <w:t>501</w:t>
            </w:r>
          </w:p>
        </w:tc>
      </w:tr>
      <w:tr w:rsidR="00F31D7F" w:rsidRPr="004C1BC2" w14:paraId="1ACEF51A" w14:textId="77777777" w:rsidTr="00761B6C">
        <w:trPr>
          <w:trHeight w:val="255"/>
        </w:trPr>
        <w:tc>
          <w:tcPr>
            <w:tcW w:w="3177" w:type="dxa"/>
            <w:tcBorders>
              <w:top w:val="nil"/>
              <w:left w:val="single" w:sz="8" w:space="0" w:color="auto"/>
              <w:bottom w:val="nil"/>
              <w:right w:val="nil"/>
            </w:tcBorders>
            <w:shd w:val="clear" w:color="auto" w:fill="auto"/>
            <w:noWrap/>
            <w:vAlign w:val="bottom"/>
            <w:hideMark/>
          </w:tcPr>
          <w:p w14:paraId="141E430E" w14:textId="618A590E" w:rsidR="00F31D7F" w:rsidRPr="004C1BC2" w:rsidRDefault="00F31D7F" w:rsidP="00F31D7F">
            <w:pPr>
              <w:pStyle w:val="Tabletext"/>
              <w:spacing w:before="0" w:after="0"/>
              <w:rPr>
                <w:szCs w:val="22"/>
                <w:lang w:eastAsia="zh-CN"/>
              </w:rPr>
            </w:pPr>
            <w:r w:rsidRPr="004C1BC2">
              <w:rPr>
                <w:szCs w:val="22"/>
                <w:lang w:eastAsia="zh-CN"/>
              </w:rPr>
              <w:t>Passif</w:t>
            </w:r>
          </w:p>
        </w:tc>
        <w:tc>
          <w:tcPr>
            <w:tcW w:w="2370" w:type="dxa"/>
            <w:tcBorders>
              <w:top w:val="nil"/>
              <w:left w:val="nil"/>
              <w:bottom w:val="nil"/>
              <w:right w:val="nil"/>
            </w:tcBorders>
            <w:shd w:val="clear" w:color="auto" w:fill="auto"/>
            <w:noWrap/>
            <w:vAlign w:val="bottom"/>
          </w:tcPr>
          <w:p w14:paraId="67FF33E5" w14:textId="539AD852" w:rsidR="00F31D7F" w:rsidRPr="004C1BC2" w:rsidRDefault="00F31D7F" w:rsidP="00F31D7F">
            <w:pPr>
              <w:pStyle w:val="Tabletext"/>
              <w:spacing w:before="0" w:after="0"/>
              <w:jc w:val="right"/>
              <w:rPr>
                <w:szCs w:val="22"/>
                <w:lang w:eastAsia="zh-CN"/>
              </w:rPr>
            </w:pPr>
            <w:r w:rsidRPr="004C1BC2">
              <w:rPr>
                <w:rFonts w:asciiTheme="minorHAnsi" w:hAnsiTheme="minorHAnsi" w:cs="Arial"/>
                <w:color w:val="000000"/>
                <w:szCs w:val="24"/>
                <w:lang w:eastAsia="zh-CN"/>
              </w:rPr>
              <w:t>909 543</w:t>
            </w:r>
          </w:p>
        </w:tc>
        <w:tc>
          <w:tcPr>
            <w:tcW w:w="2268" w:type="dxa"/>
            <w:tcBorders>
              <w:top w:val="nil"/>
              <w:left w:val="nil"/>
              <w:bottom w:val="nil"/>
              <w:right w:val="single" w:sz="8" w:space="0" w:color="auto"/>
            </w:tcBorders>
            <w:shd w:val="clear" w:color="auto" w:fill="auto"/>
            <w:noWrap/>
            <w:vAlign w:val="bottom"/>
          </w:tcPr>
          <w:p w14:paraId="4476C0CB" w14:textId="63243F79" w:rsidR="00F31D7F" w:rsidRPr="004C1BC2" w:rsidRDefault="003B04AA" w:rsidP="003B04AA">
            <w:pPr>
              <w:pStyle w:val="Tabletext"/>
              <w:spacing w:before="0" w:after="0"/>
              <w:jc w:val="right"/>
              <w:rPr>
                <w:szCs w:val="22"/>
                <w:lang w:eastAsia="zh-CN"/>
              </w:rPr>
            </w:pPr>
            <w:r>
              <w:rPr>
                <w:rFonts w:asciiTheme="minorHAnsi" w:hAnsiTheme="minorHAnsi" w:cs="Arial"/>
                <w:color w:val="000000"/>
                <w:szCs w:val="24"/>
                <w:lang w:eastAsia="zh-CN"/>
              </w:rPr>
              <w:t>910</w:t>
            </w:r>
            <w:r w:rsidR="00F31D7F" w:rsidRPr="004C1BC2">
              <w:rPr>
                <w:rFonts w:asciiTheme="minorHAnsi" w:hAnsiTheme="minorHAnsi" w:cs="Arial"/>
                <w:color w:val="000000"/>
                <w:szCs w:val="24"/>
                <w:lang w:eastAsia="zh-CN"/>
              </w:rPr>
              <w:t xml:space="preserve"> </w:t>
            </w:r>
            <w:r>
              <w:rPr>
                <w:rFonts w:asciiTheme="minorHAnsi" w:hAnsiTheme="minorHAnsi" w:cs="Arial"/>
                <w:color w:val="000000"/>
                <w:szCs w:val="24"/>
                <w:lang w:eastAsia="zh-CN"/>
              </w:rPr>
              <w:t>147</w:t>
            </w:r>
          </w:p>
        </w:tc>
      </w:tr>
      <w:tr w:rsidR="00F31D7F" w:rsidRPr="004C1BC2" w14:paraId="2A1E22FB" w14:textId="77777777" w:rsidTr="00F31D7F">
        <w:trPr>
          <w:trHeight w:val="270"/>
        </w:trPr>
        <w:tc>
          <w:tcPr>
            <w:tcW w:w="3177" w:type="dxa"/>
            <w:tcBorders>
              <w:top w:val="single" w:sz="8" w:space="0" w:color="auto"/>
              <w:left w:val="single" w:sz="8" w:space="0" w:color="auto"/>
              <w:bottom w:val="single" w:sz="8" w:space="0" w:color="auto"/>
              <w:right w:val="nil"/>
            </w:tcBorders>
            <w:shd w:val="clear" w:color="auto" w:fill="auto"/>
            <w:noWrap/>
            <w:vAlign w:val="bottom"/>
            <w:hideMark/>
          </w:tcPr>
          <w:p w14:paraId="109DB99E" w14:textId="77777777" w:rsidR="00F31D7F" w:rsidRPr="004C1BC2" w:rsidRDefault="00F31D7F" w:rsidP="00F31D7F">
            <w:pPr>
              <w:pStyle w:val="Tablehead"/>
              <w:spacing w:before="0" w:after="0"/>
              <w:jc w:val="left"/>
              <w:rPr>
                <w:szCs w:val="22"/>
                <w:lang w:eastAsia="zh-CN"/>
              </w:rPr>
            </w:pPr>
            <w:r w:rsidRPr="004C1BC2">
              <w:rPr>
                <w:szCs w:val="22"/>
                <w:lang w:eastAsia="zh-CN"/>
              </w:rPr>
              <w:t>Actif net</w:t>
            </w:r>
          </w:p>
        </w:tc>
        <w:tc>
          <w:tcPr>
            <w:tcW w:w="2370" w:type="dxa"/>
            <w:tcBorders>
              <w:top w:val="single" w:sz="8" w:space="0" w:color="auto"/>
              <w:left w:val="nil"/>
              <w:bottom w:val="single" w:sz="8" w:space="0" w:color="auto"/>
              <w:right w:val="nil"/>
            </w:tcBorders>
            <w:shd w:val="clear" w:color="auto" w:fill="auto"/>
            <w:noWrap/>
            <w:vAlign w:val="center"/>
          </w:tcPr>
          <w:p w14:paraId="0DE6ADB4" w14:textId="7669A584" w:rsidR="00F31D7F" w:rsidRPr="004C1BC2" w:rsidRDefault="00F31D7F" w:rsidP="00F31D7F">
            <w:pPr>
              <w:pStyle w:val="Tablehead"/>
              <w:spacing w:before="0" w:after="0"/>
              <w:jc w:val="right"/>
              <w:rPr>
                <w:szCs w:val="22"/>
                <w:lang w:eastAsia="zh-CN"/>
              </w:rPr>
            </w:pPr>
            <w:r w:rsidRPr="004C1BC2">
              <w:rPr>
                <w:rFonts w:asciiTheme="minorHAnsi" w:hAnsiTheme="minorHAnsi" w:cs="Arial"/>
                <w:bCs/>
                <w:color w:val="000000"/>
                <w:szCs w:val="24"/>
                <w:lang w:eastAsia="zh-CN"/>
              </w:rPr>
              <w:t>–500 570</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65A29AEB" w14:textId="4DFFB017" w:rsidR="00F31D7F" w:rsidRPr="004C1BC2" w:rsidRDefault="00F31D7F" w:rsidP="00F31D7F">
            <w:pPr>
              <w:pStyle w:val="Tablehead"/>
              <w:spacing w:before="0" w:after="0"/>
              <w:jc w:val="right"/>
              <w:rPr>
                <w:szCs w:val="22"/>
                <w:lang w:eastAsia="zh-CN"/>
              </w:rPr>
            </w:pPr>
            <w:r w:rsidRPr="004C1BC2">
              <w:rPr>
                <w:rFonts w:asciiTheme="minorHAnsi" w:hAnsiTheme="minorHAnsi" w:cs="Arial"/>
                <w:bCs/>
                <w:color w:val="000000"/>
                <w:szCs w:val="24"/>
                <w:lang w:eastAsia="zh-CN"/>
              </w:rPr>
              <w:t>–452 646</w:t>
            </w:r>
          </w:p>
        </w:tc>
      </w:tr>
    </w:tbl>
    <w:p w14:paraId="6130C974" w14:textId="77777777" w:rsidR="005265FE" w:rsidRPr="004C1BC2" w:rsidRDefault="005265FE" w:rsidP="002178B4">
      <w:pPr>
        <w:spacing w:before="360"/>
      </w:pPr>
      <w:r w:rsidRPr="004C1BC2">
        <w:t>18</w:t>
      </w:r>
      <w:r w:rsidRPr="004C1BC2">
        <w:tab/>
        <w:t>Les résultats financiers indiqués dans le tableau ci-dessus couvrent certains postes non budgétés</w:t>
      </w:r>
      <w:r w:rsidRPr="004C1BC2">
        <w:rPr>
          <w:color w:val="000000"/>
        </w:rPr>
        <w:t>, par exemple les amortissements et l'ajustement de la provision pour les prestations maladie après cessation de service des fonctionnaires (ASHI).</w:t>
      </w:r>
      <w:r w:rsidRPr="004C1BC2">
        <w:t xml:space="preserve"> Conformément à la norme IPSAS 24, la comparaison entre les montants budgétés et les montants effectifs, sur une base comparable, est donnée dans le Tableau V des états financiers.</w:t>
      </w:r>
    </w:p>
    <w:p w14:paraId="27AD51EA" w14:textId="032090CE" w:rsidR="005265FE" w:rsidRPr="004C1BC2" w:rsidRDefault="005265FE" w:rsidP="002178B4">
      <w:r w:rsidRPr="004C1BC2">
        <w:t>19</w:t>
      </w:r>
      <w:r w:rsidRPr="004C1BC2">
        <w:tab/>
        <w:t>Sur un plan budgétaire, l'Union a</w:t>
      </w:r>
      <w:r w:rsidR="002178B4" w:rsidRPr="004C1BC2">
        <w:t xml:space="preserve"> </w:t>
      </w:r>
      <w:r w:rsidRPr="004C1BC2">
        <w:t>ac</w:t>
      </w:r>
      <w:r w:rsidR="003B04AA">
        <w:t>cusé un déficit de 1,48 million</w:t>
      </w:r>
      <w:r w:rsidRPr="004C1BC2">
        <w:t xml:space="preserve"> CHF pour l'exercice 2020. Toutefois, dans la Résolution 1396 relative au budget de l'Union pour la période 2020-2021, un montant de 3,65 millions CHF a été prévu pour équilibrer le budget pour 2020.</w:t>
      </w:r>
    </w:p>
    <w:p w14:paraId="3F2C51A1" w14:textId="762972D2" w:rsidR="005265FE" w:rsidRPr="004C1BC2" w:rsidRDefault="005265FE" w:rsidP="002178B4">
      <w:r w:rsidRPr="004C1BC2">
        <w:t>20</w:t>
      </w:r>
      <w:r w:rsidRPr="004C1BC2">
        <w:tab/>
        <w:t>Le déficit budgétaire a par conséquent été financé</w:t>
      </w:r>
      <w:r w:rsidR="002178B4" w:rsidRPr="004C1BC2">
        <w:t xml:space="preserve"> </w:t>
      </w:r>
      <w:r w:rsidRPr="004C1BC2">
        <w:t>par un prélèvement sur les économies réalisées l'année précédente, ainsi qu</w:t>
      </w:r>
      <w:r w:rsidR="002178B4" w:rsidRPr="004C1BC2">
        <w:t>'</w:t>
      </w:r>
      <w:r w:rsidRPr="004C1BC2">
        <w:t>il en a été décidé en vertu de la Résolution 1396.</w:t>
      </w:r>
    </w:p>
    <w:p w14:paraId="22445C3D" w14:textId="7F55434A" w:rsidR="005265FE" w:rsidRPr="004C1BC2" w:rsidRDefault="005265FE" w:rsidP="002178B4">
      <w:pPr>
        <w:spacing w:after="120"/>
      </w:pPr>
      <w:r w:rsidRPr="004C1BC2">
        <w:t>21</w:t>
      </w:r>
      <w:r w:rsidRPr="004C1BC2">
        <w:tab/>
        <w:t>En 2020, l'attribution de l'excédent de l'exercice précédent a fait l'objet d'un suivi. Un montant de 0,68 million CHF provenant des économies réalisées non utilisées a été réservé au titre de la Décision 619 relative aux</w:t>
      </w:r>
      <w:r w:rsidR="002178B4" w:rsidRPr="004C1BC2">
        <w:t xml:space="preserve"> </w:t>
      </w:r>
      <w:r w:rsidRPr="004C1BC2">
        <w:t>locaux du siège et pour les</w:t>
      </w:r>
      <w:r w:rsidR="003B04AA">
        <w:t xml:space="preserve"> besoins en 2021. Un montant de </w:t>
      </w:r>
      <w:r w:rsidRPr="004C1BC2">
        <w:t>2</w:t>
      </w:r>
      <w:r w:rsidR="00F31D7F" w:rsidRPr="004C1BC2">
        <w:t> </w:t>
      </w:r>
      <w:r w:rsidRPr="004C1BC2">
        <w:t>millions CHF a été versé</w:t>
      </w:r>
      <w:r w:rsidR="002178B4" w:rsidRPr="004C1BC2">
        <w:t xml:space="preserve"> </w:t>
      </w:r>
      <w:r w:rsidRPr="004C1BC2">
        <w:t>au</w:t>
      </w:r>
      <w:r w:rsidR="002178B4" w:rsidRPr="004C1BC2">
        <w:t xml:space="preserve"> </w:t>
      </w:r>
      <w:r w:rsidRPr="004C1BC2">
        <w:t>Fonds pour le registre des risques</w:t>
      </w:r>
      <w:r w:rsidR="002178B4" w:rsidRPr="004C1BC2">
        <w:t xml:space="preserve"> </w:t>
      </w:r>
      <w:r w:rsidRPr="004C1BC2">
        <w:t>liés au nouveau bâtiment.</w:t>
      </w:r>
    </w:p>
    <w:p w14:paraId="33936654" w14:textId="51DCC090" w:rsidR="005265FE" w:rsidRPr="004C1BC2" w:rsidRDefault="005265FE" w:rsidP="002178B4">
      <w:r w:rsidRPr="004C1BC2">
        <w:t>22</w:t>
      </w:r>
      <w:r w:rsidRPr="004C1BC2">
        <w:tab/>
        <w:t>Il convient de noter que, conformément à la Décision 5 (Rév. Dubaï, 2018), un montant</w:t>
      </w:r>
      <w:r w:rsidR="002178B4" w:rsidRPr="004C1BC2">
        <w:t xml:space="preserve"> </w:t>
      </w:r>
      <w:r w:rsidR="003B04AA">
        <w:rPr>
          <w:color w:val="000000"/>
        </w:rPr>
        <w:t>de </w:t>
      </w:r>
      <w:r w:rsidRPr="004C1BC2">
        <w:rPr>
          <w:color w:val="000000"/>
        </w:rPr>
        <w:t>1</w:t>
      </w:r>
      <w:r w:rsidR="00F31D7F" w:rsidRPr="004C1BC2">
        <w:rPr>
          <w:color w:val="000000"/>
        </w:rPr>
        <w:t> </w:t>
      </w:r>
      <w:r w:rsidRPr="004C1BC2">
        <w:t>million CHF a été prélevé sur le Fonds de réserve en vue d</w:t>
      </w:r>
      <w:r w:rsidR="002178B4" w:rsidRPr="004C1BC2">
        <w:t>'</w:t>
      </w:r>
      <w:r w:rsidRPr="004C1BC2">
        <w:t>êtr</w:t>
      </w:r>
      <w:r w:rsidR="003B04AA">
        <w:t>e versé sur la réserve du Fonds </w:t>
      </w:r>
      <w:r w:rsidRPr="004C1BC2">
        <w:t>ASHI.</w:t>
      </w:r>
    </w:p>
    <w:p w14:paraId="38C97A02" w14:textId="6D5C58E5" w:rsidR="005265FE" w:rsidRPr="004C1BC2" w:rsidRDefault="005265FE" w:rsidP="002178B4">
      <w:r w:rsidRPr="004C1BC2">
        <w:t>23</w:t>
      </w:r>
      <w:r w:rsidRPr="004C1BC2">
        <w:tab/>
        <w:t>En raison du report de l'AMNT et</w:t>
      </w:r>
      <w:r w:rsidR="002178B4" w:rsidRPr="004C1BC2">
        <w:t xml:space="preserve"> </w:t>
      </w:r>
      <w:r w:rsidRPr="004C1BC2">
        <w:t>des RPM en vue de la CMDT, un montant total de 1,86</w:t>
      </w:r>
      <w:r w:rsidR="00F31D7F" w:rsidRPr="004C1BC2">
        <w:t> </w:t>
      </w:r>
      <w:r w:rsidRPr="004C1BC2">
        <w:t>million CHF a été comptabilisé au titre des activités reportées et sera prélevé sur le Fonds de réserve afin d'être utilisé en 2021 et 2022. Au 31 décembre 2020, le solde du Fonds de réserve s'établissait à 25,8 millions CHF (contre 24,9 millions CHF en 2019), s</w:t>
      </w:r>
      <w:r w:rsidR="00CD4D76">
        <w:t>oit 15,6% du budget pour </w:t>
      </w:r>
      <w:r w:rsidRPr="004C1BC2">
        <w:t>2020.</w:t>
      </w:r>
    </w:p>
    <w:p w14:paraId="245A823C" w14:textId="79F2045B" w:rsidR="005265FE" w:rsidRPr="004C1BC2" w:rsidRDefault="005265FE" w:rsidP="00CD4D76">
      <w:pPr>
        <w:keepNext/>
        <w:spacing w:after="240"/>
      </w:pPr>
      <w:r w:rsidRPr="004C1BC2">
        <w:lastRenderedPageBreak/>
        <w:t>24</w:t>
      </w:r>
      <w:r w:rsidRPr="004C1BC2">
        <w:tab/>
        <w:t>En 2020, les produits de l'UIT</w:t>
      </w:r>
      <w:r w:rsidR="002178B4" w:rsidRPr="004C1BC2">
        <w:t xml:space="preserve"> </w:t>
      </w:r>
      <w:r w:rsidRPr="004C1BC2">
        <w:rPr>
          <w:color w:val="000000"/>
        </w:rPr>
        <w:t>se sont chiffrés</w:t>
      </w:r>
      <w:r w:rsidRPr="004C1BC2">
        <w:t xml:space="preserve"> à 170,373 millions CHF (187,177 millions CHF en 2019), comme indiqué ci-après:</w:t>
      </w:r>
    </w:p>
    <w:p w14:paraId="3F42F3AA" w14:textId="5399DB0E" w:rsidR="005265FE" w:rsidRPr="004C1BC2" w:rsidRDefault="00CD4D76" w:rsidP="00F31D7F">
      <w:pPr>
        <w:pStyle w:val="Figure"/>
      </w:pPr>
      <w:r>
        <w:rPr>
          <w:noProof/>
          <w:lang w:val="en-US"/>
        </w:rPr>
        <w:drawing>
          <wp:anchor distT="0" distB="0" distL="114300" distR="114300" simplePos="0" relativeHeight="251688960" behindDoc="0" locked="0" layoutInCell="1" allowOverlap="1" wp14:anchorId="3F095773" wp14:editId="634F4DF4">
            <wp:simplePos x="0" y="0"/>
            <wp:positionH relativeFrom="column">
              <wp:posOffset>1361193</wp:posOffset>
            </wp:positionH>
            <wp:positionV relativeFrom="paragraph">
              <wp:posOffset>2123478</wp:posOffset>
            </wp:positionV>
            <wp:extent cx="3794077" cy="3130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27123" cy="315782"/>
                    </a:xfrm>
                    <a:prstGeom prst="rect">
                      <a:avLst/>
                    </a:prstGeom>
                  </pic:spPr>
                </pic:pic>
              </a:graphicData>
            </a:graphic>
            <wp14:sizeRelH relativeFrom="margin">
              <wp14:pctWidth>0</wp14:pctWidth>
            </wp14:sizeRelH>
            <wp14:sizeRelV relativeFrom="margin">
              <wp14:pctHeight>0</wp14:pctHeight>
            </wp14:sizeRelV>
          </wp:anchor>
        </w:drawing>
      </w:r>
      <w:r w:rsidR="005265FE" w:rsidRPr="004C1BC2">
        <w:rPr>
          <w:noProof/>
          <w:lang w:val="en-US"/>
        </w:rPr>
        <w:drawing>
          <wp:inline distT="0" distB="0" distL="0" distR="0" wp14:anchorId="79F217FE" wp14:editId="578F542C">
            <wp:extent cx="4584700" cy="27495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14:paraId="0F1A4898" w14:textId="654AF342" w:rsidR="005265FE" w:rsidRPr="004C1BC2" w:rsidRDefault="005265FE" w:rsidP="00CD4D76">
      <w:pPr>
        <w:spacing w:before="360" w:after="240"/>
      </w:pPr>
      <w:r w:rsidRPr="004C1BC2">
        <w:t>25</w:t>
      </w:r>
      <w:r w:rsidRPr="004C1BC2">
        <w:tab/>
        <w:t>Les produits proviennent essentiellement des contributions mises en recouvrement (74% en 2020,</w:t>
      </w:r>
      <w:r w:rsidR="002178B4" w:rsidRPr="004C1BC2">
        <w:t xml:space="preserve"> </w:t>
      </w:r>
      <w:r w:rsidRPr="004C1BC2">
        <w:t>chiffre qui a légèrement augmenté par rapport à 2019); viennent ensuite les produits provenant du recouvrement</w:t>
      </w:r>
      <w:r w:rsidR="002178B4" w:rsidRPr="004C1BC2">
        <w:t xml:space="preserve"> </w:t>
      </w:r>
      <w:r w:rsidRPr="004C1BC2">
        <w:t>des coûts (24%, essentiellement les produits tirés des ventes des publications et des fiches de notification des réseaux à satellite).</w:t>
      </w:r>
    </w:p>
    <w:p w14:paraId="07631C7F" w14:textId="34FA21C4" w:rsidR="0098422F" w:rsidRPr="004C1BC2" w:rsidRDefault="0098422F" w:rsidP="0098422F">
      <w:pPr>
        <w:pStyle w:val="Figure"/>
        <w:keepNext w:val="0"/>
        <w:keepLines w:val="0"/>
      </w:pPr>
      <w:r w:rsidRPr="004C1BC2">
        <w:rPr>
          <w:noProof/>
          <w:lang w:val="en-US"/>
        </w:rPr>
        <w:drawing>
          <wp:inline distT="0" distB="0" distL="0" distR="0" wp14:anchorId="7AEE32BE" wp14:editId="5C1A16C7">
            <wp:extent cx="5400675" cy="4181476"/>
            <wp:effectExtent l="0" t="0" r="9525" b="9525"/>
            <wp:docPr id="3" name="Chart 3">
              <a:extLst xmlns:a="http://schemas.openxmlformats.org/drawingml/2006/main">
                <a:ext uri="{FF2B5EF4-FFF2-40B4-BE49-F238E27FC236}">
                  <a16:creationId xmlns:a16="http://schemas.microsoft.com/office/drawing/2014/main" id="{2FFB165B-5A06-412B-B8EE-A48A1D9B8D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BDC62D" w14:textId="1D6F716E" w:rsidR="005265FE" w:rsidRPr="004C1BC2" w:rsidRDefault="005265FE" w:rsidP="00253FE3">
      <w:pPr>
        <w:spacing w:before="240" w:after="240"/>
      </w:pPr>
      <w:r w:rsidRPr="004C1BC2">
        <w:lastRenderedPageBreak/>
        <w:t>26</w:t>
      </w:r>
      <w:r w:rsidRPr="004C1BC2">
        <w:tab/>
        <w:t xml:space="preserve">En 2020, les charges de l'UIT se sont </w:t>
      </w:r>
      <w:r w:rsidR="00EF3D9A" w:rsidRPr="004C1BC2">
        <w:t>élevées</w:t>
      </w:r>
      <w:r w:rsidRPr="004C1BC2">
        <w:t xml:space="preserve"> à 217,632 millio</w:t>
      </w:r>
      <w:r w:rsidR="00A77B7D">
        <w:t>ns CHF (contre 244,640 millions </w:t>
      </w:r>
      <w:r w:rsidRPr="004C1BC2">
        <w:t>CHF en 2019), comme indiqué ci-après:</w:t>
      </w:r>
    </w:p>
    <w:p w14:paraId="0A98A40B" w14:textId="52EFCEC7" w:rsidR="00253FE3" w:rsidRPr="004C1BC2" w:rsidRDefault="00253FE3" w:rsidP="00777A3F">
      <w:pPr>
        <w:keepNext/>
        <w:spacing w:after="240"/>
        <w:jc w:val="center"/>
      </w:pPr>
      <w:r w:rsidRPr="004C1BC2">
        <w:rPr>
          <w:noProof/>
          <w:lang w:val="en-US"/>
        </w:rPr>
        <mc:AlternateContent>
          <mc:Choice Requires="wps">
            <w:drawing>
              <wp:anchor distT="45720" distB="45720" distL="114300" distR="114300" simplePos="0" relativeHeight="251676672" behindDoc="0" locked="0" layoutInCell="1" allowOverlap="1" wp14:anchorId="63CA35EC" wp14:editId="3E461AA0">
                <wp:simplePos x="0" y="0"/>
                <wp:positionH relativeFrom="margin">
                  <wp:posOffset>-167364</wp:posOffset>
                </wp:positionH>
                <wp:positionV relativeFrom="paragraph">
                  <wp:posOffset>97790</wp:posOffset>
                </wp:positionV>
                <wp:extent cx="619760" cy="1851660"/>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851660"/>
                        </a:xfrm>
                        <a:prstGeom prst="rect">
                          <a:avLst/>
                        </a:prstGeom>
                        <a:solidFill>
                          <a:srgbClr val="FFFFFF"/>
                        </a:solidFill>
                        <a:ln w="9525">
                          <a:noFill/>
                          <a:miter lim="800000"/>
                          <a:headEnd/>
                          <a:tailEnd/>
                        </a:ln>
                      </wps:spPr>
                      <wps:txbx>
                        <w:txbxContent>
                          <w:p w14:paraId="0A723F20" w14:textId="01E55D03" w:rsidR="00CB48F1" w:rsidRPr="00071A93" w:rsidRDefault="00CB48F1" w:rsidP="005265FE">
                            <w:pPr>
                              <w:spacing w:before="360"/>
                              <w:jc w:val="right"/>
                              <w:rPr>
                                <w:sz w:val="18"/>
                                <w:szCs w:val="18"/>
                              </w:rPr>
                            </w:pPr>
                            <w:r w:rsidRPr="00071A93">
                              <w:rPr>
                                <w:sz w:val="18"/>
                                <w:szCs w:val="18"/>
                              </w:rPr>
                              <w:t>200</w:t>
                            </w:r>
                            <w:r>
                              <w:rPr>
                                <w:sz w:val="18"/>
                                <w:szCs w:val="18"/>
                              </w:rPr>
                              <w:t>,</w:t>
                            </w:r>
                            <w:r w:rsidRPr="00071A93">
                              <w:rPr>
                                <w:sz w:val="18"/>
                                <w:szCs w:val="18"/>
                              </w:rPr>
                              <w:t>000</w:t>
                            </w:r>
                          </w:p>
                          <w:p w14:paraId="5BEC682B" w14:textId="0162CBB8" w:rsidR="00CB48F1" w:rsidRPr="00071A93" w:rsidRDefault="00CB48F1" w:rsidP="00777A3F">
                            <w:pPr>
                              <w:spacing w:before="360"/>
                              <w:jc w:val="right"/>
                              <w:rPr>
                                <w:sz w:val="18"/>
                                <w:szCs w:val="18"/>
                              </w:rPr>
                            </w:pPr>
                            <w:r w:rsidRPr="00071A93">
                              <w:rPr>
                                <w:sz w:val="18"/>
                                <w:szCs w:val="18"/>
                              </w:rPr>
                              <w:t>150</w:t>
                            </w:r>
                            <w:r>
                              <w:rPr>
                                <w:sz w:val="18"/>
                                <w:szCs w:val="18"/>
                              </w:rPr>
                              <w:t>,</w:t>
                            </w:r>
                            <w:r w:rsidRPr="00071A93">
                              <w:rPr>
                                <w:sz w:val="18"/>
                                <w:szCs w:val="18"/>
                              </w:rPr>
                              <w:t>000</w:t>
                            </w:r>
                          </w:p>
                          <w:p w14:paraId="176526A5" w14:textId="6FE9EB55" w:rsidR="00CB48F1" w:rsidRPr="00071A93" w:rsidRDefault="00CB48F1" w:rsidP="005265FE">
                            <w:pPr>
                              <w:spacing w:before="360"/>
                              <w:jc w:val="right"/>
                              <w:rPr>
                                <w:sz w:val="18"/>
                                <w:szCs w:val="18"/>
                              </w:rPr>
                            </w:pPr>
                            <w:r w:rsidRPr="00071A93">
                              <w:rPr>
                                <w:sz w:val="18"/>
                                <w:szCs w:val="18"/>
                              </w:rPr>
                              <w:t>100</w:t>
                            </w:r>
                            <w:r>
                              <w:rPr>
                                <w:sz w:val="18"/>
                                <w:szCs w:val="18"/>
                              </w:rPr>
                              <w:t>,</w:t>
                            </w:r>
                            <w:r w:rsidRPr="00071A93">
                              <w:rPr>
                                <w:sz w:val="18"/>
                                <w:szCs w:val="18"/>
                              </w:rPr>
                              <w:t>000</w:t>
                            </w:r>
                          </w:p>
                          <w:p w14:paraId="1E88466F" w14:textId="40B2E590" w:rsidR="00CB48F1" w:rsidRPr="00071A93" w:rsidRDefault="00CB48F1" w:rsidP="00777A3F">
                            <w:pPr>
                              <w:spacing w:before="360"/>
                              <w:jc w:val="right"/>
                              <w:rPr>
                                <w:sz w:val="18"/>
                                <w:szCs w:val="18"/>
                              </w:rPr>
                            </w:pPr>
                            <w:r w:rsidRPr="00071A93">
                              <w:rPr>
                                <w:sz w:val="18"/>
                                <w:szCs w:val="18"/>
                              </w:rPr>
                              <w:t>50</w:t>
                            </w:r>
                            <w:r>
                              <w:rPr>
                                <w:sz w:val="18"/>
                                <w:szCs w:val="18"/>
                              </w:rPr>
                              <w:t>,</w:t>
                            </w:r>
                            <w:r w:rsidRPr="00071A93">
                              <w:rPr>
                                <w:sz w:val="18"/>
                                <w:szCs w:val="18"/>
                              </w:rPr>
                              <w:t>000</w:t>
                            </w:r>
                          </w:p>
                          <w:p w14:paraId="6D02D688" w14:textId="77777777" w:rsidR="00CB48F1" w:rsidRDefault="00CB48F1" w:rsidP="005265FE">
                            <w:pPr>
                              <w:spacing w:before="240"/>
                              <w:jc w:val="right"/>
                            </w:pPr>
                            <w:r w:rsidRPr="00071A93">
                              <w:rPr>
                                <w:sz w:val="18"/>
                                <w:szCs w:val="18"/>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A35EC" id="_x0000_t202" coordsize="21600,21600" o:spt="202" path="m,l,21600r21600,l21600,xe">
                <v:stroke joinstyle="miter"/>
                <v:path gradientshapeok="t" o:connecttype="rect"/>
              </v:shapetype>
              <v:shape id="Text Box 2" o:spid="_x0000_s1026" type="#_x0000_t202" style="position:absolute;left:0;text-align:left;margin-left:-13.2pt;margin-top:7.7pt;width:48.8pt;height:145.8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" stroked="f">
                <v:textbox style="mso-fit-shape-to-text:t">
                  <w:txbxContent>
                    <w:p w14:paraId="0A723F20" w14:textId="01E55D03" w:rsidR="00CB48F1" w:rsidRPr="00071A93" w:rsidRDefault="00CB48F1" w:rsidP="005265FE">
                      <w:pPr>
                        <w:spacing w:before="360"/>
                        <w:jc w:val="right"/>
                        <w:rPr>
                          <w:sz w:val="18"/>
                          <w:szCs w:val="18"/>
                        </w:rPr>
                      </w:pPr>
                      <w:r w:rsidRPr="00071A93">
                        <w:rPr>
                          <w:sz w:val="18"/>
                          <w:szCs w:val="18"/>
                        </w:rPr>
                        <w:t>200</w:t>
                      </w:r>
                      <w:r>
                        <w:rPr>
                          <w:sz w:val="18"/>
                          <w:szCs w:val="18"/>
                        </w:rPr>
                        <w:t>,</w:t>
                      </w:r>
                      <w:r w:rsidRPr="00071A93">
                        <w:rPr>
                          <w:sz w:val="18"/>
                          <w:szCs w:val="18"/>
                        </w:rPr>
                        <w:t>000</w:t>
                      </w:r>
                    </w:p>
                    <w:p w14:paraId="5BEC682B" w14:textId="0162CBB8" w:rsidR="00CB48F1" w:rsidRPr="00071A93" w:rsidRDefault="00CB48F1" w:rsidP="00777A3F">
                      <w:pPr>
                        <w:spacing w:before="360"/>
                        <w:jc w:val="right"/>
                        <w:rPr>
                          <w:sz w:val="18"/>
                          <w:szCs w:val="18"/>
                        </w:rPr>
                      </w:pPr>
                      <w:r w:rsidRPr="00071A93">
                        <w:rPr>
                          <w:sz w:val="18"/>
                          <w:szCs w:val="18"/>
                        </w:rPr>
                        <w:t>150</w:t>
                      </w:r>
                      <w:r>
                        <w:rPr>
                          <w:sz w:val="18"/>
                          <w:szCs w:val="18"/>
                        </w:rPr>
                        <w:t>,</w:t>
                      </w:r>
                      <w:r w:rsidRPr="00071A93">
                        <w:rPr>
                          <w:sz w:val="18"/>
                          <w:szCs w:val="18"/>
                        </w:rPr>
                        <w:t>000</w:t>
                      </w:r>
                    </w:p>
                    <w:p w14:paraId="176526A5" w14:textId="6FE9EB55" w:rsidR="00CB48F1" w:rsidRPr="00071A93" w:rsidRDefault="00CB48F1" w:rsidP="005265FE">
                      <w:pPr>
                        <w:spacing w:before="360"/>
                        <w:jc w:val="right"/>
                        <w:rPr>
                          <w:sz w:val="18"/>
                          <w:szCs w:val="18"/>
                        </w:rPr>
                      </w:pPr>
                      <w:r w:rsidRPr="00071A93">
                        <w:rPr>
                          <w:sz w:val="18"/>
                          <w:szCs w:val="18"/>
                        </w:rPr>
                        <w:t>100</w:t>
                      </w:r>
                      <w:r>
                        <w:rPr>
                          <w:sz w:val="18"/>
                          <w:szCs w:val="18"/>
                        </w:rPr>
                        <w:t>,</w:t>
                      </w:r>
                      <w:r w:rsidRPr="00071A93">
                        <w:rPr>
                          <w:sz w:val="18"/>
                          <w:szCs w:val="18"/>
                        </w:rPr>
                        <w:t>000</w:t>
                      </w:r>
                    </w:p>
                    <w:p w14:paraId="1E88466F" w14:textId="40B2E590" w:rsidR="00CB48F1" w:rsidRPr="00071A93" w:rsidRDefault="00CB48F1" w:rsidP="00777A3F">
                      <w:pPr>
                        <w:spacing w:before="360"/>
                        <w:jc w:val="right"/>
                        <w:rPr>
                          <w:sz w:val="18"/>
                          <w:szCs w:val="18"/>
                        </w:rPr>
                      </w:pPr>
                      <w:r w:rsidRPr="00071A93">
                        <w:rPr>
                          <w:sz w:val="18"/>
                          <w:szCs w:val="18"/>
                        </w:rPr>
                        <w:t>50</w:t>
                      </w:r>
                      <w:r>
                        <w:rPr>
                          <w:sz w:val="18"/>
                          <w:szCs w:val="18"/>
                        </w:rPr>
                        <w:t>,</w:t>
                      </w:r>
                      <w:r w:rsidRPr="00071A93">
                        <w:rPr>
                          <w:sz w:val="18"/>
                          <w:szCs w:val="18"/>
                        </w:rPr>
                        <w:t>000</w:t>
                      </w:r>
                    </w:p>
                    <w:p w14:paraId="6D02D688" w14:textId="77777777" w:rsidR="00CB48F1" w:rsidRDefault="00CB48F1" w:rsidP="005265FE">
                      <w:pPr>
                        <w:spacing w:before="240"/>
                        <w:jc w:val="right"/>
                      </w:pPr>
                      <w:r w:rsidRPr="00071A93">
                        <w:rPr>
                          <w:sz w:val="18"/>
                          <w:szCs w:val="18"/>
                        </w:rPr>
                        <w:t>0</w:t>
                      </w:r>
                    </w:p>
                  </w:txbxContent>
                </v:textbox>
                <w10:wrap anchorx="margin"/>
              </v:shape>
            </w:pict>
          </mc:Fallback>
        </mc:AlternateContent>
      </w:r>
      <w:r w:rsidRPr="004C1BC2">
        <w:rPr>
          <w:noProof/>
          <w:lang w:val="en-US"/>
        </w:rPr>
        <mc:AlternateContent>
          <mc:Choice Requires="wps">
            <w:drawing>
              <wp:anchor distT="45720" distB="45720" distL="114300" distR="114300" simplePos="0" relativeHeight="251668480" behindDoc="0" locked="0" layoutInCell="1" allowOverlap="1" wp14:anchorId="61D39154" wp14:editId="4FCBA0F3">
                <wp:simplePos x="0" y="0"/>
                <wp:positionH relativeFrom="column">
                  <wp:posOffset>663372</wp:posOffset>
                </wp:positionH>
                <wp:positionV relativeFrom="paragraph">
                  <wp:posOffset>2273993</wp:posOffset>
                </wp:positionV>
                <wp:extent cx="994867" cy="182880"/>
                <wp:effectExtent l="253365" t="0" r="230505"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4D8FF64F" w14:textId="77777777" w:rsidR="00CB48F1" w:rsidRPr="00845244" w:rsidRDefault="00CB48F1" w:rsidP="005265FE">
                            <w:pPr>
                              <w:spacing w:before="0"/>
                              <w:jc w:val="center"/>
                              <w:rPr>
                                <w:sz w:val="16"/>
                                <w:szCs w:val="16"/>
                                <w:lang w:val="fr-CH"/>
                              </w:rPr>
                            </w:pPr>
                            <w:r>
                              <w:rPr>
                                <w:sz w:val="16"/>
                                <w:szCs w:val="16"/>
                                <w:lang w:val="fr-CH"/>
                              </w:rPr>
                              <w:t>Frais de mission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39154" id="_x0000_s1027" type="#_x0000_t202" style="position:absolute;left:0;text-align:left;margin-left:52.25pt;margin-top:179.05pt;width:78.35pt;height:14.4pt;rotation:-3041115fd;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" stroked="f">
                <v:textbox inset="0,0,0,0">
                  <w:txbxContent>
                    <w:p w14:paraId="4D8FF64F" w14:textId="77777777" w:rsidR="00CB48F1" w:rsidRPr="00845244" w:rsidRDefault="00CB48F1" w:rsidP="005265FE">
                      <w:pPr>
                        <w:spacing w:before="0"/>
                        <w:jc w:val="center"/>
                        <w:rPr>
                          <w:sz w:val="16"/>
                          <w:szCs w:val="16"/>
                          <w:lang w:val="fr-CH"/>
                        </w:rPr>
                      </w:pPr>
                      <w:r>
                        <w:rPr>
                          <w:sz w:val="16"/>
                          <w:szCs w:val="16"/>
                          <w:lang w:val="fr-CH"/>
                        </w:rPr>
                        <w:t>Frais de mission</w:t>
                      </w:r>
                    </w:p>
                  </w:txbxContent>
                </v:textbox>
              </v:shape>
            </w:pict>
          </mc:Fallback>
        </mc:AlternateContent>
      </w:r>
      <w:r w:rsidRPr="004C1BC2">
        <w:rPr>
          <w:noProof/>
          <w:lang w:val="en-US"/>
        </w:rPr>
        <mc:AlternateContent>
          <mc:Choice Requires="wps">
            <w:drawing>
              <wp:anchor distT="45720" distB="45720" distL="114300" distR="114300" simplePos="0" relativeHeight="251671552" behindDoc="0" locked="0" layoutInCell="1" allowOverlap="1" wp14:anchorId="3F51C4AB" wp14:editId="500EC454">
                <wp:simplePos x="0" y="0"/>
                <wp:positionH relativeFrom="column">
                  <wp:posOffset>2291080</wp:posOffset>
                </wp:positionH>
                <wp:positionV relativeFrom="paragraph">
                  <wp:posOffset>2384425</wp:posOffset>
                </wp:positionV>
                <wp:extent cx="1285875" cy="184150"/>
                <wp:effectExtent l="436563" t="0" r="350837"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285875" cy="184150"/>
                        </a:xfrm>
                        <a:prstGeom prst="rect">
                          <a:avLst/>
                        </a:prstGeom>
                        <a:solidFill>
                          <a:srgbClr val="FFFFFF"/>
                        </a:solidFill>
                        <a:ln w="9525">
                          <a:noFill/>
                          <a:miter lim="800000"/>
                          <a:headEnd/>
                          <a:tailEnd/>
                        </a:ln>
                      </wps:spPr>
                      <wps:txbx>
                        <w:txbxContent>
                          <w:p w14:paraId="477E1C75" w14:textId="77777777" w:rsidR="00CB48F1" w:rsidRPr="00845244" w:rsidRDefault="00CB48F1" w:rsidP="005265FE">
                            <w:pPr>
                              <w:spacing w:before="0"/>
                              <w:jc w:val="center"/>
                              <w:rPr>
                                <w:sz w:val="16"/>
                                <w:szCs w:val="16"/>
                                <w:lang w:val="fr-CH"/>
                              </w:rPr>
                            </w:pPr>
                            <w:r>
                              <w:rPr>
                                <w:sz w:val="16"/>
                                <w:szCs w:val="16"/>
                                <w:lang w:val="fr-CH"/>
                              </w:rPr>
                              <w:t>Équipements et fournitures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1C4AB" id="_x0000_s1028" type="#_x0000_t202" style="position:absolute;left:0;text-align:left;margin-left:180.4pt;margin-top:187.75pt;width:101.25pt;height:14.5pt;rotation:-3041115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" stroked="f">
                <v:textbox inset="0,0,0,0">
                  <w:txbxContent>
                    <w:p w14:paraId="477E1C75" w14:textId="77777777" w:rsidR="00CB48F1" w:rsidRPr="00845244" w:rsidRDefault="00CB48F1" w:rsidP="005265FE">
                      <w:pPr>
                        <w:spacing w:before="0"/>
                        <w:jc w:val="center"/>
                        <w:rPr>
                          <w:sz w:val="16"/>
                          <w:szCs w:val="16"/>
                          <w:lang w:val="fr-CH"/>
                        </w:rPr>
                      </w:pPr>
                      <w:r>
                        <w:rPr>
                          <w:sz w:val="16"/>
                          <w:szCs w:val="16"/>
                          <w:lang w:val="fr-CH"/>
                        </w:rPr>
                        <w:t>Équipements et fournitures</w:t>
                      </w:r>
                    </w:p>
                  </w:txbxContent>
                </v:textbox>
              </v:shape>
            </w:pict>
          </mc:Fallback>
        </mc:AlternateContent>
      </w:r>
      <w:r w:rsidRPr="004C1BC2">
        <w:rPr>
          <w:noProof/>
          <w:lang w:val="en-US"/>
        </w:rPr>
        <mc:AlternateContent>
          <mc:Choice Requires="wps">
            <w:drawing>
              <wp:anchor distT="45720" distB="45720" distL="114300" distR="114300" simplePos="0" relativeHeight="251675648" behindDoc="0" locked="0" layoutInCell="1" allowOverlap="1" wp14:anchorId="7D3A9CC3" wp14:editId="37C7B0B7">
                <wp:simplePos x="0" y="0"/>
                <wp:positionH relativeFrom="column">
                  <wp:posOffset>4969809</wp:posOffset>
                </wp:positionH>
                <wp:positionV relativeFrom="paragraph">
                  <wp:posOffset>2277912</wp:posOffset>
                </wp:positionV>
                <wp:extent cx="994867" cy="182880"/>
                <wp:effectExtent l="253365" t="0" r="230505"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41F583DA" w14:textId="77777777" w:rsidR="00CB48F1" w:rsidRPr="00845244" w:rsidRDefault="00CB48F1" w:rsidP="005265FE">
                            <w:pPr>
                              <w:spacing w:before="0"/>
                              <w:jc w:val="center"/>
                              <w:rPr>
                                <w:sz w:val="16"/>
                                <w:szCs w:val="16"/>
                                <w:lang w:val="fr-CH"/>
                              </w:rPr>
                            </w:pPr>
                            <w:r>
                              <w:rPr>
                                <w:sz w:val="16"/>
                                <w:szCs w:val="16"/>
                                <w:lang w:val="fr-CH"/>
                              </w:rPr>
                              <w:t>Charges financières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A9CC3" id="_x0000_s1029" type="#_x0000_t202" style="position:absolute;left:0;text-align:left;margin-left:391.3pt;margin-top:179.35pt;width:78.35pt;height:14.4pt;rotation:-3041115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" stroked="f">
                <v:textbox inset="0,0,0,0">
                  <w:txbxContent>
                    <w:p w14:paraId="41F583DA" w14:textId="77777777" w:rsidR="00CB48F1" w:rsidRPr="00845244" w:rsidRDefault="00CB48F1" w:rsidP="005265FE">
                      <w:pPr>
                        <w:spacing w:before="0"/>
                        <w:jc w:val="center"/>
                        <w:rPr>
                          <w:sz w:val="16"/>
                          <w:szCs w:val="16"/>
                          <w:lang w:val="fr-CH"/>
                        </w:rPr>
                      </w:pPr>
                      <w:r>
                        <w:rPr>
                          <w:sz w:val="16"/>
                          <w:szCs w:val="16"/>
                          <w:lang w:val="fr-CH"/>
                        </w:rPr>
                        <w:t>Charges financières</w:t>
                      </w:r>
                    </w:p>
                  </w:txbxContent>
                </v:textbox>
              </v:shape>
            </w:pict>
          </mc:Fallback>
        </mc:AlternateContent>
      </w:r>
      <w:r w:rsidRPr="004C1BC2">
        <w:rPr>
          <w:noProof/>
          <w:lang w:val="en-US"/>
        </w:rPr>
        <mc:AlternateContent>
          <mc:Choice Requires="wps">
            <w:drawing>
              <wp:anchor distT="45720" distB="45720" distL="114300" distR="114300" simplePos="0" relativeHeight="251674624" behindDoc="0" locked="0" layoutInCell="1" allowOverlap="1" wp14:anchorId="66FC7FB7" wp14:editId="2B425AF9">
                <wp:simplePos x="0" y="0"/>
                <wp:positionH relativeFrom="column">
                  <wp:posOffset>4376611</wp:posOffset>
                </wp:positionH>
                <wp:positionV relativeFrom="paragraph">
                  <wp:posOffset>2278174</wp:posOffset>
                </wp:positionV>
                <wp:extent cx="994867" cy="182880"/>
                <wp:effectExtent l="253365" t="0" r="230505"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6109CB44" w14:textId="77777777" w:rsidR="00CB48F1" w:rsidRPr="00845244" w:rsidRDefault="00CB48F1" w:rsidP="005265FE">
                            <w:pPr>
                              <w:spacing w:before="0"/>
                              <w:jc w:val="center"/>
                              <w:rPr>
                                <w:sz w:val="16"/>
                                <w:szCs w:val="16"/>
                                <w:lang w:val="fr-CH"/>
                              </w:rPr>
                            </w:pPr>
                            <w:r>
                              <w:rPr>
                                <w:sz w:val="16"/>
                                <w:szCs w:val="16"/>
                                <w:lang w:val="fr-CH"/>
                              </w:rPr>
                              <w:t>Autres charges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C7FB7" id="_x0000_s1030" type="#_x0000_t202" style="position:absolute;left:0;text-align:left;margin-left:344.6pt;margin-top:179.4pt;width:78.35pt;height:14.4pt;rotation:-3041115fd;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" stroked="f">
                <v:textbox inset="0,0,0,0">
                  <w:txbxContent>
                    <w:p w14:paraId="6109CB44" w14:textId="77777777" w:rsidR="00CB48F1" w:rsidRPr="00845244" w:rsidRDefault="00CB48F1" w:rsidP="005265FE">
                      <w:pPr>
                        <w:spacing w:before="0"/>
                        <w:jc w:val="center"/>
                        <w:rPr>
                          <w:sz w:val="16"/>
                          <w:szCs w:val="16"/>
                          <w:lang w:val="fr-CH"/>
                        </w:rPr>
                      </w:pPr>
                      <w:r>
                        <w:rPr>
                          <w:sz w:val="16"/>
                          <w:szCs w:val="16"/>
                          <w:lang w:val="fr-CH"/>
                        </w:rPr>
                        <w:t>Autres charges</w:t>
                      </w:r>
                    </w:p>
                  </w:txbxContent>
                </v:textbox>
              </v:shape>
            </w:pict>
          </mc:Fallback>
        </mc:AlternateContent>
      </w:r>
      <w:r w:rsidRPr="004C1BC2">
        <w:rPr>
          <w:noProof/>
          <w:lang w:val="en-US"/>
        </w:rPr>
        <mc:AlternateContent>
          <mc:Choice Requires="wps">
            <w:drawing>
              <wp:anchor distT="45720" distB="45720" distL="114300" distR="114300" simplePos="0" relativeHeight="251673600" behindDoc="0" locked="0" layoutInCell="1" allowOverlap="1" wp14:anchorId="4A3125AF" wp14:editId="659D47A1">
                <wp:simplePos x="0" y="0"/>
                <wp:positionH relativeFrom="column">
                  <wp:posOffset>3239530</wp:posOffset>
                </wp:positionH>
                <wp:positionV relativeFrom="paragraph">
                  <wp:posOffset>2417119</wp:posOffset>
                </wp:positionV>
                <wp:extent cx="1602988" cy="324485"/>
                <wp:effectExtent l="486727" t="0" r="484188"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602988" cy="324485"/>
                        </a:xfrm>
                        <a:prstGeom prst="rect">
                          <a:avLst/>
                        </a:prstGeom>
                        <a:solidFill>
                          <a:srgbClr val="FFFFFF"/>
                        </a:solidFill>
                        <a:ln w="9525">
                          <a:noFill/>
                          <a:miter lim="800000"/>
                          <a:headEnd/>
                          <a:tailEnd/>
                        </a:ln>
                      </wps:spPr>
                      <wps:txbx>
                        <w:txbxContent>
                          <w:p w14:paraId="2E555043" w14:textId="77777777" w:rsidR="00CB48F1" w:rsidRPr="00845244" w:rsidRDefault="00CB48F1" w:rsidP="005265FE">
                            <w:pPr>
                              <w:spacing w:before="0"/>
                              <w:jc w:val="center"/>
                              <w:rPr>
                                <w:sz w:val="16"/>
                                <w:szCs w:val="16"/>
                                <w:lang w:val="fr-CH"/>
                              </w:rPr>
                            </w:pPr>
                            <w:r>
                              <w:rPr>
                                <w:sz w:val="16"/>
                                <w:szCs w:val="16"/>
                                <w:lang w:val="fr-CH"/>
                              </w:rPr>
                              <w:t xml:space="preserve">Frais d'expédition et </w:t>
                            </w:r>
                            <w:r>
                              <w:rPr>
                                <w:sz w:val="16"/>
                                <w:szCs w:val="16"/>
                                <w:lang w:val="fr-CH"/>
                              </w:rPr>
                              <w:br/>
                              <w:t>de télécommunications et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125AF" id="_x0000_s1031" type="#_x0000_t202" style="position:absolute;left:0;text-align:left;margin-left:255.1pt;margin-top:190.3pt;width:126.2pt;height:25.55pt;rotation:-3041115fd;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" stroked="f">
                <v:textbox inset="0,0,0,0">
                  <w:txbxContent>
                    <w:p w14:paraId="2E555043" w14:textId="77777777" w:rsidR="00CB48F1" w:rsidRPr="00845244" w:rsidRDefault="00CB48F1" w:rsidP="005265FE">
                      <w:pPr>
                        <w:spacing w:before="0"/>
                        <w:jc w:val="center"/>
                        <w:rPr>
                          <w:sz w:val="16"/>
                          <w:szCs w:val="16"/>
                          <w:lang w:val="fr-CH"/>
                        </w:rPr>
                      </w:pPr>
                      <w:r>
                        <w:rPr>
                          <w:sz w:val="16"/>
                          <w:szCs w:val="16"/>
                          <w:lang w:val="fr-CH"/>
                        </w:rPr>
                        <w:t xml:space="preserve">Frais d'expédition et </w:t>
                      </w:r>
                      <w:r>
                        <w:rPr>
                          <w:sz w:val="16"/>
                          <w:szCs w:val="16"/>
                          <w:lang w:val="fr-CH"/>
                        </w:rPr>
                        <w:br/>
                        <w:t>de télécommunications et services</w:t>
                      </w:r>
                    </w:p>
                  </w:txbxContent>
                </v:textbox>
              </v:shape>
            </w:pict>
          </mc:Fallback>
        </mc:AlternateContent>
      </w:r>
      <w:r w:rsidRPr="004C1BC2">
        <w:rPr>
          <w:noProof/>
          <w:lang w:val="en-US"/>
        </w:rPr>
        <mc:AlternateContent>
          <mc:Choice Requires="wps">
            <w:drawing>
              <wp:anchor distT="45720" distB="45720" distL="114300" distR="114300" simplePos="0" relativeHeight="251672576" behindDoc="0" locked="0" layoutInCell="1" allowOverlap="1" wp14:anchorId="7C9BA3F8" wp14:editId="27073890">
                <wp:simplePos x="0" y="0"/>
                <wp:positionH relativeFrom="column">
                  <wp:posOffset>2490487</wp:posOffset>
                </wp:positionH>
                <wp:positionV relativeFrom="paragraph">
                  <wp:posOffset>2493234</wp:posOffset>
                </wp:positionV>
                <wp:extent cx="1746011" cy="180730"/>
                <wp:effectExtent l="592138" t="0" r="503872"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746011" cy="180730"/>
                        </a:xfrm>
                        <a:prstGeom prst="rect">
                          <a:avLst/>
                        </a:prstGeom>
                        <a:solidFill>
                          <a:srgbClr val="FFFFFF"/>
                        </a:solidFill>
                        <a:ln w="9525">
                          <a:noFill/>
                          <a:miter lim="800000"/>
                          <a:headEnd/>
                          <a:tailEnd/>
                        </a:ln>
                      </wps:spPr>
                      <wps:txbx>
                        <w:txbxContent>
                          <w:p w14:paraId="175163CD" w14:textId="77777777" w:rsidR="00CB48F1" w:rsidRPr="00845244" w:rsidRDefault="00CB48F1" w:rsidP="005265FE">
                            <w:pPr>
                              <w:spacing w:before="0"/>
                              <w:jc w:val="center"/>
                              <w:rPr>
                                <w:sz w:val="16"/>
                                <w:szCs w:val="16"/>
                                <w:lang w:val="fr-CH"/>
                              </w:rPr>
                            </w:pPr>
                            <w:r>
                              <w:rPr>
                                <w:sz w:val="16"/>
                                <w:szCs w:val="16"/>
                                <w:lang w:val="fr-CH"/>
                              </w:rPr>
                              <w:t>Amortissement et pertes de valeurs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BA3F8" id="_x0000_s1032" type="#_x0000_t202" style="position:absolute;left:0;text-align:left;margin-left:196.1pt;margin-top:196.3pt;width:137.5pt;height:14.25pt;rotation:-3041115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" stroked="f">
                <v:textbox inset="0,0,0,0">
                  <w:txbxContent>
                    <w:p w14:paraId="175163CD" w14:textId="77777777" w:rsidR="00CB48F1" w:rsidRPr="00845244" w:rsidRDefault="00CB48F1" w:rsidP="005265FE">
                      <w:pPr>
                        <w:spacing w:before="0"/>
                        <w:jc w:val="center"/>
                        <w:rPr>
                          <w:sz w:val="16"/>
                          <w:szCs w:val="16"/>
                          <w:lang w:val="fr-CH"/>
                        </w:rPr>
                      </w:pPr>
                      <w:r>
                        <w:rPr>
                          <w:sz w:val="16"/>
                          <w:szCs w:val="16"/>
                          <w:lang w:val="fr-CH"/>
                        </w:rPr>
                        <w:t>Amortissement et pertes de valeurs</w:t>
                      </w:r>
                    </w:p>
                  </w:txbxContent>
                </v:textbox>
              </v:shape>
            </w:pict>
          </mc:Fallback>
        </mc:AlternateContent>
      </w:r>
      <w:r w:rsidRPr="004C1BC2">
        <w:rPr>
          <w:noProof/>
          <w:lang w:val="en-US"/>
        </w:rPr>
        <mc:AlternateContent>
          <mc:Choice Requires="wps">
            <w:drawing>
              <wp:anchor distT="45720" distB="45720" distL="114300" distR="114300" simplePos="0" relativeHeight="251670528" behindDoc="0" locked="0" layoutInCell="1" allowOverlap="1" wp14:anchorId="5B204050" wp14:editId="06F5C0E9">
                <wp:simplePos x="0" y="0"/>
                <wp:positionH relativeFrom="column">
                  <wp:posOffset>890526</wp:posOffset>
                </wp:positionH>
                <wp:positionV relativeFrom="paragraph">
                  <wp:posOffset>2666899</wp:posOffset>
                </wp:positionV>
                <wp:extent cx="2215649" cy="182880"/>
                <wp:effectExtent l="711518" t="0" r="667702"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2215649" cy="182880"/>
                        </a:xfrm>
                        <a:prstGeom prst="rect">
                          <a:avLst/>
                        </a:prstGeom>
                        <a:solidFill>
                          <a:srgbClr val="FFFFFF"/>
                        </a:solidFill>
                        <a:ln w="9525">
                          <a:noFill/>
                          <a:miter lim="800000"/>
                          <a:headEnd/>
                          <a:tailEnd/>
                        </a:ln>
                      </wps:spPr>
                      <wps:txbx>
                        <w:txbxContent>
                          <w:p w14:paraId="01FA49D0" w14:textId="77777777" w:rsidR="00CB48F1" w:rsidRPr="00845244" w:rsidRDefault="00CB48F1" w:rsidP="005265FE">
                            <w:pPr>
                              <w:spacing w:before="0"/>
                              <w:jc w:val="center"/>
                              <w:rPr>
                                <w:sz w:val="16"/>
                                <w:szCs w:val="16"/>
                                <w:lang w:val="fr-CH"/>
                              </w:rPr>
                            </w:pPr>
                            <w:r>
                              <w:rPr>
                                <w:sz w:val="16"/>
                                <w:szCs w:val="16"/>
                                <w:lang w:val="fr-CH"/>
                              </w:rPr>
                              <w:t>Location et entretien des locaux et équipements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04050" id="_x0000_s1033" type="#_x0000_t202" style="position:absolute;left:0;text-align:left;margin-left:70.1pt;margin-top:210pt;width:174.45pt;height:14.4pt;rotation:-3041115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sEwIAAPw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" stroked="f">
                <v:textbox inset="0,0,0,0">
                  <w:txbxContent>
                    <w:p w14:paraId="01FA49D0" w14:textId="77777777" w:rsidR="00CB48F1" w:rsidRPr="00845244" w:rsidRDefault="00CB48F1" w:rsidP="005265FE">
                      <w:pPr>
                        <w:spacing w:before="0"/>
                        <w:jc w:val="center"/>
                        <w:rPr>
                          <w:sz w:val="16"/>
                          <w:szCs w:val="16"/>
                          <w:lang w:val="fr-CH"/>
                        </w:rPr>
                      </w:pPr>
                      <w:r>
                        <w:rPr>
                          <w:sz w:val="16"/>
                          <w:szCs w:val="16"/>
                          <w:lang w:val="fr-CH"/>
                        </w:rPr>
                        <w:t>Location et entretien des locaux et équipements</w:t>
                      </w:r>
                    </w:p>
                  </w:txbxContent>
                </v:textbox>
              </v:shape>
            </w:pict>
          </mc:Fallback>
        </mc:AlternateContent>
      </w:r>
      <w:r w:rsidRPr="004C1BC2">
        <w:rPr>
          <w:noProof/>
          <w:lang w:val="en-US"/>
        </w:rPr>
        <mc:AlternateContent>
          <mc:Choice Requires="wps">
            <w:drawing>
              <wp:anchor distT="45720" distB="45720" distL="114300" distR="114300" simplePos="0" relativeHeight="251669504" behindDoc="0" locked="0" layoutInCell="1" allowOverlap="1" wp14:anchorId="6AAED764" wp14:editId="2D256D66">
                <wp:simplePos x="0" y="0"/>
                <wp:positionH relativeFrom="column">
                  <wp:posOffset>1249763</wp:posOffset>
                </wp:positionH>
                <wp:positionV relativeFrom="paragraph">
                  <wp:posOffset>2281028</wp:posOffset>
                </wp:positionV>
                <wp:extent cx="994867" cy="182880"/>
                <wp:effectExtent l="253365" t="0" r="230505"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57F35DE1" w14:textId="77777777" w:rsidR="00CB48F1" w:rsidRPr="00845244" w:rsidRDefault="00CB48F1" w:rsidP="005265FE">
                            <w:pPr>
                              <w:spacing w:before="0"/>
                              <w:jc w:val="center"/>
                              <w:rPr>
                                <w:sz w:val="16"/>
                                <w:szCs w:val="16"/>
                                <w:lang w:val="fr-CH"/>
                              </w:rPr>
                            </w:pPr>
                            <w:r>
                              <w:rPr>
                                <w:sz w:val="16"/>
                                <w:szCs w:val="16"/>
                                <w:lang w:val="fr-CH"/>
                              </w:rPr>
                              <w:t>Services contractuels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ED764" id="_x0000_s1034" type="#_x0000_t202" style="position:absolute;left:0;text-align:left;margin-left:98.4pt;margin-top:179.6pt;width:78.35pt;height:14.4pt;rotation:-3041115fd;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v7EQIAAPs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" stroked="f">
                <v:textbox inset="0,0,0,0">
                  <w:txbxContent>
                    <w:p w14:paraId="57F35DE1" w14:textId="77777777" w:rsidR="00CB48F1" w:rsidRPr="00845244" w:rsidRDefault="00CB48F1" w:rsidP="005265FE">
                      <w:pPr>
                        <w:spacing w:before="0"/>
                        <w:jc w:val="center"/>
                        <w:rPr>
                          <w:sz w:val="16"/>
                          <w:szCs w:val="16"/>
                          <w:lang w:val="fr-CH"/>
                        </w:rPr>
                      </w:pPr>
                      <w:r>
                        <w:rPr>
                          <w:sz w:val="16"/>
                          <w:szCs w:val="16"/>
                          <w:lang w:val="fr-CH"/>
                        </w:rPr>
                        <w:t>Services contractuels</w:t>
                      </w:r>
                    </w:p>
                  </w:txbxContent>
                </v:textbox>
              </v:shape>
            </w:pict>
          </mc:Fallback>
        </mc:AlternateContent>
      </w:r>
      <w:r w:rsidRPr="004C1BC2">
        <w:rPr>
          <w:noProof/>
          <w:lang w:val="en-US"/>
        </w:rPr>
        <mc:AlternateContent>
          <mc:Choice Requires="wps">
            <w:drawing>
              <wp:anchor distT="45720" distB="45720" distL="114300" distR="114300" simplePos="0" relativeHeight="251667456" behindDoc="0" locked="0" layoutInCell="1" allowOverlap="1" wp14:anchorId="52C0C50C" wp14:editId="1D8EECBA">
                <wp:simplePos x="0" y="0"/>
                <wp:positionH relativeFrom="column">
                  <wp:posOffset>26340</wp:posOffset>
                </wp:positionH>
                <wp:positionV relativeFrom="paragraph">
                  <wp:posOffset>2276800</wp:posOffset>
                </wp:positionV>
                <wp:extent cx="994867" cy="182880"/>
                <wp:effectExtent l="253365" t="0" r="230505"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3F450A7F" w14:textId="77777777" w:rsidR="00CB48F1" w:rsidRPr="00845244" w:rsidRDefault="00CB48F1" w:rsidP="005265FE">
                            <w:pPr>
                              <w:spacing w:before="0"/>
                              <w:jc w:val="center"/>
                              <w:rPr>
                                <w:sz w:val="16"/>
                                <w:szCs w:val="16"/>
                                <w:lang w:val="fr-CH"/>
                              </w:rPr>
                            </w:pPr>
                            <w:r>
                              <w:rPr>
                                <w:sz w:val="16"/>
                                <w:szCs w:val="16"/>
                                <w:lang w:val="fr-CH"/>
                              </w:rPr>
                              <w:t>Charges de 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0C50C" id="_x0000_s1035" type="#_x0000_t202" style="position:absolute;left:0;text-align:left;margin-left:2.05pt;margin-top:179.3pt;width:78.35pt;height:14.4pt;rotation:-3041115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skEQIAAPs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" stroked="f">
                <v:textbox inset="0,0,0,0">
                  <w:txbxContent>
                    <w:p w14:paraId="3F450A7F" w14:textId="77777777" w:rsidR="00CB48F1" w:rsidRPr="00845244" w:rsidRDefault="00CB48F1" w:rsidP="005265FE">
                      <w:pPr>
                        <w:spacing w:before="0"/>
                        <w:jc w:val="center"/>
                        <w:rPr>
                          <w:sz w:val="16"/>
                          <w:szCs w:val="16"/>
                          <w:lang w:val="fr-CH"/>
                        </w:rPr>
                      </w:pPr>
                      <w:r>
                        <w:rPr>
                          <w:sz w:val="16"/>
                          <w:szCs w:val="16"/>
                          <w:lang w:val="fr-CH"/>
                        </w:rPr>
                        <w:t>Charges de personnel</w:t>
                      </w:r>
                    </w:p>
                  </w:txbxContent>
                </v:textbox>
              </v:shape>
            </w:pict>
          </mc:Fallback>
        </mc:AlternateContent>
      </w:r>
      <w:r w:rsidRPr="004C1BC2">
        <w:rPr>
          <w:noProof/>
          <w:lang w:val="en-US"/>
        </w:rPr>
        <w:drawing>
          <wp:inline distT="0" distB="0" distL="0" distR="0" wp14:anchorId="24A879CB" wp14:editId="12173C4D">
            <wp:extent cx="6120765" cy="3410507"/>
            <wp:effectExtent l="0" t="0" r="13335" b="0"/>
            <wp:docPr id="6" name="Chart 6">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2A2593" w14:textId="43679924" w:rsidR="005265FE" w:rsidRPr="004C1BC2" w:rsidRDefault="005265FE" w:rsidP="002178B4">
      <w:pPr>
        <w:spacing w:after="240"/>
        <w:jc w:val="center"/>
      </w:pPr>
    </w:p>
    <w:p w14:paraId="1EF064C0" w14:textId="0670DA05" w:rsidR="005265FE" w:rsidRPr="004C1BC2" w:rsidRDefault="005265FE" w:rsidP="002178B4">
      <w:pPr>
        <w:pStyle w:val="Headingb"/>
        <w:keepNext w:val="0"/>
        <w:spacing w:after="240"/>
        <w:rPr>
          <w:rFonts w:eastAsia="SimSun"/>
          <w:lang w:eastAsia="zh-CN"/>
        </w:rPr>
      </w:pPr>
      <w:bookmarkStart w:id="101" w:name="_Toc9605675"/>
      <w:bookmarkStart w:id="102" w:name="_Toc10450685"/>
      <w:bookmarkStart w:id="103" w:name="_Toc41566298"/>
      <w:bookmarkStart w:id="104" w:name="_Toc41814917"/>
      <w:bookmarkStart w:id="105" w:name="_Toc73354272"/>
      <w:bookmarkStart w:id="106" w:name="_Toc73354407"/>
      <w:bookmarkStart w:id="107" w:name="_Toc73356360"/>
      <w:r w:rsidRPr="004C1BC2">
        <w:rPr>
          <w:rFonts w:eastAsia="SimSun"/>
          <w:lang w:eastAsia="zh-CN"/>
        </w:rPr>
        <w:t xml:space="preserve">Position financière: représentation de l'actif pour </w:t>
      </w:r>
      <w:bookmarkEnd w:id="101"/>
      <w:bookmarkEnd w:id="102"/>
      <w:bookmarkEnd w:id="103"/>
      <w:bookmarkEnd w:id="104"/>
      <w:r w:rsidRPr="004C1BC2">
        <w:rPr>
          <w:rFonts w:eastAsia="SimSun"/>
          <w:lang w:eastAsia="zh-CN"/>
        </w:rPr>
        <w:t>2020</w:t>
      </w:r>
      <w:bookmarkEnd w:id="105"/>
      <w:bookmarkEnd w:id="106"/>
      <w:bookmarkEnd w:id="107"/>
    </w:p>
    <w:p w14:paraId="32689C27" w14:textId="19F1094C" w:rsidR="00777A3F" w:rsidRPr="004C1BC2" w:rsidRDefault="00777A3F" w:rsidP="00777A3F">
      <w:pPr>
        <w:pStyle w:val="Figure"/>
        <w:keepNext w:val="0"/>
        <w:keepLines w:val="0"/>
        <w:rPr>
          <w:rFonts w:eastAsia="SimSun"/>
          <w:lang w:eastAsia="zh-CN"/>
        </w:rPr>
      </w:pPr>
      <w:r w:rsidRPr="004C1BC2">
        <w:rPr>
          <w:rFonts w:eastAsia="SimSun"/>
          <w:noProof/>
          <w:lang w:val="en-US"/>
        </w:rPr>
        <w:drawing>
          <wp:inline distT="0" distB="0" distL="0" distR="0" wp14:anchorId="4EFE5F88" wp14:editId="1F719FD1">
            <wp:extent cx="4876800" cy="3694748"/>
            <wp:effectExtent l="0" t="0" r="0" b="1270"/>
            <wp:docPr id="7" name="Chart 7">
              <a:extLst xmlns:a="http://schemas.openxmlformats.org/drawingml/2006/main">
                <a:ext uri="{FF2B5EF4-FFF2-40B4-BE49-F238E27FC236}">
                  <a16:creationId xmlns:a16="http://schemas.microsoft.com/office/drawing/2014/main" id="{36115AAB-E92E-493D-984D-8168173F56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bookmarkStart w:id="108" w:name="_Toc9605676"/>
    <w:bookmarkStart w:id="109" w:name="_Toc10450686"/>
    <w:bookmarkStart w:id="110" w:name="_Toc41566299"/>
    <w:bookmarkStart w:id="111" w:name="_Toc41814918"/>
    <w:bookmarkStart w:id="112" w:name="_Toc73354273"/>
    <w:bookmarkStart w:id="113" w:name="_Toc73354408"/>
    <w:bookmarkStart w:id="114" w:name="_Toc73356361"/>
    <w:p w14:paraId="056F108D" w14:textId="0FA151D8" w:rsidR="005265FE" w:rsidRPr="004C1BC2" w:rsidRDefault="008B290A" w:rsidP="002178B4">
      <w:pPr>
        <w:pStyle w:val="Headingb"/>
        <w:spacing w:after="240"/>
        <w:rPr>
          <w:rFonts w:eastAsia="SimSun"/>
          <w:lang w:eastAsia="zh-CN"/>
        </w:rPr>
      </w:pPr>
      <w:r w:rsidRPr="004C1BC2">
        <w:rPr>
          <w:noProof/>
          <w:lang w:val="en-US"/>
        </w:rPr>
        <w:lastRenderedPageBreak/>
        <mc:AlternateContent>
          <mc:Choice Requires="wps">
            <w:drawing>
              <wp:anchor distT="45720" distB="45720" distL="114300" distR="114300" simplePos="0" relativeHeight="251683840" behindDoc="0" locked="0" layoutInCell="1" allowOverlap="1" wp14:anchorId="4838EB17" wp14:editId="7619F7B1">
                <wp:simplePos x="0" y="0"/>
                <wp:positionH relativeFrom="column">
                  <wp:posOffset>608378</wp:posOffset>
                </wp:positionH>
                <wp:positionV relativeFrom="paragraph">
                  <wp:posOffset>341774</wp:posOffset>
                </wp:positionV>
                <wp:extent cx="619760" cy="2751826"/>
                <wp:effectExtent l="0" t="0" r="889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751826"/>
                        </a:xfrm>
                        <a:prstGeom prst="rect">
                          <a:avLst/>
                        </a:prstGeom>
                        <a:solidFill>
                          <a:srgbClr val="FFFFFF"/>
                        </a:solidFill>
                        <a:ln w="9525">
                          <a:noFill/>
                          <a:miter lim="800000"/>
                          <a:headEnd/>
                          <a:tailEnd/>
                        </a:ln>
                      </wps:spPr>
                      <wps:txbx>
                        <w:txbxContent>
                          <w:p w14:paraId="06B900F6" w14:textId="632E1102" w:rsidR="00CB48F1" w:rsidRPr="00071A93" w:rsidRDefault="00CB48F1" w:rsidP="005265FE">
                            <w:pPr>
                              <w:spacing w:before="0"/>
                              <w:jc w:val="right"/>
                              <w:rPr>
                                <w:sz w:val="18"/>
                                <w:szCs w:val="18"/>
                              </w:rPr>
                            </w:pPr>
                            <w:r w:rsidRPr="00071A93">
                              <w:rPr>
                                <w:sz w:val="18"/>
                                <w:szCs w:val="18"/>
                              </w:rPr>
                              <w:t>2</w:t>
                            </w:r>
                            <w:r>
                              <w:rPr>
                                <w:sz w:val="18"/>
                                <w:szCs w:val="18"/>
                              </w:rPr>
                              <w:t xml:space="preserve">00 </w:t>
                            </w:r>
                            <w:r w:rsidRPr="00071A93">
                              <w:rPr>
                                <w:sz w:val="18"/>
                                <w:szCs w:val="18"/>
                              </w:rPr>
                              <w:t>000</w:t>
                            </w:r>
                          </w:p>
                          <w:p w14:paraId="0266865C" w14:textId="151E907C" w:rsidR="00CB48F1" w:rsidRDefault="00CB48F1" w:rsidP="008B290A">
                            <w:pPr>
                              <w:spacing w:before="160"/>
                              <w:jc w:val="right"/>
                              <w:rPr>
                                <w:sz w:val="18"/>
                                <w:szCs w:val="18"/>
                              </w:rPr>
                            </w:pPr>
                            <w:r>
                              <w:rPr>
                                <w:sz w:val="18"/>
                                <w:szCs w:val="18"/>
                              </w:rPr>
                              <w:t>180 000</w:t>
                            </w:r>
                          </w:p>
                          <w:p w14:paraId="323D293E" w14:textId="10C17B36" w:rsidR="00CB48F1" w:rsidRDefault="00CB48F1" w:rsidP="008B290A">
                            <w:pPr>
                              <w:spacing w:before="200"/>
                              <w:jc w:val="right"/>
                              <w:rPr>
                                <w:sz w:val="18"/>
                                <w:szCs w:val="18"/>
                              </w:rPr>
                            </w:pPr>
                            <w:r>
                              <w:rPr>
                                <w:sz w:val="18"/>
                                <w:szCs w:val="18"/>
                              </w:rPr>
                              <w:t>160 000</w:t>
                            </w:r>
                          </w:p>
                          <w:p w14:paraId="6F63F216" w14:textId="149FA31B" w:rsidR="00CB48F1" w:rsidRPr="00071A93" w:rsidRDefault="00CB48F1" w:rsidP="008B290A">
                            <w:pPr>
                              <w:spacing w:before="200"/>
                              <w:jc w:val="right"/>
                              <w:rPr>
                                <w:sz w:val="18"/>
                                <w:szCs w:val="18"/>
                              </w:rPr>
                            </w:pPr>
                            <w:r w:rsidRPr="00071A93">
                              <w:rPr>
                                <w:sz w:val="18"/>
                                <w:szCs w:val="18"/>
                              </w:rPr>
                              <w:t>1</w:t>
                            </w:r>
                            <w:r>
                              <w:rPr>
                                <w:sz w:val="18"/>
                                <w:szCs w:val="18"/>
                              </w:rPr>
                              <w:t>4</w:t>
                            </w:r>
                            <w:r w:rsidRPr="00071A93">
                              <w:rPr>
                                <w:sz w:val="18"/>
                                <w:szCs w:val="18"/>
                              </w:rPr>
                              <w:t>0</w:t>
                            </w:r>
                            <w:r>
                              <w:rPr>
                                <w:sz w:val="18"/>
                                <w:szCs w:val="18"/>
                              </w:rPr>
                              <w:t xml:space="preserve"> </w:t>
                            </w:r>
                            <w:r w:rsidRPr="00071A93">
                              <w:rPr>
                                <w:sz w:val="18"/>
                                <w:szCs w:val="18"/>
                              </w:rPr>
                              <w:t>000</w:t>
                            </w:r>
                          </w:p>
                          <w:p w14:paraId="684B39A4" w14:textId="34312896" w:rsidR="00CB48F1" w:rsidRDefault="00CB48F1" w:rsidP="008B290A">
                            <w:pPr>
                              <w:spacing w:before="160"/>
                              <w:jc w:val="right"/>
                              <w:rPr>
                                <w:sz w:val="18"/>
                                <w:szCs w:val="18"/>
                              </w:rPr>
                            </w:pPr>
                            <w:r>
                              <w:rPr>
                                <w:sz w:val="18"/>
                                <w:szCs w:val="18"/>
                              </w:rPr>
                              <w:t>120 000</w:t>
                            </w:r>
                          </w:p>
                          <w:p w14:paraId="28EF27F7" w14:textId="533E1525" w:rsidR="00CB48F1" w:rsidRDefault="00CB48F1" w:rsidP="008B290A">
                            <w:pPr>
                              <w:spacing w:before="160"/>
                              <w:jc w:val="right"/>
                              <w:rPr>
                                <w:sz w:val="18"/>
                                <w:szCs w:val="18"/>
                              </w:rPr>
                            </w:pPr>
                            <w:r w:rsidRPr="00071A93">
                              <w:rPr>
                                <w:sz w:val="18"/>
                                <w:szCs w:val="18"/>
                              </w:rPr>
                              <w:t>100</w:t>
                            </w:r>
                            <w:r>
                              <w:rPr>
                                <w:sz w:val="18"/>
                                <w:szCs w:val="18"/>
                              </w:rPr>
                              <w:t xml:space="preserve"> </w:t>
                            </w:r>
                            <w:r w:rsidRPr="00071A93">
                              <w:rPr>
                                <w:sz w:val="18"/>
                                <w:szCs w:val="18"/>
                              </w:rPr>
                              <w:t>000</w:t>
                            </w:r>
                          </w:p>
                          <w:p w14:paraId="79DCEAF8" w14:textId="65402913" w:rsidR="00CB48F1" w:rsidRDefault="00CB48F1" w:rsidP="008B290A">
                            <w:pPr>
                              <w:spacing w:before="200"/>
                              <w:jc w:val="right"/>
                              <w:rPr>
                                <w:sz w:val="18"/>
                                <w:szCs w:val="18"/>
                              </w:rPr>
                            </w:pPr>
                            <w:r>
                              <w:rPr>
                                <w:sz w:val="18"/>
                                <w:szCs w:val="18"/>
                              </w:rPr>
                              <w:t>80 000</w:t>
                            </w:r>
                          </w:p>
                          <w:p w14:paraId="2B2F2DCC" w14:textId="48ED49F1" w:rsidR="00CB48F1" w:rsidRPr="00071A93" w:rsidRDefault="00CB48F1" w:rsidP="008B290A">
                            <w:pPr>
                              <w:spacing w:before="160"/>
                              <w:jc w:val="right"/>
                              <w:rPr>
                                <w:sz w:val="18"/>
                                <w:szCs w:val="18"/>
                              </w:rPr>
                            </w:pPr>
                            <w:r>
                              <w:rPr>
                                <w:sz w:val="18"/>
                                <w:szCs w:val="18"/>
                              </w:rPr>
                              <w:t>60 000</w:t>
                            </w:r>
                          </w:p>
                          <w:p w14:paraId="4BFCAEC5" w14:textId="151726F8" w:rsidR="00CB48F1" w:rsidRDefault="00CB48F1" w:rsidP="008B290A">
                            <w:pPr>
                              <w:spacing w:before="200"/>
                              <w:jc w:val="right"/>
                              <w:rPr>
                                <w:sz w:val="18"/>
                                <w:szCs w:val="18"/>
                              </w:rPr>
                            </w:pPr>
                            <w:r>
                              <w:rPr>
                                <w:sz w:val="18"/>
                                <w:szCs w:val="18"/>
                              </w:rPr>
                              <w:t>4</w:t>
                            </w:r>
                            <w:r w:rsidRPr="00071A93">
                              <w:rPr>
                                <w:sz w:val="18"/>
                                <w:szCs w:val="18"/>
                              </w:rPr>
                              <w:t>0</w:t>
                            </w:r>
                            <w:r>
                              <w:rPr>
                                <w:sz w:val="18"/>
                                <w:szCs w:val="18"/>
                              </w:rPr>
                              <w:t xml:space="preserve"> </w:t>
                            </w:r>
                            <w:r w:rsidRPr="00071A93">
                              <w:rPr>
                                <w:sz w:val="18"/>
                                <w:szCs w:val="18"/>
                              </w:rPr>
                              <w:t>000</w:t>
                            </w:r>
                          </w:p>
                          <w:p w14:paraId="37C9963B" w14:textId="0C30FAF0" w:rsidR="00CB48F1" w:rsidRPr="00071A93" w:rsidRDefault="00CB48F1" w:rsidP="008B290A">
                            <w:pPr>
                              <w:spacing w:before="160"/>
                              <w:jc w:val="right"/>
                              <w:rPr>
                                <w:sz w:val="18"/>
                                <w:szCs w:val="18"/>
                              </w:rPr>
                            </w:pPr>
                            <w:r>
                              <w:rPr>
                                <w:sz w:val="18"/>
                                <w:szCs w:val="18"/>
                              </w:rPr>
                              <w:t>20 000</w:t>
                            </w:r>
                          </w:p>
                          <w:p w14:paraId="4B952708" w14:textId="77777777" w:rsidR="00CB48F1" w:rsidRDefault="00CB48F1" w:rsidP="008B290A">
                            <w:pPr>
                              <w:spacing w:before="200"/>
                              <w:jc w:val="right"/>
                            </w:pP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8EB17" id="_x0000_s1036" type="#_x0000_t202" style="position:absolute;left:0;text-align:left;margin-left:47.9pt;margin-top:26.9pt;width:48.8pt;height:216.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" stroked="f">
                <v:textbox>
                  <w:txbxContent>
                    <w:p w14:paraId="06B900F6" w14:textId="632E1102" w:rsidR="00CB48F1" w:rsidRPr="00071A93" w:rsidRDefault="00CB48F1" w:rsidP="005265FE">
                      <w:pPr>
                        <w:spacing w:before="0"/>
                        <w:jc w:val="right"/>
                        <w:rPr>
                          <w:sz w:val="18"/>
                          <w:szCs w:val="18"/>
                        </w:rPr>
                      </w:pPr>
                      <w:r w:rsidRPr="00071A93">
                        <w:rPr>
                          <w:sz w:val="18"/>
                          <w:szCs w:val="18"/>
                        </w:rPr>
                        <w:t>2</w:t>
                      </w:r>
                      <w:r>
                        <w:rPr>
                          <w:sz w:val="18"/>
                          <w:szCs w:val="18"/>
                        </w:rPr>
                        <w:t xml:space="preserve">00 </w:t>
                      </w:r>
                      <w:r w:rsidRPr="00071A93">
                        <w:rPr>
                          <w:sz w:val="18"/>
                          <w:szCs w:val="18"/>
                        </w:rPr>
                        <w:t>000</w:t>
                      </w:r>
                    </w:p>
                    <w:p w14:paraId="0266865C" w14:textId="151E907C" w:rsidR="00CB48F1" w:rsidRDefault="00CB48F1" w:rsidP="008B290A">
                      <w:pPr>
                        <w:spacing w:before="160"/>
                        <w:jc w:val="right"/>
                        <w:rPr>
                          <w:sz w:val="18"/>
                          <w:szCs w:val="18"/>
                        </w:rPr>
                      </w:pPr>
                      <w:r>
                        <w:rPr>
                          <w:sz w:val="18"/>
                          <w:szCs w:val="18"/>
                        </w:rPr>
                        <w:t>180 000</w:t>
                      </w:r>
                    </w:p>
                    <w:p w14:paraId="323D293E" w14:textId="10C17B36" w:rsidR="00CB48F1" w:rsidRDefault="00CB48F1" w:rsidP="008B290A">
                      <w:pPr>
                        <w:spacing w:before="200"/>
                        <w:jc w:val="right"/>
                        <w:rPr>
                          <w:sz w:val="18"/>
                          <w:szCs w:val="18"/>
                        </w:rPr>
                      </w:pPr>
                      <w:r>
                        <w:rPr>
                          <w:sz w:val="18"/>
                          <w:szCs w:val="18"/>
                        </w:rPr>
                        <w:t>160 000</w:t>
                      </w:r>
                    </w:p>
                    <w:p w14:paraId="6F63F216" w14:textId="149FA31B" w:rsidR="00CB48F1" w:rsidRPr="00071A93" w:rsidRDefault="00CB48F1" w:rsidP="008B290A">
                      <w:pPr>
                        <w:spacing w:before="200"/>
                        <w:jc w:val="right"/>
                        <w:rPr>
                          <w:sz w:val="18"/>
                          <w:szCs w:val="18"/>
                        </w:rPr>
                      </w:pPr>
                      <w:r w:rsidRPr="00071A93">
                        <w:rPr>
                          <w:sz w:val="18"/>
                          <w:szCs w:val="18"/>
                        </w:rPr>
                        <w:t>1</w:t>
                      </w:r>
                      <w:r>
                        <w:rPr>
                          <w:sz w:val="18"/>
                          <w:szCs w:val="18"/>
                        </w:rPr>
                        <w:t>4</w:t>
                      </w:r>
                      <w:r w:rsidRPr="00071A93">
                        <w:rPr>
                          <w:sz w:val="18"/>
                          <w:szCs w:val="18"/>
                        </w:rPr>
                        <w:t>0</w:t>
                      </w:r>
                      <w:r>
                        <w:rPr>
                          <w:sz w:val="18"/>
                          <w:szCs w:val="18"/>
                        </w:rPr>
                        <w:t xml:space="preserve"> </w:t>
                      </w:r>
                      <w:r w:rsidRPr="00071A93">
                        <w:rPr>
                          <w:sz w:val="18"/>
                          <w:szCs w:val="18"/>
                        </w:rPr>
                        <w:t>000</w:t>
                      </w:r>
                    </w:p>
                    <w:p w14:paraId="684B39A4" w14:textId="34312896" w:rsidR="00CB48F1" w:rsidRDefault="00CB48F1" w:rsidP="008B290A">
                      <w:pPr>
                        <w:spacing w:before="160"/>
                        <w:jc w:val="right"/>
                        <w:rPr>
                          <w:sz w:val="18"/>
                          <w:szCs w:val="18"/>
                        </w:rPr>
                      </w:pPr>
                      <w:r>
                        <w:rPr>
                          <w:sz w:val="18"/>
                          <w:szCs w:val="18"/>
                        </w:rPr>
                        <w:t>120 000</w:t>
                      </w:r>
                    </w:p>
                    <w:p w14:paraId="28EF27F7" w14:textId="533E1525" w:rsidR="00CB48F1" w:rsidRDefault="00CB48F1" w:rsidP="008B290A">
                      <w:pPr>
                        <w:spacing w:before="160"/>
                        <w:jc w:val="right"/>
                        <w:rPr>
                          <w:sz w:val="18"/>
                          <w:szCs w:val="18"/>
                        </w:rPr>
                      </w:pPr>
                      <w:r w:rsidRPr="00071A93">
                        <w:rPr>
                          <w:sz w:val="18"/>
                          <w:szCs w:val="18"/>
                        </w:rPr>
                        <w:t>100</w:t>
                      </w:r>
                      <w:r>
                        <w:rPr>
                          <w:sz w:val="18"/>
                          <w:szCs w:val="18"/>
                        </w:rPr>
                        <w:t xml:space="preserve"> </w:t>
                      </w:r>
                      <w:r w:rsidRPr="00071A93">
                        <w:rPr>
                          <w:sz w:val="18"/>
                          <w:szCs w:val="18"/>
                        </w:rPr>
                        <w:t>000</w:t>
                      </w:r>
                    </w:p>
                    <w:p w14:paraId="79DCEAF8" w14:textId="65402913" w:rsidR="00CB48F1" w:rsidRDefault="00CB48F1" w:rsidP="008B290A">
                      <w:pPr>
                        <w:spacing w:before="200"/>
                        <w:jc w:val="right"/>
                        <w:rPr>
                          <w:sz w:val="18"/>
                          <w:szCs w:val="18"/>
                        </w:rPr>
                      </w:pPr>
                      <w:r>
                        <w:rPr>
                          <w:sz w:val="18"/>
                          <w:szCs w:val="18"/>
                        </w:rPr>
                        <w:t>80 000</w:t>
                      </w:r>
                    </w:p>
                    <w:p w14:paraId="2B2F2DCC" w14:textId="48ED49F1" w:rsidR="00CB48F1" w:rsidRPr="00071A93" w:rsidRDefault="00CB48F1" w:rsidP="008B290A">
                      <w:pPr>
                        <w:spacing w:before="160"/>
                        <w:jc w:val="right"/>
                        <w:rPr>
                          <w:sz w:val="18"/>
                          <w:szCs w:val="18"/>
                        </w:rPr>
                      </w:pPr>
                      <w:r>
                        <w:rPr>
                          <w:sz w:val="18"/>
                          <w:szCs w:val="18"/>
                        </w:rPr>
                        <w:t>60 000</w:t>
                      </w:r>
                    </w:p>
                    <w:p w14:paraId="4BFCAEC5" w14:textId="151726F8" w:rsidR="00CB48F1" w:rsidRDefault="00CB48F1" w:rsidP="008B290A">
                      <w:pPr>
                        <w:spacing w:before="200"/>
                        <w:jc w:val="right"/>
                        <w:rPr>
                          <w:sz w:val="18"/>
                          <w:szCs w:val="18"/>
                        </w:rPr>
                      </w:pPr>
                      <w:r>
                        <w:rPr>
                          <w:sz w:val="18"/>
                          <w:szCs w:val="18"/>
                        </w:rPr>
                        <w:t>4</w:t>
                      </w:r>
                      <w:r w:rsidRPr="00071A93">
                        <w:rPr>
                          <w:sz w:val="18"/>
                          <w:szCs w:val="18"/>
                        </w:rPr>
                        <w:t>0</w:t>
                      </w:r>
                      <w:r>
                        <w:rPr>
                          <w:sz w:val="18"/>
                          <w:szCs w:val="18"/>
                        </w:rPr>
                        <w:t xml:space="preserve"> </w:t>
                      </w:r>
                      <w:r w:rsidRPr="00071A93">
                        <w:rPr>
                          <w:sz w:val="18"/>
                          <w:szCs w:val="18"/>
                        </w:rPr>
                        <w:t>000</w:t>
                      </w:r>
                    </w:p>
                    <w:p w14:paraId="37C9963B" w14:textId="0C30FAF0" w:rsidR="00CB48F1" w:rsidRPr="00071A93" w:rsidRDefault="00CB48F1" w:rsidP="008B290A">
                      <w:pPr>
                        <w:spacing w:before="160"/>
                        <w:jc w:val="right"/>
                        <w:rPr>
                          <w:sz w:val="18"/>
                          <w:szCs w:val="18"/>
                        </w:rPr>
                      </w:pPr>
                      <w:r>
                        <w:rPr>
                          <w:sz w:val="18"/>
                          <w:szCs w:val="18"/>
                        </w:rPr>
                        <w:t>20 000</w:t>
                      </w:r>
                    </w:p>
                    <w:p w14:paraId="4B952708" w14:textId="77777777" w:rsidR="00CB48F1" w:rsidRDefault="00CB48F1" w:rsidP="008B290A">
                      <w:pPr>
                        <w:spacing w:before="200"/>
                        <w:jc w:val="right"/>
                      </w:pPr>
                      <w:r>
                        <w:rPr>
                          <w:sz w:val="18"/>
                          <w:szCs w:val="18"/>
                        </w:rPr>
                        <w:t>-</w:t>
                      </w:r>
                    </w:p>
                  </w:txbxContent>
                </v:textbox>
              </v:shape>
            </w:pict>
          </mc:Fallback>
        </mc:AlternateContent>
      </w:r>
      <w:r w:rsidR="005265FE" w:rsidRPr="004C1BC2">
        <w:rPr>
          <w:rFonts w:eastAsia="SimSun"/>
          <w:lang w:eastAsia="zh-CN"/>
        </w:rPr>
        <w:t>Position financière: Comparaison de l'actif entre 2020 et 2019</w:t>
      </w:r>
      <w:bookmarkEnd w:id="108"/>
      <w:bookmarkEnd w:id="109"/>
      <w:bookmarkEnd w:id="110"/>
      <w:bookmarkEnd w:id="111"/>
      <w:bookmarkEnd w:id="112"/>
      <w:bookmarkEnd w:id="113"/>
      <w:bookmarkEnd w:id="114"/>
    </w:p>
    <w:p w14:paraId="63964FFA" w14:textId="180F88E1" w:rsidR="00777A3F" w:rsidRPr="004C1BC2" w:rsidRDefault="00A77B7D" w:rsidP="00777A3F">
      <w:pPr>
        <w:pStyle w:val="Figure"/>
        <w:rPr>
          <w:rFonts w:eastAsia="SimSun"/>
          <w:lang w:eastAsia="zh-CN"/>
        </w:rPr>
      </w:pPr>
      <w:r w:rsidRPr="004C1BC2">
        <w:rPr>
          <w:noProof/>
          <w:lang w:val="en-US"/>
        </w:rPr>
        <mc:AlternateContent>
          <mc:Choice Requires="wps">
            <w:drawing>
              <wp:anchor distT="45720" distB="45720" distL="114300" distR="114300" simplePos="0" relativeHeight="251682816" behindDoc="0" locked="0" layoutInCell="1" allowOverlap="1" wp14:anchorId="10EB2C85" wp14:editId="12DF07BF">
                <wp:simplePos x="0" y="0"/>
                <wp:positionH relativeFrom="column">
                  <wp:posOffset>4587240</wp:posOffset>
                </wp:positionH>
                <wp:positionV relativeFrom="paragraph">
                  <wp:posOffset>2754165</wp:posOffset>
                </wp:positionV>
                <wp:extent cx="676322" cy="175260"/>
                <wp:effectExtent l="0" t="0" r="9525" b="0"/>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22" cy="175260"/>
                        </a:xfrm>
                        <a:prstGeom prst="rect">
                          <a:avLst/>
                        </a:prstGeom>
                        <a:solidFill>
                          <a:srgbClr val="FFFFFF"/>
                        </a:solidFill>
                        <a:ln w="9525">
                          <a:noFill/>
                          <a:miter lim="800000"/>
                          <a:headEnd/>
                          <a:tailEnd/>
                        </a:ln>
                      </wps:spPr>
                      <wps:txbx>
                        <w:txbxContent>
                          <w:p w14:paraId="1DC88642" w14:textId="77777777" w:rsidR="00CB48F1" w:rsidRPr="00845244" w:rsidRDefault="00CB48F1" w:rsidP="005265FE">
                            <w:pPr>
                              <w:spacing w:before="40"/>
                              <w:jc w:val="center"/>
                              <w:rPr>
                                <w:sz w:val="16"/>
                                <w:szCs w:val="16"/>
                                <w:lang w:val="fr-CH"/>
                              </w:rPr>
                            </w:pPr>
                            <w:r>
                              <w:rPr>
                                <w:sz w:val="16"/>
                                <w:szCs w:val="16"/>
                                <w:lang w:val="fr-CH"/>
                              </w:rPr>
                              <w:t>Autres actifs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B2C85" id="_x0000_s1037" type="#_x0000_t202" style="position:absolute;left:0;text-align:left;margin-left:361.2pt;margin-top:216.85pt;width:53.25pt;height:1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" stroked="f">
                <v:textbox inset="0,0,0,0">
                  <w:txbxContent>
                    <w:p w14:paraId="1DC88642" w14:textId="77777777" w:rsidR="00CB48F1" w:rsidRPr="00845244" w:rsidRDefault="00CB48F1" w:rsidP="005265FE">
                      <w:pPr>
                        <w:spacing w:before="40"/>
                        <w:jc w:val="center"/>
                        <w:rPr>
                          <w:sz w:val="16"/>
                          <w:szCs w:val="16"/>
                          <w:lang w:val="fr-CH"/>
                        </w:rPr>
                      </w:pPr>
                      <w:r>
                        <w:rPr>
                          <w:sz w:val="16"/>
                          <w:szCs w:val="16"/>
                          <w:lang w:val="fr-CH"/>
                        </w:rPr>
                        <w:t>Autres actifs</w:t>
                      </w:r>
                    </w:p>
                  </w:txbxContent>
                </v:textbox>
              </v:shape>
            </w:pict>
          </mc:Fallback>
        </mc:AlternateContent>
      </w:r>
      <w:r w:rsidRPr="004C1BC2">
        <w:rPr>
          <w:noProof/>
          <w:lang w:val="en-US"/>
        </w:rPr>
        <mc:AlternateContent>
          <mc:Choice Requires="wps">
            <w:drawing>
              <wp:anchor distT="45720" distB="45720" distL="114300" distR="114300" simplePos="0" relativeHeight="251681792" behindDoc="0" locked="0" layoutInCell="1" allowOverlap="1" wp14:anchorId="0C072FA9" wp14:editId="113F1644">
                <wp:simplePos x="0" y="0"/>
                <wp:positionH relativeFrom="column">
                  <wp:posOffset>3879205</wp:posOffset>
                </wp:positionH>
                <wp:positionV relativeFrom="paragraph">
                  <wp:posOffset>2759909</wp:posOffset>
                </wp:positionV>
                <wp:extent cx="743803" cy="460375"/>
                <wp:effectExtent l="0" t="0" r="0" b="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803" cy="460375"/>
                        </a:xfrm>
                        <a:prstGeom prst="rect">
                          <a:avLst/>
                        </a:prstGeom>
                        <a:solidFill>
                          <a:srgbClr val="FFFFFF"/>
                        </a:solidFill>
                        <a:ln w="9525">
                          <a:noFill/>
                          <a:miter lim="800000"/>
                          <a:headEnd/>
                          <a:tailEnd/>
                        </a:ln>
                      </wps:spPr>
                      <wps:txbx>
                        <w:txbxContent>
                          <w:p w14:paraId="3840F518" w14:textId="77777777" w:rsidR="00CB48F1" w:rsidRDefault="00CB48F1" w:rsidP="005265FE">
                            <w:pPr>
                              <w:spacing w:before="40"/>
                              <w:jc w:val="center"/>
                              <w:rPr>
                                <w:sz w:val="16"/>
                                <w:szCs w:val="16"/>
                                <w:lang w:val="fr-CH"/>
                              </w:rPr>
                            </w:pPr>
                            <w:r>
                              <w:rPr>
                                <w:sz w:val="16"/>
                                <w:szCs w:val="16"/>
                                <w:lang w:val="fr-CH"/>
                              </w:rPr>
                              <w:t>Immobilisations</w:t>
                            </w:r>
                          </w:p>
                          <w:p w14:paraId="2F075A9C" w14:textId="77777777" w:rsidR="00CB48F1" w:rsidRPr="00845244" w:rsidRDefault="00CB48F1" w:rsidP="005265FE">
                            <w:pPr>
                              <w:spacing w:before="0"/>
                              <w:jc w:val="center"/>
                              <w:rPr>
                                <w:sz w:val="16"/>
                                <w:szCs w:val="16"/>
                                <w:lang w:val="fr-CH"/>
                              </w:rPr>
                            </w:pPr>
                            <w:r>
                              <w:rPr>
                                <w:sz w:val="16"/>
                                <w:szCs w:val="16"/>
                                <w:lang w:val="fr-CH"/>
                              </w:rPr>
                              <w:t>corporelles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72FA9" id="_x0000_s1038" type="#_x0000_t202" style="position:absolute;left:0;text-align:left;margin-left:305.45pt;margin-top:217.3pt;width:58.55pt;height:36.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" stroked="f">
                <v:textbox inset="0,0,0,0">
                  <w:txbxContent>
                    <w:p w14:paraId="3840F518" w14:textId="77777777" w:rsidR="00CB48F1" w:rsidRDefault="00CB48F1" w:rsidP="005265FE">
                      <w:pPr>
                        <w:spacing w:before="40"/>
                        <w:jc w:val="center"/>
                        <w:rPr>
                          <w:sz w:val="16"/>
                          <w:szCs w:val="16"/>
                          <w:lang w:val="fr-CH"/>
                        </w:rPr>
                      </w:pPr>
                      <w:r>
                        <w:rPr>
                          <w:sz w:val="16"/>
                          <w:szCs w:val="16"/>
                          <w:lang w:val="fr-CH"/>
                        </w:rPr>
                        <w:t>Immobilisations</w:t>
                      </w:r>
                    </w:p>
                    <w:p w14:paraId="2F075A9C" w14:textId="77777777" w:rsidR="00CB48F1" w:rsidRPr="00845244" w:rsidRDefault="00CB48F1" w:rsidP="005265FE">
                      <w:pPr>
                        <w:spacing w:before="0"/>
                        <w:jc w:val="center"/>
                        <w:rPr>
                          <w:sz w:val="16"/>
                          <w:szCs w:val="16"/>
                          <w:lang w:val="fr-CH"/>
                        </w:rPr>
                      </w:pPr>
                      <w:r>
                        <w:rPr>
                          <w:sz w:val="16"/>
                          <w:szCs w:val="16"/>
                          <w:lang w:val="fr-CH"/>
                        </w:rPr>
                        <w:t>corporelles</w:t>
                      </w:r>
                    </w:p>
                  </w:txbxContent>
                </v:textbox>
              </v:shape>
            </w:pict>
          </mc:Fallback>
        </mc:AlternateContent>
      </w:r>
      <w:r w:rsidR="008B290A" w:rsidRPr="004C1BC2">
        <w:rPr>
          <w:noProof/>
          <w:lang w:val="en-US"/>
        </w:rPr>
        <mc:AlternateContent>
          <mc:Choice Requires="wps">
            <w:drawing>
              <wp:anchor distT="45720" distB="45720" distL="114300" distR="114300" simplePos="0" relativeHeight="251680768" behindDoc="0" locked="0" layoutInCell="1" allowOverlap="1" wp14:anchorId="6BD8FEED" wp14:editId="3BF6C310">
                <wp:simplePos x="0" y="0"/>
                <wp:positionH relativeFrom="column">
                  <wp:posOffset>3307080</wp:posOffset>
                </wp:positionH>
                <wp:positionV relativeFrom="paragraph">
                  <wp:posOffset>2762402</wp:posOffset>
                </wp:positionV>
                <wp:extent cx="570129" cy="336499"/>
                <wp:effectExtent l="0" t="0" r="1905" b="6985"/>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29" cy="336499"/>
                        </a:xfrm>
                        <a:prstGeom prst="rect">
                          <a:avLst/>
                        </a:prstGeom>
                        <a:solidFill>
                          <a:srgbClr val="FFFFFF"/>
                        </a:solidFill>
                        <a:ln w="9525">
                          <a:noFill/>
                          <a:miter lim="800000"/>
                          <a:headEnd/>
                          <a:tailEnd/>
                        </a:ln>
                      </wps:spPr>
                      <wps:txbx>
                        <w:txbxContent>
                          <w:p w14:paraId="12D5D8DD" w14:textId="77777777" w:rsidR="00CB48F1" w:rsidRPr="00845244" w:rsidRDefault="00CB48F1" w:rsidP="005265FE">
                            <w:pPr>
                              <w:spacing w:before="40"/>
                              <w:jc w:val="center"/>
                              <w:rPr>
                                <w:sz w:val="16"/>
                                <w:szCs w:val="16"/>
                                <w:lang w:val="fr-CH"/>
                              </w:rPr>
                            </w:pPr>
                            <w:r>
                              <w:rPr>
                                <w:sz w:val="16"/>
                                <w:szCs w:val="16"/>
                                <w:lang w:val="fr-CH"/>
                              </w:rPr>
                              <w:t>Autres 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8FEED" id="_x0000_s1039" type="#_x0000_t202" style="position:absolute;left:0;text-align:left;margin-left:260.4pt;margin-top:217.5pt;width:44.9pt;height:2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" stroked="f">
                <v:textbox inset="0,0,0,0">
                  <w:txbxContent>
                    <w:p w14:paraId="12D5D8DD" w14:textId="77777777" w:rsidR="00CB48F1" w:rsidRPr="00845244" w:rsidRDefault="00CB48F1" w:rsidP="005265FE">
                      <w:pPr>
                        <w:spacing w:before="40"/>
                        <w:jc w:val="center"/>
                        <w:rPr>
                          <w:sz w:val="16"/>
                          <w:szCs w:val="16"/>
                          <w:lang w:val="fr-CH"/>
                        </w:rPr>
                      </w:pPr>
                      <w:r>
                        <w:rPr>
                          <w:sz w:val="16"/>
                          <w:szCs w:val="16"/>
                          <w:lang w:val="fr-CH"/>
                        </w:rPr>
                        <w:t>Autres créances</w:t>
                      </w:r>
                    </w:p>
                  </w:txbxContent>
                </v:textbox>
              </v:shape>
            </w:pict>
          </mc:Fallback>
        </mc:AlternateContent>
      </w:r>
      <w:r w:rsidR="00777A3F" w:rsidRPr="004C1BC2">
        <w:rPr>
          <w:noProof/>
          <w:lang w:val="en-US"/>
        </w:rPr>
        <mc:AlternateContent>
          <mc:Choice Requires="wps">
            <w:drawing>
              <wp:anchor distT="45720" distB="45720" distL="114300" distR="114300" simplePos="0" relativeHeight="251679744" behindDoc="0" locked="0" layoutInCell="1" allowOverlap="1" wp14:anchorId="6DB20C40" wp14:editId="232DC02B">
                <wp:simplePos x="0" y="0"/>
                <wp:positionH relativeFrom="column">
                  <wp:posOffset>2585085</wp:posOffset>
                </wp:positionH>
                <wp:positionV relativeFrom="paragraph">
                  <wp:posOffset>2749550</wp:posOffset>
                </wp:positionV>
                <wp:extent cx="621792" cy="189865"/>
                <wp:effectExtent l="0" t="0" r="6985" b="6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189865"/>
                        </a:xfrm>
                        <a:prstGeom prst="rect">
                          <a:avLst/>
                        </a:prstGeom>
                        <a:solidFill>
                          <a:srgbClr val="FFFFFF"/>
                        </a:solidFill>
                        <a:ln w="9525">
                          <a:noFill/>
                          <a:miter lim="800000"/>
                          <a:headEnd/>
                          <a:tailEnd/>
                        </a:ln>
                      </wps:spPr>
                      <wps:txbx>
                        <w:txbxContent>
                          <w:p w14:paraId="54181D8F" w14:textId="77777777" w:rsidR="00CB48F1" w:rsidRPr="00845244" w:rsidRDefault="00CB48F1" w:rsidP="005265FE">
                            <w:pPr>
                              <w:spacing w:before="60"/>
                              <w:jc w:val="center"/>
                              <w:rPr>
                                <w:sz w:val="16"/>
                                <w:szCs w:val="16"/>
                                <w:lang w:val="fr-CH"/>
                              </w:rPr>
                            </w:pPr>
                            <w:r>
                              <w:rPr>
                                <w:sz w:val="16"/>
                                <w:szCs w:val="16"/>
                                <w:lang w:val="fr-CH"/>
                              </w:rPr>
                              <w:t>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20C40" id="_x0000_s1040" type="#_x0000_t202" style="position:absolute;left:0;text-align:left;margin-left:203.55pt;margin-top:216.5pt;width:48.95pt;height:14.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" stroked="f">
                <v:textbox inset="0,0,0,0">
                  <w:txbxContent>
                    <w:p w14:paraId="54181D8F" w14:textId="77777777" w:rsidR="00CB48F1" w:rsidRPr="00845244" w:rsidRDefault="00CB48F1" w:rsidP="005265FE">
                      <w:pPr>
                        <w:spacing w:before="60"/>
                        <w:jc w:val="center"/>
                        <w:rPr>
                          <w:sz w:val="16"/>
                          <w:szCs w:val="16"/>
                          <w:lang w:val="fr-CH"/>
                        </w:rPr>
                      </w:pPr>
                      <w:r>
                        <w:rPr>
                          <w:sz w:val="16"/>
                          <w:szCs w:val="16"/>
                          <w:lang w:val="fr-CH"/>
                        </w:rPr>
                        <w:t>Créances</w:t>
                      </w:r>
                    </w:p>
                  </w:txbxContent>
                </v:textbox>
              </v:shape>
            </w:pict>
          </mc:Fallback>
        </mc:AlternateContent>
      </w:r>
      <w:r w:rsidR="00777A3F" w:rsidRPr="004C1BC2">
        <w:rPr>
          <w:noProof/>
          <w:lang w:val="en-US"/>
        </w:rPr>
        <mc:AlternateContent>
          <mc:Choice Requires="wps">
            <w:drawing>
              <wp:anchor distT="45720" distB="45720" distL="114300" distR="114300" simplePos="0" relativeHeight="251678720" behindDoc="0" locked="0" layoutInCell="1" allowOverlap="1" wp14:anchorId="51621D8C" wp14:editId="1BEAD842">
                <wp:simplePos x="0" y="0"/>
                <wp:positionH relativeFrom="column">
                  <wp:posOffset>1938655</wp:posOffset>
                </wp:positionH>
                <wp:positionV relativeFrom="paragraph">
                  <wp:posOffset>2762250</wp:posOffset>
                </wp:positionV>
                <wp:extent cx="591820" cy="17526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75260"/>
                        </a:xfrm>
                        <a:prstGeom prst="rect">
                          <a:avLst/>
                        </a:prstGeom>
                        <a:solidFill>
                          <a:srgbClr val="FFFFFF"/>
                        </a:solidFill>
                        <a:ln w="9525">
                          <a:noFill/>
                          <a:miter lim="800000"/>
                          <a:headEnd/>
                          <a:tailEnd/>
                        </a:ln>
                      </wps:spPr>
                      <wps:txbx>
                        <w:txbxContent>
                          <w:p w14:paraId="07100992" w14:textId="77777777" w:rsidR="00CB48F1" w:rsidRPr="00845244" w:rsidRDefault="00CB48F1" w:rsidP="005265FE">
                            <w:pPr>
                              <w:spacing w:before="40"/>
                              <w:jc w:val="center"/>
                              <w:rPr>
                                <w:sz w:val="16"/>
                                <w:szCs w:val="16"/>
                                <w:lang w:val="fr-CH"/>
                              </w:rPr>
                            </w:pPr>
                            <w:r>
                              <w:rPr>
                                <w:sz w:val="16"/>
                                <w:szCs w:val="16"/>
                                <w:lang w:val="fr-CH"/>
                              </w:rPr>
                              <w:t>Placements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21D8C" id="_x0000_s1041" type="#_x0000_t202" style="position:absolute;left:0;text-align:left;margin-left:152.65pt;margin-top:217.5pt;width:46.6pt;height:13.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" stroked="f">
                <v:textbox inset="0,0,0,0">
                  <w:txbxContent>
                    <w:p w14:paraId="07100992" w14:textId="77777777" w:rsidR="00CB48F1" w:rsidRPr="00845244" w:rsidRDefault="00CB48F1" w:rsidP="005265FE">
                      <w:pPr>
                        <w:spacing w:before="40"/>
                        <w:jc w:val="center"/>
                        <w:rPr>
                          <w:sz w:val="16"/>
                          <w:szCs w:val="16"/>
                          <w:lang w:val="fr-CH"/>
                        </w:rPr>
                      </w:pPr>
                      <w:r>
                        <w:rPr>
                          <w:sz w:val="16"/>
                          <w:szCs w:val="16"/>
                          <w:lang w:val="fr-CH"/>
                        </w:rPr>
                        <w:t>Placements</w:t>
                      </w:r>
                    </w:p>
                  </w:txbxContent>
                </v:textbox>
              </v:shape>
            </w:pict>
          </mc:Fallback>
        </mc:AlternateContent>
      </w:r>
      <w:r w:rsidR="00777A3F" w:rsidRPr="004C1BC2">
        <w:rPr>
          <w:noProof/>
          <w:lang w:val="en-US"/>
        </w:rPr>
        <mc:AlternateContent>
          <mc:Choice Requires="wps">
            <w:drawing>
              <wp:anchor distT="45720" distB="45720" distL="114300" distR="114300" simplePos="0" relativeHeight="251677696" behindDoc="0" locked="0" layoutInCell="1" allowOverlap="1" wp14:anchorId="741F106A" wp14:editId="2207F048">
                <wp:simplePos x="0" y="0"/>
                <wp:positionH relativeFrom="column">
                  <wp:posOffset>1230870</wp:posOffset>
                </wp:positionH>
                <wp:positionV relativeFrom="paragraph">
                  <wp:posOffset>2780413</wp:posOffset>
                </wp:positionV>
                <wp:extent cx="709574" cy="43878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74" cy="438785"/>
                        </a:xfrm>
                        <a:prstGeom prst="rect">
                          <a:avLst/>
                        </a:prstGeom>
                        <a:solidFill>
                          <a:srgbClr val="FFFFFF"/>
                        </a:solidFill>
                        <a:ln w="9525">
                          <a:noFill/>
                          <a:miter lim="800000"/>
                          <a:headEnd/>
                          <a:tailEnd/>
                        </a:ln>
                      </wps:spPr>
                      <wps:txbx>
                        <w:txbxContent>
                          <w:p w14:paraId="34BE8DC7" w14:textId="77777777" w:rsidR="00CB48F1" w:rsidRPr="00845244" w:rsidRDefault="00CB48F1" w:rsidP="005265FE">
                            <w:pPr>
                              <w:spacing w:before="0"/>
                              <w:jc w:val="center"/>
                              <w:rPr>
                                <w:sz w:val="16"/>
                                <w:szCs w:val="16"/>
                                <w:lang w:val="fr-CH"/>
                              </w:rPr>
                            </w:pPr>
                            <w:r>
                              <w:rPr>
                                <w:sz w:val="16"/>
                                <w:szCs w:val="16"/>
                                <w:lang w:val="fr-CH"/>
                              </w:rPr>
                              <w:t>Trésorerie et</w:t>
                            </w:r>
                            <w:r>
                              <w:rPr>
                                <w:sz w:val="16"/>
                                <w:szCs w:val="16"/>
                                <w:lang w:val="fr-CH"/>
                              </w:rPr>
                              <w:br/>
                              <w:t xml:space="preserve">équivalents </w:t>
                            </w:r>
                            <w:r>
                              <w:rPr>
                                <w:sz w:val="16"/>
                                <w:szCs w:val="16"/>
                                <w:lang w:val="fr-CH"/>
                              </w:rPr>
                              <w:br/>
                              <w:t>de trésorerie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F106A" id="_x0000_s1042" type="#_x0000_t202" style="position:absolute;left:0;text-align:left;margin-left:96.9pt;margin-top:218.95pt;width:55.85pt;height:34.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" stroked="f">
                <v:textbox inset="0,0,0,0">
                  <w:txbxContent>
                    <w:p w14:paraId="34BE8DC7" w14:textId="77777777" w:rsidR="00CB48F1" w:rsidRPr="00845244" w:rsidRDefault="00CB48F1" w:rsidP="005265FE">
                      <w:pPr>
                        <w:spacing w:before="0"/>
                        <w:jc w:val="center"/>
                        <w:rPr>
                          <w:sz w:val="16"/>
                          <w:szCs w:val="16"/>
                          <w:lang w:val="fr-CH"/>
                        </w:rPr>
                      </w:pPr>
                      <w:r>
                        <w:rPr>
                          <w:sz w:val="16"/>
                          <w:szCs w:val="16"/>
                          <w:lang w:val="fr-CH"/>
                        </w:rPr>
                        <w:t>Trésorerie et</w:t>
                      </w:r>
                      <w:r>
                        <w:rPr>
                          <w:sz w:val="16"/>
                          <w:szCs w:val="16"/>
                          <w:lang w:val="fr-CH"/>
                        </w:rPr>
                        <w:br/>
                        <w:t xml:space="preserve">équivalents </w:t>
                      </w:r>
                      <w:r>
                        <w:rPr>
                          <w:sz w:val="16"/>
                          <w:szCs w:val="16"/>
                          <w:lang w:val="fr-CH"/>
                        </w:rPr>
                        <w:br/>
                        <w:t>de trésorerie</w:t>
                      </w:r>
                    </w:p>
                  </w:txbxContent>
                </v:textbox>
              </v:shape>
            </w:pict>
          </mc:Fallback>
        </mc:AlternateContent>
      </w:r>
      <w:r w:rsidR="00777A3F" w:rsidRPr="004C1BC2">
        <w:rPr>
          <w:rFonts w:eastAsia="SimSun"/>
          <w:noProof/>
          <w:lang w:val="en-US"/>
        </w:rPr>
        <w:drawing>
          <wp:inline distT="0" distB="0" distL="0" distR="0" wp14:anchorId="03A7F48E" wp14:editId="650CC64D">
            <wp:extent cx="4705350" cy="3548062"/>
            <wp:effectExtent l="0" t="0" r="0" b="14605"/>
            <wp:docPr id="10" name="Chart 10">
              <a:extLst xmlns:a="http://schemas.openxmlformats.org/drawingml/2006/main">
                <a:ext uri="{FF2B5EF4-FFF2-40B4-BE49-F238E27FC236}">
                  <a16:creationId xmlns:a16="http://schemas.microsoft.com/office/drawing/2014/main" id="{DCD1B374-02C6-45A8-94B6-D0A40045A9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8E3175" w14:textId="77777777" w:rsidR="005265FE" w:rsidRPr="004C1BC2" w:rsidRDefault="005265FE" w:rsidP="002178B4">
      <w:pPr>
        <w:spacing w:before="240"/>
        <w:rPr>
          <w:lang w:eastAsia="zh-CN"/>
        </w:rPr>
      </w:pPr>
      <w:r w:rsidRPr="004C1BC2">
        <w:t>27</w:t>
      </w:r>
      <w:r w:rsidRPr="004C1BC2">
        <w:tab/>
        <w:t>En 2020, on a constaté une augmentation des placements et une diminution de la trésorerie et des équivalents de trésorerie</w:t>
      </w:r>
      <w:r w:rsidRPr="004C1BC2">
        <w:rPr>
          <w:lang w:eastAsia="zh-CN"/>
        </w:rPr>
        <w:t>. Depuis l'introduction, en 2015, des taux d'intérêts négatifs sur le franc suisse et l'euro, l'UIT a dû procéder à un réaménagement de la trésorerie. En 2020, tous les comptes de l'UIT ont fait l'objet d'intérêts négatifs. Afin d'atténuer le plus possible et de neutraliser les incidences, il a été décidé d'acheter des dollars des États-Unis pour investir dans des dépôts à court terme.</w:t>
      </w:r>
    </w:p>
    <w:p w14:paraId="7D0C2E4A" w14:textId="74FA30EE" w:rsidR="005265FE" w:rsidRPr="004C1BC2" w:rsidRDefault="005265FE" w:rsidP="002178B4">
      <w:pPr>
        <w:spacing w:before="240"/>
        <w:rPr>
          <w:lang w:eastAsia="zh-CN"/>
        </w:rPr>
      </w:pPr>
      <w:r w:rsidRPr="004C1BC2">
        <w:rPr>
          <w:lang w:eastAsia="zh-CN"/>
        </w:rPr>
        <w:t>28</w:t>
      </w:r>
      <w:r w:rsidRPr="004C1BC2">
        <w:rPr>
          <w:lang w:eastAsia="zh-CN"/>
        </w:rPr>
        <w:tab/>
        <w:t>Les charges habituelles pour l'exécution du budget 2020 sont restées stables grâce à un suivi rigoureux du budget.</w:t>
      </w:r>
    </w:p>
    <w:p w14:paraId="5758D673" w14:textId="44B4F75A" w:rsidR="005265FE" w:rsidRPr="004C1BC2" w:rsidRDefault="005265FE" w:rsidP="002178B4">
      <w:pPr>
        <w:pStyle w:val="Headingb"/>
        <w:spacing w:after="240"/>
        <w:rPr>
          <w:rFonts w:eastAsia="SimSun"/>
          <w:lang w:eastAsia="zh-CN"/>
        </w:rPr>
      </w:pPr>
      <w:bookmarkStart w:id="115" w:name="_Toc9605677"/>
      <w:bookmarkStart w:id="116" w:name="_Toc10450687"/>
      <w:bookmarkStart w:id="117" w:name="_Toc41566300"/>
      <w:bookmarkStart w:id="118" w:name="_Toc41814919"/>
      <w:bookmarkStart w:id="119" w:name="_Toc73354274"/>
      <w:bookmarkStart w:id="120" w:name="_Toc73354409"/>
      <w:bookmarkStart w:id="121" w:name="_Toc73356362"/>
      <w:r w:rsidRPr="004C1BC2">
        <w:rPr>
          <w:rFonts w:eastAsia="SimSun"/>
          <w:lang w:eastAsia="zh-CN"/>
        </w:rPr>
        <w:lastRenderedPageBreak/>
        <w:t xml:space="preserve">Position financière: représentation du passif pour </w:t>
      </w:r>
      <w:bookmarkEnd w:id="115"/>
      <w:bookmarkEnd w:id="116"/>
      <w:bookmarkEnd w:id="117"/>
      <w:bookmarkEnd w:id="118"/>
      <w:r w:rsidRPr="004C1BC2">
        <w:rPr>
          <w:rFonts w:eastAsia="SimSun"/>
          <w:lang w:eastAsia="zh-CN"/>
        </w:rPr>
        <w:t>2020</w:t>
      </w:r>
      <w:bookmarkEnd w:id="119"/>
      <w:bookmarkEnd w:id="120"/>
      <w:bookmarkEnd w:id="121"/>
    </w:p>
    <w:p w14:paraId="6D821B59" w14:textId="1CA15A40" w:rsidR="007105EB" w:rsidRPr="004C1BC2" w:rsidRDefault="007105EB" w:rsidP="007105EB">
      <w:pPr>
        <w:pStyle w:val="Figure"/>
        <w:rPr>
          <w:rFonts w:eastAsia="SimSun"/>
          <w:lang w:eastAsia="zh-CN"/>
        </w:rPr>
      </w:pPr>
      <w:r w:rsidRPr="004C1BC2">
        <w:rPr>
          <w:rFonts w:eastAsia="SimSun"/>
          <w:noProof/>
          <w:lang w:val="en-US"/>
        </w:rPr>
        <w:drawing>
          <wp:inline distT="0" distB="0" distL="0" distR="0" wp14:anchorId="750FF9F3" wp14:editId="3D3407EF">
            <wp:extent cx="4572000" cy="3338512"/>
            <wp:effectExtent l="0" t="0" r="0" b="14605"/>
            <wp:docPr id="11" name="Chart 11">
              <a:extLst xmlns:a="http://schemas.openxmlformats.org/drawingml/2006/main">
                <a:ext uri="{FF2B5EF4-FFF2-40B4-BE49-F238E27FC236}">
                  <a16:creationId xmlns:a16="http://schemas.microsoft.com/office/drawing/2014/main" id="{8CB567D4-2814-4020-9262-74B695E5C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C2857B" w14:textId="120FB7FC" w:rsidR="005265FE" w:rsidRPr="004C1BC2" w:rsidRDefault="005265FE" w:rsidP="007105EB">
      <w:pPr>
        <w:pStyle w:val="Headingb"/>
        <w:spacing w:before="240" w:after="240"/>
        <w:rPr>
          <w:rFonts w:eastAsia="SimSun"/>
          <w:lang w:eastAsia="zh-CN"/>
        </w:rPr>
      </w:pPr>
      <w:bookmarkStart w:id="122" w:name="_Toc9605678"/>
      <w:bookmarkStart w:id="123" w:name="_Toc10450688"/>
      <w:bookmarkStart w:id="124" w:name="_Toc41566301"/>
      <w:bookmarkStart w:id="125" w:name="_Toc41814920"/>
      <w:bookmarkStart w:id="126" w:name="_Toc73354275"/>
      <w:bookmarkStart w:id="127" w:name="_Toc73354410"/>
      <w:bookmarkStart w:id="128" w:name="_Toc73356363"/>
      <w:r w:rsidRPr="004C1BC2">
        <w:rPr>
          <w:rFonts w:eastAsia="SimSun"/>
          <w:lang w:eastAsia="zh-CN"/>
        </w:rPr>
        <w:t>Comparaison du passif: le passif au 31 décembre 2020 s'établissait au total à 909 542 CHF</w:t>
      </w:r>
      <w:bookmarkEnd w:id="122"/>
      <w:bookmarkEnd w:id="123"/>
      <w:bookmarkEnd w:id="124"/>
      <w:bookmarkEnd w:id="125"/>
      <w:bookmarkEnd w:id="126"/>
      <w:bookmarkEnd w:id="127"/>
      <w:bookmarkEnd w:id="128"/>
    </w:p>
    <w:p w14:paraId="3ABCB37A" w14:textId="4F022FED" w:rsidR="00EF3D9A" w:rsidRPr="004C1BC2" w:rsidRDefault="00EF3D9A" w:rsidP="00EF3D9A">
      <w:pPr>
        <w:pStyle w:val="Figure"/>
        <w:rPr>
          <w:rFonts w:eastAsia="SimSun"/>
          <w:lang w:eastAsia="zh-CN"/>
        </w:rPr>
      </w:pPr>
      <w:r w:rsidRPr="004C1BC2">
        <w:rPr>
          <w:noProof/>
          <w:lang w:val="en-US"/>
        </w:rPr>
        <mc:AlternateContent>
          <mc:Choice Requires="wps">
            <w:drawing>
              <wp:anchor distT="45720" distB="45720" distL="114300" distR="114300" simplePos="0" relativeHeight="251666432" behindDoc="0" locked="0" layoutInCell="1" allowOverlap="1" wp14:anchorId="6CBCEAB4" wp14:editId="392D5BA3">
                <wp:simplePos x="0" y="0"/>
                <wp:positionH relativeFrom="column">
                  <wp:posOffset>4618798</wp:posOffset>
                </wp:positionH>
                <wp:positionV relativeFrom="paragraph">
                  <wp:posOffset>2079625</wp:posOffset>
                </wp:positionV>
                <wp:extent cx="555828" cy="292608"/>
                <wp:effectExtent l="0" t="0" r="0" b="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28" cy="292608"/>
                        </a:xfrm>
                        <a:prstGeom prst="rect">
                          <a:avLst/>
                        </a:prstGeom>
                        <a:solidFill>
                          <a:srgbClr val="FFFFFF"/>
                        </a:solidFill>
                        <a:ln w="9525">
                          <a:noFill/>
                          <a:miter lim="800000"/>
                          <a:headEnd/>
                          <a:tailEnd/>
                        </a:ln>
                      </wps:spPr>
                      <wps:txbx>
                        <w:txbxContent>
                          <w:p w14:paraId="181B2EAF" w14:textId="77777777" w:rsidR="00CB48F1" w:rsidRPr="00845244" w:rsidRDefault="00CB48F1" w:rsidP="005265FE">
                            <w:pPr>
                              <w:spacing w:before="0"/>
                              <w:jc w:val="center"/>
                              <w:rPr>
                                <w:sz w:val="16"/>
                                <w:szCs w:val="16"/>
                                <w:lang w:val="fr-CH"/>
                              </w:rPr>
                            </w:pPr>
                            <w:r>
                              <w:rPr>
                                <w:sz w:val="16"/>
                                <w:szCs w:val="16"/>
                                <w:lang w:val="fr-CH"/>
                              </w:rPr>
                              <w:t xml:space="preserve">Fonds </w:t>
                            </w:r>
                            <w:r>
                              <w:rPr>
                                <w:sz w:val="16"/>
                                <w:szCs w:val="16"/>
                                <w:lang w:val="fr-CH"/>
                              </w:rPr>
                              <w:br/>
                              <w:t>de tiers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EAB4" id="_x0000_s1043" type="#_x0000_t202" style="position:absolute;left:0;text-align:left;margin-left:363.7pt;margin-top:163.75pt;width:43.75pt;height:23.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" stroked="f">
                <v:textbox inset="0,0,0,0">
                  <w:txbxContent>
                    <w:p w14:paraId="181B2EAF" w14:textId="77777777" w:rsidR="00CB48F1" w:rsidRPr="00845244" w:rsidRDefault="00CB48F1" w:rsidP="005265FE">
                      <w:pPr>
                        <w:spacing w:before="0"/>
                        <w:jc w:val="center"/>
                        <w:rPr>
                          <w:sz w:val="16"/>
                          <w:szCs w:val="16"/>
                          <w:lang w:val="fr-CH"/>
                        </w:rPr>
                      </w:pPr>
                      <w:r>
                        <w:rPr>
                          <w:sz w:val="16"/>
                          <w:szCs w:val="16"/>
                          <w:lang w:val="fr-CH"/>
                        </w:rPr>
                        <w:t xml:space="preserve">Fonds </w:t>
                      </w:r>
                      <w:r>
                        <w:rPr>
                          <w:sz w:val="16"/>
                          <w:szCs w:val="16"/>
                          <w:lang w:val="fr-CH"/>
                        </w:rPr>
                        <w:br/>
                        <w:t>de tiers</w:t>
                      </w:r>
                    </w:p>
                  </w:txbxContent>
                </v:textbox>
              </v:shape>
            </w:pict>
          </mc:Fallback>
        </mc:AlternateContent>
      </w:r>
      <w:r w:rsidRPr="004C1BC2">
        <w:rPr>
          <w:noProof/>
          <w:lang w:val="en-US"/>
        </w:rPr>
        <mc:AlternateContent>
          <mc:Choice Requires="wps">
            <w:drawing>
              <wp:anchor distT="45720" distB="45720" distL="114300" distR="114300" simplePos="0" relativeHeight="251665408" behindDoc="0" locked="0" layoutInCell="1" allowOverlap="1" wp14:anchorId="529B973E" wp14:editId="47837F5B">
                <wp:simplePos x="0" y="0"/>
                <wp:positionH relativeFrom="column">
                  <wp:posOffset>3954145</wp:posOffset>
                </wp:positionH>
                <wp:positionV relativeFrom="paragraph">
                  <wp:posOffset>2078775</wp:posOffset>
                </wp:positionV>
                <wp:extent cx="621030" cy="431165"/>
                <wp:effectExtent l="0" t="0" r="7620" b="6985"/>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431165"/>
                        </a:xfrm>
                        <a:prstGeom prst="rect">
                          <a:avLst/>
                        </a:prstGeom>
                        <a:solidFill>
                          <a:srgbClr val="FFFFFF"/>
                        </a:solidFill>
                        <a:ln w="9525">
                          <a:noFill/>
                          <a:miter lim="800000"/>
                          <a:headEnd/>
                          <a:tailEnd/>
                        </a:ln>
                      </wps:spPr>
                      <wps:txbx>
                        <w:txbxContent>
                          <w:p w14:paraId="117FA672" w14:textId="77777777" w:rsidR="00CB48F1" w:rsidRPr="00845244" w:rsidRDefault="00CB48F1" w:rsidP="005265FE">
                            <w:pPr>
                              <w:spacing w:before="0"/>
                              <w:jc w:val="center"/>
                              <w:rPr>
                                <w:sz w:val="16"/>
                                <w:szCs w:val="16"/>
                                <w:lang w:val="fr-CH"/>
                              </w:rPr>
                            </w:pPr>
                            <w:r>
                              <w:rPr>
                                <w:sz w:val="16"/>
                                <w:szCs w:val="16"/>
                                <w:lang w:val="fr-CH"/>
                              </w:rPr>
                              <w:t xml:space="preserve">Avantages </w:t>
                            </w:r>
                            <w:r>
                              <w:rPr>
                                <w:sz w:val="16"/>
                                <w:szCs w:val="16"/>
                                <w:lang w:val="fr-CH"/>
                              </w:rPr>
                              <w:br/>
                              <w:t>accordés au</w:t>
                            </w:r>
                            <w:r>
                              <w:rPr>
                                <w:sz w:val="16"/>
                                <w:szCs w:val="16"/>
                                <w:lang w:val="fr-CH"/>
                              </w:rPr>
                              <w:br/>
                              <w:t>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B973E" id="_x0000_s1044" type="#_x0000_t202" style="position:absolute;left:0;text-align:left;margin-left:311.35pt;margin-top:163.7pt;width:48.9pt;height:33.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" stroked="f">
                <v:textbox inset="0,0,0,0">
                  <w:txbxContent>
                    <w:p w14:paraId="117FA672" w14:textId="77777777" w:rsidR="00CB48F1" w:rsidRPr="00845244" w:rsidRDefault="00CB48F1" w:rsidP="005265FE">
                      <w:pPr>
                        <w:spacing w:before="0"/>
                        <w:jc w:val="center"/>
                        <w:rPr>
                          <w:sz w:val="16"/>
                          <w:szCs w:val="16"/>
                          <w:lang w:val="fr-CH"/>
                        </w:rPr>
                      </w:pPr>
                      <w:r>
                        <w:rPr>
                          <w:sz w:val="16"/>
                          <w:szCs w:val="16"/>
                          <w:lang w:val="fr-CH"/>
                        </w:rPr>
                        <w:t xml:space="preserve">Avantages </w:t>
                      </w:r>
                      <w:r>
                        <w:rPr>
                          <w:sz w:val="16"/>
                          <w:szCs w:val="16"/>
                          <w:lang w:val="fr-CH"/>
                        </w:rPr>
                        <w:br/>
                        <w:t>accordés au</w:t>
                      </w:r>
                      <w:r>
                        <w:rPr>
                          <w:sz w:val="16"/>
                          <w:szCs w:val="16"/>
                          <w:lang w:val="fr-CH"/>
                        </w:rPr>
                        <w:br/>
                        <w:t>personnel</w:t>
                      </w:r>
                    </w:p>
                  </w:txbxContent>
                </v:textbox>
              </v:shape>
            </w:pict>
          </mc:Fallback>
        </mc:AlternateContent>
      </w:r>
      <w:r w:rsidRPr="004C1BC2">
        <w:rPr>
          <w:noProof/>
          <w:lang w:val="en-US"/>
        </w:rPr>
        <mc:AlternateContent>
          <mc:Choice Requires="wps">
            <w:drawing>
              <wp:anchor distT="45720" distB="45720" distL="114300" distR="114300" simplePos="0" relativeHeight="251664384" behindDoc="0" locked="0" layoutInCell="1" allowOverlap="1" wp14:anchorId="225B5F58" wp14:editId="7FFEEE02">
                <wp:simplePos x="0" y="0"/>
                <wp:positionH relativeFrom="column">
                  <wp:posOffset>3293110</wp:posOffset>
                </wp:positionH>
                <wp:positionV relativeFrom="paragraph">
                  <wp:posOffset>2076762</wp:posOffset>
                </wp:positionV>
                <wp:extent cx="585216" cy="182880"/>
                <wp:effectExtent l="0" t="0" r="5715" b="762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82880"/>
                        </a:xfrm>
                        <a:prstGeom prst="rect">
                          <a:avLst/>
                        </a:prstGeom>
                        <a:solidFill>
                          <a:srgbClr val="FFFFFF"/>
                        </a:solidFill>
                        <a:ln w="9525">
                          <a:noFill/>
                          <a:miter lim="800000"/>
                          <a:headEnd/>
                          <a:tailEnd/>
                        </a:ln>
                      </wps:spPr>
                      <wps:txbx>
                        <w:txbxContent>
                          <w:p w14:paraId="38D653B4" w14:textId="77777777" w:rsidR="00CB48F1" w:rsidRPr="00845244" w:rsidRDefault="00CB48F1" w:rsidP="005265FE">
                            <w:pPr>
                              <w:spacing w:before="0"/>
                              <w:jc w:val="center"/>
                              <w:rPr>
                                <w:sz w:val="16"/>
                                <w:szCs w:val="16"/>
                                <w:lang w:val="fr-CH"/>
                              </w:rPr>
                            </w:pPr>
                            <w:r>
                              <w:rPr>
                                <w:sz w:val="16"/>
                                <w:szCs w:val="16"/>
                                <w:lang w:val="fr-CH"/>
                              </w:rPr>
                              <w:t>Emprunts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B5F58" id="_x0000_s1045" type="#_x0000_t202" style="position:absolute;left:0;text-align:left;margin-left:259.3pt;margin-top:163.5pt;width:46.1pt;height:14.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" stroked="f">
                <v:textbox inset="0,0,0,0">
                  <w:txbxContent>
                    <w:p w14:paraId="38D653B4" w14:textId="77777777" w:rsidR="00CB48F1" w:rsidRPr="00845244" w:rsidRDefault="00CB48F1" w:rsidP="005265FE">
                      <w:pPr>
                        <w:spacing w:before="0"/>
                        <w:jc w:val="center"/>
                        <w:rPr>
                          <w:sz w:val="16"/>
                          <w:szCs w:val="16"/>
                          <w:lang w:val="fr-CH"/>
                        </w:rPr>
                      </w:pPr>
                      <w:r>
                        <w:rPr>
                          <w:sz w:val="16"/>
                          <w:szCs w:val="16"/>
                          <w:lang w:val="fr-CH"/>
                        </w:rPr>
                        <w:t>Emprunts</w:t>
                      </w:r>
                    </w:p>
                  </w:txbxContent>
                </v:textbox>
              </v:shape>
            </w:pict>
          </mc:Fallback>
        </mc:AlternateContent>
      </w:r>
      <w:r w:rsidRPr="004C1BC2">
        <w:rPr>
          <w:noProof/>
          <w:lang w:val="en-US"/>
        </w:rPr>
        <mc:AlternateContent>
          <mc:Choice Requires="wps">
            <w:drawing>
              <wp:anchor distT="45720" distB="45720" distL="114300" distR="114300" simplePos="0" relativeHeight="251663360" behindDoc="0" locked="0" layoutInCell="1" allowOverlap="1" wp14:anchorId="1C00CA9D" wp14:editId="358E5D73">
                <wp:simplePos x="0" y="0"/>
                <wp:positionH relativeFrom="column">
                  <wp:posOffset>2686685</wp:posOffset>
                </wp:positionH>
                <wp:positionV relativeFrom="paragraph">
                  <wp:posOffset>2073587</wp:posOffset>
                </wp:positionV>
                <wp:extent cx="504292" cy="329184"/>
                <wp:effectExtent l="0" t="0" r="0"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92" cy="329184"/>
                        </a:xfrm>
                        <a:prstGeom prst="rect">
                          <a:avLst/>
                        </a:prstGeom>
                        <a:solidFill>
                          <a:srgbClr val="FFFFFF"/>
                        </a:solidFill>
                        <a:ln w="9525">
                          <a:noFill/>
                          <a:miter lim="800000"/>
                          <a:headEnd/>
                          <a:tailEnd/>
                        </a:ln>
                      </wps:spPr>
                      <wps:txbx>
                        <w:txbxContent>
                          <w:p w14:paraId="290ECAE3" w14:textId="77777777" w:rsidR="00CB48F1" w:rsidRPr="00845244" w:rsidRDefault="00CB48F1" w:rsidP="005265FE">
                            <w:pPr>
                              <w:spacing w:before="0"/>
                              <w:jc w:val="center"/>
                              <w:rPr>
                                <w:sz w:val="16"/>
                                <w:szCs w:val="16"/>
                                <w:lang w:val="fr-CH"/>
                              </w:rPr>
                            </w:pPr>
                            <w:r>
                              <w:rPr>
                                <w:sz w:val="16"/>
                                <w:szCs w:val="16"/>
                                <w:lang w:val="fr-CH"/>
                              </w:rPr>
                              <w:t>Autres</w:t>
                            </w:r>
                            <w:r>
                              <w:rPr>
                                <w:sz w:val="16"/>
                                <w:szCs w:val="16"/>
                                <w:lang w:val="fr-CH"/>
                              </w:rPr>
                              <w:br/>
                              <w:t>passifs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0CA9D" id="_x0000_s1046" type="#_x0000_t202" style="position:absolute;left:0;text-align:left;margin-left:211.55pt;margin-top:163.25pt;width:39.7pt;height:25.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" stroked="f">
                <v:textbox inset="0,0,0,0">
                  <w:txbxContent>
                    <w:p w14:paraId="290ECAE3" w14:textId="77777777" w:rsidR="00CB48F1" w:rsidRPr="00845244" w:rsidRDefault="00CB48F1" w:rsidP="005265FE">
                      <w:pPr>
                        <w:spacing w:before="0"/>
                        <w:jc w:val="center"/>
                        <w:rPr>
                          <w:sz w:val="16"/>
                          <w:szCs w:val="16"/>
                          <w:lang w:val="fr-CH"/>
                        </w:rPr>
                      </w:pPr>
                      <w:r>
                        <w:rPr>
                          <w:sz w:val="16"/>
                          <w:szCs w:val="16"/>
                          <w:lang w:val="fr-CH"/>
                        </w:rPr>
                        <w:t>Autres</w:t>
                      </w:r>
                      <w:r>
                        <w:rPr>
                          <w:sz w:val="16"/>
                          <w:szCs w:val="16"/>
                          <w:lang w:val="fr-CH"/>
                        </w:rPr>
                        <w:br/>
                        <w:t>passifs</w:t>
                      </w:r>
                    </w:p>
                  </w:txbxContent>
                </v:textbox>
              </v:shape>
            </w:pict>
          </mc:Fallback>
        </mc:AlternateContent>
      </w:r>
      <w:r w:rsidRPr="004C1BC2">
        <w:rPr>
          <w:noProof/>
          <w:lang w:val="en-US"/>
        </w:rPr>
        <mc:AlternateContent>
          <mc:Choice Requires="wps">
            <w:drawing>
              <wp:anchor distT="45720" distB="45720" distL="114300" distR="114300" simplePos="0" relativeHeight="251662336" behindDoc="0" locked="0" layoutInCell="1" allowOverlap="1" wp14:anchorId="214CAC41" wp14:editId="5D93D712">
                <wp:simplePos x="0" y="0"/>
                <wp:positionH relativeFrom="column">
                  <wp:posOffset>2010075</wp:posOffset>
                </wp:positionH>
                <wp:positionV relativeFrom="paragraph">
                  <wp:posOffset>2076654</wp:posOffset>
                </wp:positionV>
                <wp:extent cx="680313" cy="292608"/>
                <wp:effectExtent l="0" t="0" r="5715" b="0"/>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3" cy="292608"/>
                        </a:xfrm>
                        <a:prstGeom prst="rect">
                          <a:avLst/>
                        </a:prstGeom>
                        <a:solidFill>
                          <a:srgbClr val="FFFFFF"/>
                        </a:solidFill>
                        <a:ln w="9525">
                          <a:noFill/>
                          <a:miter lim="800000"/>
                          <a:headEnd/>
                          <a:tailEnd/>
                        </a:ln>
                      </wps:spPr>
                      <wps:txbx>
                        <w:txbxContent>
                          <w:p w14:paraId="489BFE04" w14:textId="77777777" w:rsidR="00CB48F1" w:rsidRPr="00845244" w:rsidRDefault="00CB48F1" w:rsidP="005265FE">
                            <w:pPr>
                              <w:spacing w:before="0"/>
                              <w:jc w:val="center"/>
                              <w:rPr>
                                <w:sz w:val="16"/>
                                <w:szCs w:val="16"/>
                                <w:lang w:val="fr-CH"/>
                              </w:rPr>
                            </w:pPr>
                            <w:r>
                              <w:rPr>
                                <w:sz w:val="16"/>
                                <w:szCs w:val="16"/>
                                <w:lang w:val="fr-CH"/>
                              </w:rPr>
                              <w:t>Produits différés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CAC41" id="_x0000_s1047" type="#_x0000_t202" style="position:absolute;left:0;text-align:left;margin-left:158.25pt;margin-top:163.5pt;width:53.55pt;height:23.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" stroked="f">
                <v:textbox inset="0,0,0,0">
                  <w:txbxContent>
                    <w:p w14:paraId="489BFE04" w14:textId="77777777" w:rsidR="00CB48F1" w:rsidRPr="00845244" w:rsidRDefault="00CB48F1" w:rsidP="005265FE">
                      <w:pPr>
                        <w:spacing w:before="0"/>
                        <w:jc w:val="center"/>
                        <w:rPr>
                          <w:sz w:val="16"/>
                          <w:szCs w:val="16"/>
                          <w:lang w:val="fr-CH"/>
                        </w:rPr>
                      </w:pPr>
                      <w:r>
                        <w:rPr>
                          <w:sz w:val="16"/>
                          <w:szCs w:val="16"/>
                          <w:lang w:val="fr-CH"/>
                        </w:rPr>
                        <w:t>Produits différés</w:t>
                      </w:r>
                    </w:p>
                  </w:txbxContent>
                </v:textbox>
              </v:shape>
            </w:pict>
          </mc:Fallback>
        </mc:AlternateContent>
      </w:r>
      <w:r w:rsidRPr="004C1BC2">
        <w:rPr>
          <w:noProof/>
          <w:lang w:val="en-US"/>
        </w:rPr>
        <mc:AlternateContent>
          <mc:Choice Requires="wps">
            <w:drawing>
              <wp:anchor distT="45720" distB="45720" distL="114300" distR="114300" simplePos="0" relativeHeight="251661312" behindDoc="0" locked="0" layoutInCell="1" allowOverlap="1" wp14:anchorId="5C4EAFF7" wp14:editId="7C6A29A0">
                <wp:simplePos x="0" y="0"/>
                <wp:positionH relativeFrom="column">
                  <wp:posOffset>1342078</wp:posOffset>
                </wp:positionH>
                <wp:positionV relativeFrom="paragraph">
                  <wp:posOffset>2070412</wp:posOffset>
                </wp:positionV>
                <wp:extent cx="702259" cy="299923"/>
                <wp:effectExtent l="0" t="0" r="3175" b="5080"/>
                <wp:wrapNone/>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59" cy="299923"/>
                        </a:xfrm>
                        <a:prstGeom prst="rect">
                          <a:avLst/>
                        </a:prstGeom>
                        <a:solidFill>
                          <a:srgbClr val="FFFFFF"/>
                        </a:solidFill>
                        <a:ln w="9525">
                          <a:noFill/>
                          <a:miter lim="800000"/>
                          <a:headEnd/>
                          <a:tailEnd/>
                        </a:ln>
                      </wps:spPr>
                      <wps:txbx>
                        <w:txbxContent>
                          <w:p w14:paraId="1C160F0B" w14:textId="77777777" w:rsidR="00CB48F1" w:rsidRPr="00845244" w:rsidRDefault="00CB48F1" w:rsidP="005265FE">
                            <w:pPr>
                              <w:spacing w:before="0"/>
                              <w:jc w:val="center"/>
                              <w:rPr>
                                <w:sz w:val="16"/>
                                <w:szCs w:val="16"/>
                                <w:lang w:val="fr-CH"/>
                              </w:rPr>
                            </w:pPr>
                            <w:r>
                              <w:rPr>
                                <w:sz w:val="16"/>
                                <w:szCs w:val="16"/>
                                <w:lang w:val="fr-CH"/>
                              </w:rPr>
                              <w:t>Dettes et</w:t>
                            </w:r>
                            <w:r>
                              <w:rPr>
                                <w:sz w:val="16"/>
                                <w:szCs w:val="16"/>
                                <w:lang w:val="fr-CH"/>
                              </w:rPr>
                              <w:br/>
                              <w:t>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EAFF7" id="_x0000_s1048" type="#_x0000_t202" style="position:absolute;left:0;text-align:left;margin-left:105.7pt;margin-top:163pt;width:55.3pt;height:2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" stroked="f">
                <v:textbox inset="0,0,0,0">
                  <w:txbxContent>
                    <w:p w14:paraId="1C160F0B" w14:textId="77777777" w:rsidR="00CB48F1" w:rsidRPr="00845244" w:rsidRDefault="00CB48F1" w:rsidP="005265FE">
                      <w:pPr>
                        <w:spacing w:before="0"/>
                        <w:jc w:val="center"/>
                        <w:rPr>
                          <w:sz w:val="16"/>
                          <w:szCs w:val="16"/>
                          <w:lang w:val="fr-CH"/>
                        </w:rPr>
                      </w:pPr>
                      <w:r>
                        <w:rPr>
                          <w:sz w:val="16"/>
                          <w:szCs w:val="16"/>
                          <w:lang w:val="fr-CH"/>
                        </w:rPr>
                        <w:t>Dettes et</w:t>
                      </w:r>
                      <w:r>
                        <w:rPr>
                          <w:sz w:val="16"/>
                          <w:szCs w:val="16"/>
                          <w:lang w:val="fr-CH"/>
                        </w:rPr>
                        <w:br/>
                        <w:t>créances</w:t>
                      </w:r>
                    </w:p>
                  </w:txbxContent>
                </v:textbox>
              </v:shape>
            </w:pict>
          </mc:Fallback>
        </mc:AlternateContent>
      </w:r>
      <w:r w:rsidRPr="004C1BC2">
        <w:rPr>
          <w:noProof/>
          <w:lang w:val="en-US"/>
        </w:rPr>
        <w:drawing>
          <wp:inline distT="0" distB="0" distL="0" distR="0" wp14:anchorId="58791D89" wp14:editId="396EE43E">
            <wp:extent cx="4572000" cy="2707005"/>
            <wp:effectExtent l="0" t="0" r="0" b="17145"/>
            <wp:docPr id="1" name="Chart 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A0C0C9" w14:textId="0E390681" w:rsidR="005265FE" w:rsidRPr="004C1BC2" w:rsidRDefault="005265FE" w:rsidP="002178B4">
      <w:pPr>
        <w:spacing w:before="240"/>
      </w:pPr>
      <w:r w:rsidRPr="004C1BC2">
        <w:t>29</w:t>
      </w:r>
      <w:r w:rsidRPr="004C1BC2">
        <w:tab/>
        <w:t>Le passif le plus important est constitué par les futurs avantages du personnel acquis par les fonctionnaires en service et les retraités. Il représentait 72% du passif total de l'UIT au 31 décembre 2020.</w:t>
      </w:r>
    </w:p>
    <w:p w14:paraId="4610A5AD" w14:textId="77777777" w:rsidR="005265FE" w:rsidRPr="004C1BC2" w:rsidRDefault="005265FE" w:rsidP="002178B4">
      <w:r w:rsidRPr="004C1BC2">
        <w:t>30</w:t>
      </w:r>
      <w:r w:rsidRPr="004C1BC2">
        <w:tab/>
        <w:t>Le passif de l'ASHI représentait toujours 96% du passif de l'ensemble des avantages du personnel, soit un chiffre stable malgré une augmentation du passif de l'ASHI due à la baisse du taux d'actualisation, qui est passé de 0,6% à 0,2%.</w:t>
      </w:r>
    </w:p>
    <w:p w14:paraId="1D737673" w14:textId="77777777" w:rsidR="00A77B7D" w:rsidRDefault="00A77B7D" w:rsidP="002178B4">
      <w:r>
        <w:br w:type="page"/>
      </w:r>
    </w:p>
    <w:p w14:paraId="07B0C2B4" w14:textId="75FD9CC0" w:rsidR="005265FE" w:rsidRPr="004C1BC2" w:rsidRDefault="005265FE" w:rsidP="002178B4">
      <w:r w:rsidRPr="004C1BC2">
        <w:lastRenderedPageBreak/>
        <w:t>31</w:t>
      </w:r>
      <w:r w:rsidRPr="004C1BC2">
        <w:tab/>
        <w:t>Il convient de souligner que certaines charges</w:t>
      </w:r>
      <w:r w:rsidR="002178B4" w:rsidRPr="004C1BC2">
        <w:t xml:space="preserve"> </w:t>
      </w:r>
      <w:r w:rsidRPr="004C1BC2">
        <w:t>n</w:t>
      </w:r>
      <w:r w:rsidR="002178B4" w:rsidRPr="004C1BC2">
        <w:t>'</w:t>
      </w:r>
      <w:r w:rsidRPr="004C1BC2">
        <w:t>ont pas été inscrites au budget. Il s'agit notamment des amortissements, des pertes et des gains sur cours non réalisés et d'un ajustement de la provision pour les prestations maladie après cessation de service des fonctionnaires (ASHI). Ces charges sont essentiellement statistiques et ne représentent pas de sorties de fonds pendant l'année. Un aperçu de ces positions figure dans le Tableau V du présent document (Comparaison des montants budgétés et des montants effectifs pour l'exercice 2020).</w:t>
      </w:r>
    </w:p>
    <w:p w14:paraId="232A399A" w14:textId="77777777" w:rsidR="005265FE" w:rsidRPr="004C1BC2" w:rsidRDefault="005265FE" w:rsidP="002178B4">
      <w:r w:rsidRPr="004C1BC2">
        <w:t>32</w:t>
      </w:r>
      <w:r w:rsidRPr="004C1BC2">
        <w:tab/>
      </w:r>
      <w:r w:rsidRPr="004C1BC2">
        <w:rPr>
          <w:color w:val="000000"/>
        </w:rPr>
        <w:t>Les contributions en espèces reçues pour les fonds d'affectation spéciale se sont chiffrées à</w:t>
      </w:r>
      <w:r w:rsidRPr="004C1BC2">
        <w:t> 8 millions CHF en 2020 (11,8 millions CHF en 2019).</w:t>
      </w:r>
    </w:p>
    <w:p w14:paraId="25F083FE" w14:textId="7DFB0997" w:rsidR="005265FE" w:rsidRPr="004C1BC2" w:rsidRDefault="005265FE" w:rsidP="002178B4">
      <w:r w:rsidRPr="004C1BC2">
        <w:t>33</w:t>
      </w:r>
      <w:r w:rsidRPr="004C1BC2">
        <w:tab/>
      </w:r>
      <w:r w:rsidRPr="004C1BC2">
        <w:rPr>
          <w:color w:val="000000"/>
        </w:rPr>
        <w:t>Les contributions volontaires en espèce reçues pour les diverses activités se sont chiffrées à </w:t>
      </w:r>
      <w:r w:rsidRPr="004C1BC2">
        <w:t>2,8 millions CHF en 2020, soit une augmentation de 30% par rapport à 2019 (2,1 million</w:t>
      </w:r>
      <w:r w:rsidR="00A77B7D">
        <w:t>s</w:t>
      </w:r>
      <w:r w:rsidRPr="004C1BC2">
        <w:t xml:space="preserve"> CHF).</w:t>
      </w:r>
    </w:p>
    <w:p w14:paraId="17045FD9" w14:textId="77777777" w:rsidR="005265FE" w:rsidRPr="004C1BC2" w:rsidRDefault="005265FE" w:rsidP="002178B4">
      <w:pPr>
        <w:rPr>
          <w:color w:val="000000" w:themeColor="text1"/>
        </w:rPr>
      </w:pPr>
      <w:r w:rsidRPr="004C1BC2">
        <w:t>34</w:t>
      </w:r>
      <w:r w:rsidRPr="004C1BC2">
        <w:tab/>
        <w:t>Le solde du Fonds pour le développement des TIC s'établissait à 3,8 millions CHF au 31 décembre 2020 (4,6 millions CHF au 31 décembre 2019).</w:t>
      </w:r>
    </w:p>
    <w:p w14:paraId="1DDDC0A1" w14:textId="227C1DA5" w:rsidR="005265FE" w:rsidRPr="004C1BC2" w:rsidRDefault="005265FE" w:rsidP="002178B4">
      <w:r w:rsidRPr="004C1BC2">
        <w:t>35</w:t>
      </w:r>
      <w:r w:rsidRPr="004C1BC2">
        <w:tab/>
        <w:t>En 2020, le total des charges pour les projets financés sur des fonds d'affectation spéciale</w:t>
      </w:r>
      <w:r w:rsidR="002178B4" w:rsidRPr="004C1BC2">
        <w:t xml:space="preserve"> </w:t>
      </w:r>
      <w:r w:rsidRPr="004C1BC2">
        <w:t>s</w:t>
      </w:r>
      <w:r w:rsidR="002178B4" w:rsidRPr="004C1BC2">
        <w:t>'</w:t>
      </w:r>
      <w:r w:rsidRPr="004C1BC2">
        <w:t>est chiffré</w:t>
      </w:r>
      <w:r w:rsidR="002178B4" w:rsidRPr="004C1BC2">
        <w:t xml:space="preserve"> </w:t>
      </w:r>
      <w:r w:rsidRPr="004C1BC2">
        <w:t>à 6,7 millions CHF, ce qui équivaut à 0,24 million CHF de produits au titre de l'appui aux projets.</w:t>
      </w:r>
    </w:p>
    <w:p w14:paraId="5F33AE30" w14:textId="2B1EB1B6" w:rsidR="005265FE" w:rsidRPr="004C1BC2" w:rsidRDefault="005265FE" w:rsidP="002178B4">
      <w:r w:rsidRPr="004C1BC2">
        <w:t>36</w:t>
      </w:r>
      <w:r w:rsidRPr="004C1BC2">
        <w:tab/>
        <w:t xml:space="preserve">En raison </w:t>
      </w:r>
      <w:r w:rsidRPr="004C1BC2">
        <w:rPr>
          <w:color w:val="000000"/>
        </w:rPr>
        <w:t xml:space="preserve">de la pandémie de </w:t>
      </w:r>
      <w:r w:rsidRPr="004C1BC2">
        <w:t>COVID-19, la manifestation ITU Telecom World 2019 a été reportée</w:t>
      </w:r>
      <w:r w:rsidR="002178B4" w:rsidRPr="004C1BC2">
        <w:t xml:space="preserve"> </w:t>
      </w:r>
      <w:r w:rsidRPr="004C1BC2">
        <w:t>en</w:t>
      </w:r>
      <w:r w:rsidR="002178B4" w:rsidRPr="004C1BC2">
        <w:t xml:space="preserve"> </w:t>
      </w:r>
      <w:r w:rsidRPr="004C1BC2">
        <w:t>2021. Il n'a pas été possible de</w:t>
      </w:r>
      <w:r w:rsidR="002178B4" w:rsidRPr="004C1BC2">
        <w:t xml:space="preserve"> </w:t>
      </w:r>
      <w:r w:rsidRPr="004C1BC2">
        <w:t>dégager des recettes, mais le Secrétariat de Telecom a dû</w:t>
      </w:r>
      <w:r w:rsidR="002178B4" w:rsidRPr="004C1BC2">
        <w:t xml:space="preserve"> </w:t>
      </w:r>
      <w:r w:rsidRPr="004C1BC2">
        <w:t>continuer de financer des charges directes telles que les traitements. La manifestation ITU</w:t>
      </w:r>
      <w:r w:rsidR="007105EB" w:rsidRPr="004C1BC2">
        <w:t> </w:t>
      </w:r>
      <w:r w:rsidRPr="004C1BC2">
        <w:t>Digital World 2020 accuse</w:t>
      </w:r>
      <w:r w:rsidR="002178B4" w:rsidRPr="004C1BC2">
        <w:t xml:space="preserve"> </w:t>
      </w:r>
      <w:r w:rsidRPr="004C1BC2">
        <w:t>donc</w:t>
      </w:r>
      <w:r w:rsidR="002178B4" w:rsidRPr="004C1BC2">
        <w:t xml:space="preserve"> </w:t>
      </w:r>
      <w:r w:rsidRPr="004C1BC2">
        <w:t>un déficit</w:t>
      </w:r>
      <w:r w:rsidR="002178B4" w:rsidRPr="004C1BC2">
        <w:t xml:space="preserve"> </w:t>
      </w:r>
      <w:r w:rsidRPr="004C1BC2">
        <w:t>de 1,9 million CHF, qui a été prélevé sur le Fonds de roulement des Expositions. Le solde du Fonds de rou</w:t>
      </w:r>
      <w:r w:rsidR="00A77B7D">
        <w:t>lement des expositions était de </w:t>
      </w:r>
      <w:r w:rsidRPr="004C1BC2">
        <w:t>6,5 millions</w:t>
      </w:r>
      <w:r w:rsidR="007105EB" w:rsidRPr="004C1BC2">
        <w:t> </w:t>
      </w:r>
      <w:r w:rsidRPr="004C1BC2">
        <w:rPr>
          <w:rFonts w:asciiTheme="minorHAnsi" w:hAnsiTheme="minorHAnsi"/>
        </w:rPr>
        <w:t>CHF</w:t>
      </w:r>
      <w:r w:rsidRPr="004C1BC2">
        <w:t xml:space="preserve"> au 31 décembre 2020 (contre 8,21 millions CHF au 31 décembre 2019).</w:t>
      </w:r>
    </w:p>
    <w:p w14:paraId="5CAE4F23" w14:textId="743A85F0" w:rsidR="005265FE" w:rsidRPr="004C1BC2" w:rsidRDefault="005265FE" w:rsidP="002178B4">
      <w:r w:rsidRPr="004C1BC2">
        <w:t>37</w:t>
      </w:r>
      <w:r w:rsidR="007105EB" w:rsidRPr="004C1BC2">
        <w:tab/>
      </w:r>
      <w:r w:rsidRPr="004C1BC2">
        <w:t>Au titre de la Résolution 11 (Rév. Dubaï, 2018) de la Conférence de plénipotentiaires, un montant de 750 000 CHF a</w:t>
      </w:r>
      <w:r w:rsidR="002178B4" w:rsidRPr="004C1BC2">
        <w:t xml:space="preserve"> </w:t>
      </w:r>
      <w:r w:rsidRPr="004C1BC2">
        <w:t>été affecté</w:t>
      </w:r>
      <w:r w:rsidR="002178B4" w:rsidRPr="004C1BC2">
        <w:t xml:space="preserve"> </w:t>
      </w:r>
      <w:r w:rsidRPr="004C1BC2">
        <w:t>en vue de procéder à un examen des activités de TELECOM. Un cabinet de conseil a été recruté et a débuté l'examen. Les fond</w:t>
      </w:r>
      <w:r w:rsidR="00A77B7D">
        <w:t>s disponibles pour ce projet au </w:t>
      </w:r>
      <w:r w:rsidRPr="004C1BC2">
        <w:t>31 décembre 2020 s'élèvent à 125 434 CHF.</w:t>
      </w:r>
    </w:p>
    <w:p w14:paraId="261EDA8B" w14:textId="1612D3A2" w:rsidR="005265FE" w:rsidRPr="004C1BC2" w:rsidRDefault="005265FE" w:rsidP="002178B4">
      <w:r w:rsidRPr="004C1BC2">
        <w:t>38</w:t>
      </w:r>
      <w:r w:rsidRPr="004C1BC2">
        <w:tab/>
        <w:t>L'Annexe D du présent document montre l'évolution des arriérés pour ce qui est des manifestations TELECOM.</w:t>
      </w:r>
    </w:p>
    <w:p w14:paraId="08B2BE65" w14:textId="6B4DB6FB" w:rsidR="005265FE" w:rsidRPr="004C1BC2" w:rsidRDefault="005265FE" w:rsidP="002178B4">
      <w:r w:rsidRPr="004C1BC2">
        <w:t>39</w:t>
      </w:r>
      <w:r w:rsidRPr="004C1BC2">
        <w:tab/>
        <w:t>Les notes relatives aux états financiers fournissent des informations utiles sur les aspects financiers concernant l'exercice 2020.</w:t>
      </w:r>
    </w:p>
    <w:p w14:paraId="4C3EEF80" w14:textId="77777777" w:rsidR="005265FE" w:rsidRPr="004C1BC2" w:rsidRDefault="005265FE" w:rsidP="002178B4">
      <w:pPr>
        <w:pStyle w:val="Headingb"/>
      </w:pPr>
      <w:bookmarkStart w:id="129" w:name="_Toc452138591"/>
      <w:bookmarkStart w:id="130" w:name="_Toc452139038"/>
      <w:bookmarkStart w:id="131" w:name="_Toc452139397"/>
      <w:bookmarkStart w:id="132" w:name="_Toc452139796"/>
      <w:bookmarkStart w:id="133" w:name="_Toc452140383"/>
      <w:bookmarkStart w:id="134" w:name="_Toc452140663"/>
      <w:bookmarkStart w:id="135" w:name="_Toc482801459"/>
      <w:bookmarkStart w:id="136" w:name="_Toc482888703"/>
      <w:bookmarkStart w:id="137" w:name="_Toc511649423"/>
      <w:bookmarkStart w:id="138" w:name="_Toc511649797"/>
      <w:bookmarkStart w:id="139" w:name="_Toc511649904"/>
      <w:bookmarkStart w:id="140" w:name="_Toc511650022"/>
      <w:bookmarkStart w:id="141" w:name="_Toc511650515"/>
      <w:bookmarkStart w:id="142" w:name="_Toc511651160"/>
      <w:bookmarkStart w:id="143" w:name="_Toc511724025"/>
      <w:bookmarkStart w:id="144" w:name="_Toc511739014"/>
      <w:bookmarkStart w:id="145" w:name="_Toc511741183"/>
      <w:bookmarkStart w:id="146" w:name="_Toc9605679"/>
      <w:bookmarkStart w:id="147" w:name="_Toc10450689"/>
      <w:bookmarkStart w:id="148" w:name="_Toc41566302"/>
      <w:bookmarkStart w:id="149" w:name="_Toc41814921"/>
      <w:bookmarkStart w:id="150" w:name="_Toc73354276"/>
      <w:bookmarkStart w:id="151" w:name="_Toc73354411"/>
      <w:bookmarkStart w:id="152" w:name="_Toc73356364"/>
      <w:r w:rsidRPr="004C1BC2">
        <w:t>Principaux indicateurs financiers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576CDEE" w14:textId="77777777" w:rsidR="005265FE" w:rsidRPr="004C1BC2" w:rsidRDefault="005265FE" w:rsidP="002178B4">
      <w:r w:rsidRPr="004C1BC2">
        <w:t>40</w:t>
      </w:r>
      <w:r w:rsidRPr="004C1BC2">
        <w:tab/>
        <w:t>Depuis 2015, l'UIT présente des indicateurs clés qui constituent un outil utile pour comprendre l'évolution de la situation financière d'une organisation et qui sont très importants dans un cadre de budgétisation axée sur les résultats et de gestion axée sur les résultats.</w:t>
      </w:r>
    </w:p>
    <w:p w14:paraId="59C6E16D" w14:textId="77777777" w:rsidR="005265FE" w:rsidRPr="004C1BC2" w:rsidRDefault="005265FE" w:rsidP="002178B4">
      <w:pPr>
        <w:rPr>
          <w:rFonts w:asciiTheme="minorHAnsi" w:hAnsiTheme="minorHAnsi"/>
          <w:b/>
          <w:bCs/>
          <w:sz w:val="28"/>
          <w:szCs w:val="28"/>
        </w:rPr>
      </w:pPr>
      <w:r w:rsidRPr="004C1BC2">
        <w:t>41</w:t>
      </w:r>
      <w:r w:rsidRPr="004C1BC2">
        <w:tab/>
        <w:t>Il faut interpréter avec soin les résultats fournis par ces indicateurs pour que la comparaison avec d'autres organisations et institutions spécialisées du système des Nations Unies soit significative.</w:t>
      </w:r>
    </w:p>
    <w:p w14:paraId="3DC2F4C1" w14:textId="77777777" w:rsidR="005265FE" w:rsidRPr="004C1BC2" w:rsidRDefault="005265FE" w:rsidP="002178B4">
      <w:pPr>
        <w:pStyle w:val="Headingb"/>
      </w:pPr>
      <w:bookmarkStart w:id="153" w:name="_Toc482888704"/>
      <w:bookmarkStart w:id="154" w:name="_Toc511649424"/>
      <w:bookmarkStart w:id="155" w:name="_Toc511649798"/>
      <w:bookmarkStart w:id="156" w:name="_Toc511649905"/>
      <w:bookmarkStart w:id="157" w:name="_Toc511650023"/>
      <w:bookmarkStart w:id="158" w:name="_Toc511650516"/>
      <w:bookmarkStart w:id="159" w:name="_Toc511651161"/>
      <w:bookmarkStart w:id="160" w:name="_Toc511724026"/>
      <w:bookmarkStart w:id="161" w:name="_Toc511739015"/>
      <w:bookmarkStart w:id="162" w:name="_Toc511741184"/>
      <w:bookmarkStart w:id="163" w:name="_Toc9605680"/>
      <w:bookmarkStart w:id="164" w:name="_Toc10450690"/>
      <w:bookmarkStart w:id="165" w:name="_Toc41566303"/>
      <w:bookmarkStart w:id="166" w:name="_Toc41814922"/>
      <w:bookmarkStart w:id="167" w:name="_Toc73354277"/>
      <w:bookmarkStart w:id="168" w:name="_Toc73354412"/>
      <w:bookmarkStart w:id="169" w:name="_Toc73356365"/>
      <w:r w:rsidRPr="004C1BC2">
        <w:lastRenderedPageBreak/>
        <w:t>Stabilité et sécurité financière/risque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B346800" w14:textId="3B4F1940" w:rsidR="005265FE" w:rsidRPr="004C1BC2" w:rsidRDefault="0065452F" w:rsidP="002178B4">
      <w:pPr>
        <w:pStyle w:val="Figure"/>
      </w:pPr>
      <w:r w:rsidRPr="0065452F">
        <w:drawing>
          <wp:inline distT="0" distB="0" distL="0" distR="0" wp14:anchorId="62F913E4" wp14:editId="5B4548FD">
            <wp:extent cx="6120765" cy="1647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647190"/>
                    </a:xfrm>
                    <a:prstGeom prst="rect">
                      <a:avLst/>
                    </a:prstGeom>
                    <a:noFill/>
                    <a:ln>
                      <a:noFill/>
                    </a:ln>
                  </pic:spPr>
                </pic:pic>
              </a:graphicData>
            </a:graphic>
          </wp:inline>
        </w:drawing>
      </w:r>
    </w:p>
    <w:p w14:paraId="2486CAAD" w14:textId="54AA8996" w:rsidR="005265FE" w:rsidRPr="004C1BC2" w:rsidRDefault="005265FE" w:rsidP="002178B4">
      <w:pPr>
        <w:pStyle w:val="Headingb"/>
      </w:pPr>
      <w:bookmarkStart w:id="170" w:name="_Toc482888705"/>
      <w:bookmarkStart w:id="171" w:name="_Toc511649425"/>
      <w:bookmarkStart w:id="172" w:name="_Toc511649799"/>
      <w:bookmarkStart w:id="173" w:name="_Toc511649906"/>
      <w:bookmarkStart w:id="174" w:name="_Toc511650024"/>
      <w:bookmarkStart w:id="175" w:name="_Toc511650517"/>
      <w:bookmarkStart w:id="176" w:name="_Toc511651162"/>
      <w:bookmarkStart w:id="177" w:name="_Toc511724027"/>
      <w:bookmarkStart w:id="178" w:name="_Toc511739016"/>
      <w:bookmarkStart w:id="179" w:name="_Toc511741185"/>
      <w:bookmarkStart w:id="180" w:name="_Toc9605681"/>
      <w:bookmarkStart w:id="181" w:name="_Toc10450691"/>
      <w:bookmarkStart w:id="182" w:name="_Toc41566304"/>
      <w:bookmarkStart w:id="183" w:name="_Toc41814923"/>
      <w:bookmarkStart w:id="184" w:name="_Toc73354278"/>
      <w:bookmarkStart w:id="185" w:name="_Toc73354413"/>
      <w:bookmarkStart w:id="186" w:name="_Toc73356366"/>
      <w:r w:rsidRPr="004C1BC2">
        <w:t>Réserve de capitaux propres et de trésorerie</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D6D17D6" w14:textId="235F947C" w:rsidR="00112AA3" w:rsidRPr="004C1BC2" w:rsidRDefault="0065452F" w:rsidP="00112AA3">
      <w:r w:rsidRPr="0065452F">
        <w:drawing>
          <wp:inline distT="0" distB="0" distL="0" distR="0" wp14:anchorId="19201BA2" wp14:editId="76F99821">
            <wp:extent cx="6120765" cy="1953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953260"/>
                    </a:xfrm>
                    <a:prstGeom prst="rect">
                      <a:avLst/>
                    </a:prstGeom>
                    <a:noFill/>
                    <a:ln>
                      <a:noFill/>
                    </a:ln>
                  </pic:spPr>
                </pic:pic>
              </a:graphicData>
            </a:graphic>
          </wp:inline>
        </w:drawing>
      </w:r>
    </w:p>
    <w:p w14:paraId="621A204B" w14:textId="794AE011" w:rsidR="005265FE" w:rsidRPr="004C1BC2" w:rsidRDefault="005265FE" w:rsidP="002178B4">
      <w:pPr>
        <w:pStyle w:val="Figure"/>
        <w:rPr>
          <w:sz w:val="2"/>
          <w:szCs w:val="2"/>
        </w:rPr>
      </w:pPr>
    </w:p>
    <w:p w14:paraId="1F55C819" w14:textId="7C258652" w:rsidR="005265FE" w:rsidRPr="004C1BC2" w:rsidRDefault="005265FE" w:rsidP="002178B4">
      <w:pPr>
        <w:spacing w:before="360"/>
      </w:pPr>
      <w:r w:rsidRPr="004C1BC2">
        <w:t>42</w:t>
      </w:r>
      <w:r w:rsidRPr="004C1BC2">
        <w:tab/>
        <w:t>La réserve de trésorerie est évaluée en nombre de mois et fait apparaître une stabilité au fil des ans. Il est à noter qu'une partie de la trésorerie n'est pas immédiatement disponible et qu'il faut donc être vigilant pour couvrir les besoins mensuels.</w:t>
      </w:r>
    </w:p>
    <w:p w14:paraId="38EA1B4F" w14:textId="77777777" w:rsidR="005265FE" w:rsidRPr="004C1BC2" w:rsidRDefault="005265FE" w:rsidP="001B4696">
      <w:pPr>
        <w:pStyle w:val="Headingb"/>
      </w:pPr>
      <w:bookmarkStart w:id="187" w:name="_Toc482888706"/>
      <w:bookmarkStart w:id="188" w:name="_Toc511649426"/>
      <w:bookmarkStart w:id="189" w:name="_Toc511649800"/>
      <w:bookmarkStart w:id="190" w:name="_Toc511649907"/>
      <w:bookmarkStart w:id="191" w:name="_Toc511650025"/>
      <w:bookmarkStart w:id="192" w:name="_Toc511650518"/>
      <w:bookmarkStart w:id="193" w:name="_Toc511651163"/>
      <w:bookmarkStart w:id="194" w:name="_Toc511724028"/>
      <w:bookmarkStart w:id="195" w:name="_Toc511739017"/>
      <w:bookmarkStart w:id="196" w:name="_Toc511741186"/>
      <w:bookmarkStart w:id="197" w:name="_Toc9605682"/>
      <w:bookmarkStart w:id="198" w:name="_Toc10450692"/>
      <w:bookmarkStart w:id="199" w:name="_Toc41566305"/>
      <w:bookmarkStart w:id="200" w:name="_Toc41814924"/>
      <w:bookmarkStart w:id="201" w:name="_Toc73354279"/>
      <w:bookmarkStart w:id="202" w:name="_Toc73354414"/>
      <w:bookmarkStart w:id="203" w:name="_Toc73356367"/>
      <w:r w:rsidRPr="004C1BC2">
        <w:t xml:space="preserve">Solvabilité </w:t>
      </w:r>
      <w:r w:rsidRPr="001B4696">
        <w:t>immédiate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8267055" w14:textId="4501E658" w:rsidR="005265FE" w:rsidRPr="004C1BC2" w:rsidRDefault="0065452F" w:rsidP="001B4696">
      <w:pPr>
        <w:pStyle w:val="Figure"/>
        <w:keepNext w:val="0"/>
        <w:keepLines w:val="0"/>
        <w:spacing w:after="240"/>
      </w:pPr>
      <w:r w:rsidRPr="0065452F">
        <w:drawing>
          <wp:inline distT="0" distB="0" distL="0" distR="0" wp14:anchorId="5E00FD93" wp14:editId="4558DF7C">
            <wp:extent cx="6120765" cy="1953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953260"/>
                    </a:xfrm>
                    <a:prstGeom prst="rect">
                      <a:avLst/>
                    </a:prstGeom>
                    <a:noFill/>
                    <a:ln>
                      <a:noFill/>
                    </a:ln>
                  </pic:spPr>
                </pic:pic>
              </a:graphicData>
            </a:graphic>
          </wp:inline>
        </w:drawing>
      </w:r>
    </w:p>
    <w:p w14:paraId="45B01D0F" w14:textId="34335F8A" w:rsidR="005265FE" w:rsidRPr="004C1BC2" w:rsidRDefault="0065452F" w:rsidP="002178B4">
      <w:pPr>
        <w:pStyle w:val="Figure"/>
      </w:pPr>
      <w:r w:rsidRPr="0065452F">
        <w:lastRenderedPageBreak/>
        <w:drawing>
          <wp:inline distT="0" distB="0" distL="0" distR="0" wp14:anchorId="455CFA0B" wp14:editId="4A174788">
            <wp:extent cx="6120765" cy="18611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861185"/>
                    </a:xfrm>
                    <a:prstGeom prst="rect">
                      <a:avLst/>
                    </a:prstGeom>
                    <a:noFill/>
                    <a:ln>
                      <a:noFill/>
                    </a:ln>
                  </pic:spPr>
                </pic:pic>
              </a:graphicData>
            </a:graphic>
          </wp:inline>
        </w:drawing>
      </w:r>
    </w:p>
    <w:p w14:paraId="10579A6D" w14:textId="77777777" w:rsidR="005265FE" w:rsidRPr="004C1BC2" w:rsidRDefault="005265FE" w:rsidP="002178B4">
      <w:pPr>
        <w:spacing w:before="240"/>
      </w:pPr>
      <w:r w:rsidRPr="004C1BC2">
        <w:t>43</w:t>
      </w:r>
      <w:r w:rsidRPr="004C1BC2">
        <w:tab/>
        <w:t>Le ratio de solvabilité permet d'évaluer plus facilement la santé financière de l'Union à court terme. Les bons résultats, respectivement 205% et 132% pour ces deux ratios, confirment la bonne santé de l'Union et le fait qu'elle est en mesure de faire face à ses engagements à court terme.</w:t>
      </w:r>
    </w:p>
    <w:p w14:paraId="0BCBF023" w14:textId="77777777" w:rsidR="005265FE" w:rsidRPr="004C1BC2" w:rsidRDefault="005265FE" w:rsidP="002178B4">
      <w:pPr>
        <w:pStyle w:val="Headingb"/>
      </w:pPr>
      <w:bookmarkStart w:id="204" w:name="_Toc482888707"/>
      <w:bookmarkStart w:id="205" w:name="_Toc511649427"/>
      <w:bookmarkStart w:id="206" w:name="_Toc511649801"/>
      <w:bookmarkStart w:id="207" w:name="_Toc511649908"/>
      <w:bookmarkStart w:id="208" w:name="_Toc511650026"/>
      <w:bookmarkStart w:id="209" w:name="_Toc511650519"/>
      <w:bookmarkStart w:id="210" w:name="_Toc511651164"/>
      <w:bookmarkStart w:id="211" w:name="_Toc511724029"/>
      <w:bookmarkStart w:id="212" w:name="_Toc511739018"/>
      <w:bookmarkStart w:id="213" w:name="_Toc511741187"/>
      <w:bookmarkStart w:id="214" w:name="_Toc9605683"/>
      <w:bookmarkStart w:id="215" w:name="_Toc10450693"/>
      <w:bookmarkStart w:id="216" w:name="_Toc41566306"/>
      <w:bookmarkStart w:id="217" w:name="_Toc41814925"/>
      <w:bookmarkStart w:id="218" w:name="_Toc73354280"/>
      <w:bookmarkStart w:id="219" w:name="_Toc73354415"/>
      <w:bookmarkStart w:id="220" w:name="_Toc73356368"/>
      <w:r w:rsidRPr="004C1BC2">
        <w:t>Résultats financiers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9C82C75" w14:textId="2F3485EE" w:rsidR="005265FE" w:rsidRPr="004C1BC2" w:rsidRDefault="005265FE" w:rsidP="002178B4">
      <w:pPr>
        <w:snapToGrid w:val="0"/>
        <w:spacing w:after="240"/>
        <w:rPr>
          <w:lang w:eastAsia="zh-CN"/>
        </w:rPr>
      </w:pPr>
      <w:r w:rsidRPr="004C1BC2">
        <w:t>44</w:t>
      </w:r>
      <w:r w:rsidRPr="004C1BC2">
        <w:tab/>
        <w:t>Ce ratio représente les résultats financiers pour le budget ordinaire approuvé et</w:t>
      </w:r>
      <w:r w:rsidR="002178B4" w:rsidRPr="004C1BC2">
        <w:t xml:space="preserve"> </w:t>
      </w:r>
      <w:r w:rsidRPr="004C1BC2">
        <w:t>est basé sur les résultats budgétaires.</w:t>
      </w:r>
    </w:p>
    <w:p w14:paraId="7F5E51C0" w14:textId="40A2B1E2" w:rsidR="005265FE" w:rsidRPr="004C1BC2" w:rsidRDefault="0065452F" w:rsidP="002178B4">
      <w:pPr>
        <w:pStyle w:val="Figure"/>
        <w:keepNext w:val="0"/>
        <w:spacing w:after="240"/>
        <w:rPr>
          <w:lang w:eastAsia="zh-CN"/>
        </w:rPr>
      </w:pPr>
      <w:r w:rsidRPr="0065452F">
        <w:drawing>
          <wp:inline distT="0" distB="0" distL="0" distR="0" wp14:anchorId="0616DC55" wp14:editId="7153F260">
            <wp:extent cx="6120765" cy="22498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2249805"/>
                    </a:xfrm>
                    <a:prstGeom prst="rect">
                      <a:avLst/>
                    </a:prstGeom>
                    <a:noFill/>
                    <a:ln>
                      <a:noFill/>
                    </a:ln>
                  </pic:spPr>
                </pic:pic>
              </a:graphicData>
            </a:graphic>
          </wp:inline>
        </w:drawing>
      </w:r>
    </w:p>
    <w:p w14:paraId="60733D5E" w14:textId="152DFAE0" w:rsidR="005265FE" w:rsidRPr="004C1BC2" w:rsidRDefault="0065452F" w:rsidP="002178B4">
      <w:pPr>
        <w:pStyle w:val="Figure"/>
        <w:rPr>
          <w:rFonts w:asciiTheme="minorHAnsi" w:hAnsiTheme="minorHAnsi"/>
          <w:b/>
          <w:bCs/>
          <w:sz w:val="28"/>
          <w:szCs w:val="28"/>
          <w:u w:val="single"/>
        </w:rPr>
      </w:pPr>
      <w:r w:rsidRPr="0065452F">
        <w:drawing>
          <wp:inline distT="0" distB="0" distL="0" distR="0" wp14:anchorId="2D7C8A3B" wp14:editId="10CDF953">
            <wp:extent cx="6120765" cy="21551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155190"/>
                    </a:xfrm>
                    <a:prstGeom prst="rect">
                      <a:avLst/>
                    </a:prstGeom>
                    <a:noFill/>
                    <a:ln>
                      <a:noFill/>
                    </a:ln>
                  </pic:spPr>
                </pic:pic>
              </a:graphicData>
            </a:graphic>
          </wp:inline>
        </w:drawing>
      </w:r>
    </w:p>
    <w:p w14:paraId="1BF73B8D" w14:textId="77777777" w:rsidR="0065452F" w:rsidRDefault="0065452F" w:rsidP="002178B4">
      <w:pPr>
        <w:spacing w:before="240"/>
      </w:pPr>
      <w:r>
        <w:br w:type="page"/>
      </w:r>
    </w:p>
    <w:p w14:paraId="40061A7D" w14:textId="3BCBFEB5" w:rsidR="005265FE" w:rsidRPr="004C1BC2" w:rsidRDefault="005265FE" w:rsidP="002178B4">
      <w:pPr>
        <w:spacing w:before="240"/>
      </w:pPr>
      <w:r w:rsidRPr="004C1BC2">
        <w:lastRenderedPageBreak/>
        <w:t>45</w:t>
      </w:r>
      <w:r w:rsidRPr="004C1BC2">
        <w:tab/>
        <w:t xml:space="preserve">L'évolution du ratio pour les dépenses de personnel a été relativement stable au cours des quatre dernières années. La majeure partie des charges (71% en 2020) est affectée aux dépenses de personnel, ce qui permet à l'UIT de mettre en </w:t>
      </w:r>
      <w:r w:rsidRPr="004C1BC2">
        <w:rPr>
          <w:rFonts w:cs="Calibri"/>
          <w:lang w:eastAsia="fr-FR"/>
        </w:rPr>
        <w:t>œ</w:t>
      </w:r>
      <w:r w:rsidRPr="004C1BC2">
        <w:t>uvre son programme d'activités, conformément à ce qui a été décidé dans le plan opérationnel pendant la Conférence de plénipotentiaires de 2018. En 2020, le ratio est revenu à un niveau analogue à celui de 2018. Le</w:t>
      </w:r>
      <w:r w:rsidR="001B4696">
        <w:t> </w:t>
      </w:r>
      <w:r w:rsidRPr="004C1BC2">
        <w:t>ratio exceptionnellement élevé constaté en 2019 était dû au changement de caisse d'assurance maladie, pour passer de CIGNA à l</w:t>
      </w:r>
      <w:r w:rsidR="002178B4" w:rsidRPr="004C1BC2">
        <w:t>'</w:t>
      </w:r>
      <w:r w:rsidRPr="004C1BC2">
        <w:t>UNSMIS, et à un ajustement unique des coûts des prestations au titre des services rendus dans le passé.</w:t>
      </w:r>
    </w:p>
    <w:p w14:paraId="4532F0FF" w14:textId="77777777" w:rsidR="005265FE" w:rsidRPr="004C1BC2" w:rsidRDefault="005265FE" w:rsidP="002178B4">
      <w:pPr>
        <w:pStyle w:val="headingb0"/>
      </w:pPr>
      <w:bookmarkStart w:id="221" w:name="_Toc329204972"/>
      <w:bookmarkStart w:id="222" w:name="_Toc329206809"/>
      <w:bookmarkStart w:id="223" w:name="_Toc358379889"/>
      <w:bookmarkStart w:id="224" w:name="_Toc358380430"/>
      <w:bookmarkStart w:id="225" w:name="_Toc387166334"/>
      <w:bookmarkStart w:id="226" w:name="_Toc387166612"/>
      <w:bookmarkStart w:id="227" w:name="_Toc387167417"/>
      <w:bookmarkStart w:id="228" w:name="_Toc395260897"/>
      <w:bookmarkStart w:id="229" w:name="_Toc395511677"/>
      <w:bookmarkStart w:id="230" w:name="_Toc482888026"/>
      <w:bookmarkStart w:id="231" w:name="_Toc482888252"/>
      <w:bookmarkStart w:id="232" w:name="_Toc482888368"/>
      <w:bookmarkStart w:id="233" w:name="_Toc482888708"/>
      <w:bookmarkStart w:id="234" w:name="_Toc511649428"/>
      <w:bookmarkStart w:id="235" w:name="_Toc511649909"/>
      <w:bookmarkStart w:id="236" w:name="_Toc511650027"/>
      <w:bookmarkStart w:id="237" w:name="_Toc511650520"/>
      <w:bookmarkStart w:id="238" w:name="_Toc511651165"/>
      <w:bookmarkStart w:id="239" w:name="_Toc511724030"/>
      <w:bookmarkStart w:id="240" w:name="_Toc511739019"/>
      <w:bookmarkStart w:id="241" w:name="_Toc511740806"/>
      <w:bookmarkStart w:id="242" w:name="_Toc511741188"/>
      <w:bookmarkStart w:id="243" w:name="_Toc10450694"/>
      <w:bookmarkStart w:id="244" w:name="_Toc41566593"/>
      <w:bookmarkStart w:id="245" w:name="_Toc41567333"/>
      <w:bookmarkStart w:id="246" w:name="_Toc73354281"/>
      <w:bookmarkStart w:id="247" w:name="_Toc73356369"/>
      <w:r w:rsidRPr="004C1BC2">
        <w:t>Continuité</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E543A55" w14:textId="77777777" w:rsidR="005265FE" w:rsidRPr="004C1BC2" w:rsidRDefault="005265FE" w:rsidP="002178B4">
      <w:r w:rsidRPr="004C1BC2">
        <w:t>46</w:t>
      </w:r>
      <w:r w:rsidRPr="004C1BC2">
        <w:tab/>
        <w:t>J'ai évalué les incidences de toute réduction potentielle des contributions que pourraient entraîner les crises économique et financière mondiales et analysé la question de savoir si cela entraînerait une réduction des activités de l'Union. Compte tenu des activités projetées et des risques correspondants, je peux affirmer que l'Union dispose de ressources suffisantes pour continuer à opérer à moyen terme. Nous continuerons par conséquent d'établir les états financiers de l'Union sur la base de la méthode de l'activité continue.</w:t>
      </w:r>
    </w:p>
    <w:p w14:paraId="104EA49A" w14:textId="24AF9517" w:rsidR="005265FE" w:rsidRPr="004C1BC2" w:rsidRDefault="005265FE" w:rsidP="002178B4">
      <w:bookmarkStart w:id="248" w:name="_Toc329202540"/>
      <w:bookmarkStart w:id="249" w:name="_Toc329204973"/>
      <w:bookmarkStart w:id="250" w:name="_Toc329206810"/>
      <w:r w:rsidRPr="004C1BC2">
        <w:t>47</w:t>
      </w:r>
      <w:r w:rsidRPr="004C1BC2">
        <w:tab/>
        <w:t>Je suis conscient de la responsabilité qui est la mienne quant à la transparence du rapport annuel du CCIG, du rapport annuel du Vérificateur extérieur des comptes et du rapport annuel d'audit interne et à leur accessibilité pour le public, une fois qu'ils auront été approuvés par le Conseil.</w:t>
      </w:r>
    </w:p>
    <w:p w14:paraId="340D53A1" w14:textId="77777777" w:rsidR="005265FE" w:rsidRPr="004C1BC2" w:rsidRDefault="005265FE" w:rsidP="002178B4">
      <w:r w:rsidRPr="004C1BC2">
        <w:t>48</w:t>
      </w:r>
      <w:r w:rsidRPr="004C1BC2">
        <w:tab/>
        <w:t>La déclaration sur le contrôle interne pour 2020 est jointe au présent rapport de gestion financière.</w:t>
      </w:r>
    </w:p>
    <w:p w14:paraId="7E4E1D5A" w14:textId="77777777" w:rsidR="005265FE" w:rsidRPr="004C1BC2" w:rsidRDefault="005265FE" w:rsidP="002178B4">
      <w:pPr>
        <w:pStyle w:val="headingb0"/>
      </w:pPr>
      <w:bookmarkStart w:id="251" w:name="_Toc358379890"/>
      <w:bookmarkStart w:id="252" w:name="_Toc358380431"/>
      <w:bookmarkStart w:id="253" w:name="_Toc387166335"/>
      <w:bookmarkStart w:id="254" w:name="_Toc387166613"/>
      <w:bookmarkStart w:id="255" w:name="_Toc387167418"/>
      <w:bookmarkStart w:id="256" w:name="_Toc395260898"/>
      <w:bookmarkStart w:id="257" w:name="_Toc395511678"/>
      <w:bookmarkStart w:id="258" w:name="_Toc482888027"/>
      <w:bookmarkStart w:id="259" w:name="_Toc482888253"/>
      <w:bookmarkStart w:id="260" w:name="_Toc482888369"/>
      <w:bookmarkStart w:id="261" w:name="_Toc482888709"/>
      <w:bookmarkStart w:id="262" w:name="_Toc511649429"/>
      <w:bookmarkStart w:id="263" w:name="_Toc511649910"/>
      <w:bookmarkStart w:id="264" w:name="_Toc511650028"/>
      <w:bookmarkStart w:id="265" w:name="_Toc511650521"/>
      <w:bookmarkStart w:id="266" w:name="_Toc511651166"/>
      <w:bookmarkStart w:id="267" w:name="_Toc511724031"/>
      <w:bookmarkStart w:id="268" w:name="_Toc511739020"/>
      <w:bookmarkStart w:id="269" w:name="_Toc511740807"/>
      <w:bookmarkStart w:id="270" w:name="_Toc511741189"/>
      <w:bookmarkStart w:id="271" w:name="_Toc10450695"/>
      <w:bookmarkStart w:id="272" w:name="_Toc41566594"/>
      <w:bookmarkStart w:id="273" w:name="_Toc41567334"/>
      <w:bookmarkStart w:id="274" w:name="_Toc73354282"/>
      <w:bookmarkStart w:id="275" w:name="_Toc73356370"/>
      <w:r w:rsidRPr="004C1BC2">
        <w:t>Responsabilité</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5C90C0B" w14:textId="7EF76A7E" w:rsidR="005265FE" w:rsidRPr="004C1BC2" w:rsidRDefault="005265FE" w:rsidP="002178B4">
      <w:pPr>
        <w:keepNext/>
        <w:keepLines/>
      </w:pPr>
      <w:r w:rsidRPr="004C1BC2">
        <w:t>49</w:t>
      </w:r>
      <w:r w:rsidRPr="004C1BC2">
        <w:tab/>
        <w:t>Comme prévu par l'Article 30 du Règlement financier de l'Union, j'ai le plaisir de soumettre les états financiers ci-après, qui ont été élaborés conformément aux normes IPSAS. Je certifie que, pour autant que je sache, toutes les opérations de l'exercice ont été dûment comptabilisées dans les écritures et que ces opérations, ainsi que les états financiers et notes y afférentes, qui font partie intégrante du présent document, donnent une image fidèle de la situation financière de l'Union au 31 décembre 2020.</w:t>
      </w:r>
    </w:p>
    <w:p w14:paraId="5CDFCFB2" w14:textId="77777777" w:rsidR="005265FE" w:rsidRPr="004C1BC2" w:rsidRDefault="005265FE" w:rsidP="00B43F66">
      <w:pPr>
        <w:spacing w:before="480"/>
      </w:pPr>
      <w:r w:rsidRPr="004C1BC2">
        <w:t>I</w:t>
      </w:r>
      <w:r w:rsidRPr="004C1BC2">
        <w:tab/>
        <w:t>État de la situation financière – Bilan au 31 décembre 2020</w:t>
      </w:r>
    </w:p>
    <w:p w14:paraId="112FC75E" w14:textId="77777777" w:rsidR="005265FE" w:rsidRPr="004C1BC2" w:rsidRDefault="005265FE" w:rsidP="002178B4">
      <w:r w:rsidRPr="004C1BC2">
        <w:t>II</w:t>
      </w:r>
      <w:r w:rsidRPr="004C1BC2">
        <w:tab/>
        <w:t>État de la performance financière pour l'exercice clos le 31 décembre 2020</w:t>
      </w:r>
    </w:p>
    <w:p w14:paraId="7100239B" w14:textId="77777777" w:rsidR="005265FE" w:rsidRPr="004C1BC2" w:rsidRDefault="005265FE" w:rsidP="002178B4">
      <w:r w:rsidRPr="004C1BC2">
        <w:t>III</w:t>
      </w:r>
      <w:r w:rsidRPr="004C1BC2">
        <w:tab/>
        <w:t>État des variations de l'actif net pour l'exercice clos le 31 décembre 2020</w:t>
      </w:r>
    </w:p>
    <w:p w14:paraId="2D62F5EF" w14:textId="77777777" w:rsidR="005265FE" w:rsidRPr="004C1BC2" w:rsidRDefault="005265FE" w:rsidP="002178B4">
      <w:r w:rsidRPr="004C1BC2">
        <w:t>IV</w:t>
      </w:r>
      <w:r w:rsidRPr="004C1BC2">
        <w:tab/>
        <w:t>État des flux de trésorerie pour l'exercice clos le 31 décembre 2020</w:t>
      </w:r>
    </w:p>
    <w:p w14:paraId="488198C8" w14:textId="77777777" w:rsidR="005265FE" w:rsidRPr="004C1BC2" w:rsidRDefault="005265FE" w:rsidP="002178B4">
      <w:pPr>
        <w:ind w:left="567" w:hanging="567"/>
      </w:pPr>
      <w:r w:rsidRPr="004C1BC2">
        <w:t>V</w:t>
      </w:r>
      <w:r w:rsidRPr="004C1BC2">
        <w:tab/>
        <w:t>État de la comparaison des montants budgétés et des montants effectifs pour l'exercice 2020</w:t>
      </w:r>
    </w:p>
    <w:p w14:paraId="2ECF0B05" w14:textId="77777777" w:rsidR="005265FE" w:rsidRPr="004C1BC2" w:rsidRDefault="005265FE" w:rsidP="002178B4">
      <w:pPr>
        <w:ind w:left="567" w:hanging="567"/>
      </w:pPr>
      <w:r w:rsidRPr="004C1BC2">
        <w:br w:type="page"/>
      </w:r>
    </w:p>
    <w:p w14:paraId="57E69AE7" w14:textId="77777777" w:rsidR="005265FE" w:rsidRPr="004C1BC2" w:rsidRDefault="005265FE" w:rsidP="002178B4">
      <w:pPr>
        <w:pStyle w:val="Heading1"/>
        <w:spacing w:before="600"/>
        <w:jc w:val="center"/>
        <w:rPr>
          <w:w w:val="105"/>
        </w:rPr>
      </w:pPr>
      <w:bookmarkStart w:id="276" w:name="_Toc357005995"/>
      <w:bookmarkStart w:id="277" w:name="_Toc358379891"/>
      <w:bookmarkStart w:id="278" w:name="_Toc358380432"/>
      <w:bookmarkStart w:id="279" w:name="_Toc387166336"/>
      <w:bookmarkStart w:id="280" w:name="_Toc387167419"/>
      <w:bookmarkStart w:id="281" w:name="_Toc395260899"/>
      <w:bookmarkStart w:id="282" w:name="_Toc395261093"/>
      <w:bookmarkStart w:id="283" w:name="_Toc395511679"/>
      <w:bookmarkStart w:id="284" w:name="_Toc452138592"/>
      <w:bookmarkStart w:id="285" w:name="_Toc452139398"/>
      <w:bookmarkStart w:id="286" w:name="_Toc452139797"/>
      <w:bookmarkStart w:id="287" w:name="_Toc452140384"/>
      <w:bookmarkStart w:id="288" w:name="_Toc452140664"/>
      <w:bookmarkStart w:id="289" w:name="_Toc482801460"/>
      <w:bookmarkStart w:id="290" w:name="_Toc482888028"/>
      <w:bookmarkStart w:id="291" w:name="_Toc482888710"/>
      <w:bookmarkStart w:id="292" w:name="_Toc511649430"/>
      <w:bookmarkStart w:id="293" w:name="_Toc511649802"/>
      <w:bookmarkStart w:id="294" w:name="_Toc511649911"/>
      <w:bookmarkStart w:id="295" w:name="_Toc511650029"/>
      <w:bookmarkStart w:id="296" w:name="_Toc511650522"/>
      <w:bookmarkStart w:id="297" w:name="_Toc511651167"/>
      <w:bookmarkStart w:id="298" w:name="_Toc511724032"/>
      <w:bookmarkStart w:id="299" w:name="_Toc511739021"/>
      <w:bookmarkStart w:id="300" w:name="_Toc511740808"/>
      <w:bookmarkStart w:id="301" w:name="_Toc511741190"/>
      <w:bookmarkStart w:id="302" w:name="_Toc9605684"/>
      <w:bookmarkStart w:id="303" w:name="_Toc10450696"/>
      <w:bookmarkStart w:id="304" w:name="_Toc41566307"/>
      <w:bookmarkStart w:id="305" w:name="_Toc41566595"/>
      <w:bookmarkStart w:id="306" w:name="_Toc41567335"/>
      <w:bookmarkStart w:id="307" w:name="_Toc41567821"/>
      <w:bookmarkStart w:id="308" w:name="_Toc41814926"/>
      <w:bookmarkStart w:id="309" w:name="_Toc73354283"/>
      <w:bookmarkStart w:id="310" w:name="_Toc73354416"/>
      <w:bookmarkStart w:id="311" w:name="_Toc73356371"/>
      <w:r w:rsidRPr="004C1BC2">
        <w:rPr>
          <w:w w:val="105"/>
        </w:rPr>
        <w:lastRenderedPageBreak/>
        <w:t xml:space="preserve">Rapport de gestion </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4C1BC2">
        <w:rPr>
          <w:w w:val="105"/>
        </w:rPr>
        <w:t>2020</w:t>
      </w:r>
      <w:bookmarkEnd w:id="309"/>
      <w:bookmarkEnd w:id="310"/>
      <w:bookmarkEnd w:id="311"/>
    </w:p>
    <w:p w14:paraId="44D172D3" w14:textId="77777777" w:rsidR="005265FE" w:rsidRPr="004C1BC2" w:rsidRDefault="005265FE" w:rsidP="002178B4">
      <w:pPr>
        <w:spacing w:before="480"/>
        <w:jc w:val="right"/>
      </w:pPr>
      <w:r w:rsidRPr="004C1BC2">
        <w:rPr>
          <w:lang w:eastAsia="zh-CN"/>
        </w:rPr>
        <w:t>Genève, le 15 mars 2021</w:t>
      </w:r>
    </w:p>
    <w:p w14:paraId="322ED980" w14:textId="77777777" w:rsidR="005265FE" w:rsidRPr="004C1BC2" w:rsidRDefault="005265FE" w:rsidP="002178B4">
      <w:pPr>
        <w:pStyle w:val="Headingb"/>
        <w:spacing w:before="720"/>
      </w:pPr>
      <w:bookmarkStart w:id="312" w:name="_Toc358379892"/>
      <w:bookmarkStart w:id="313" w:name="_Toc358380433"/>
      <w:bookmarkStart w:id="314" w:name="_Toc387166337"/>
      <w:bookmarkStart w:id="315" w:name="_Toc387166615"/>
      <w:bookmarkStart w:id="316" w:name="_Toc387167420"/>
      <w:bookmarkStart w:id="317" w:name="_Toc395260900"/>
      <w:bookmarkStart w:id="318" w:name="_Toc395511680"/>
      <w:bookmarkStart w:id="319" w:name="_Toc452138593"/>
      <w:bookmarkStart w:id="320" w:name="_Toc452139040"/>
      <w:bookmarkStart w:id="321" w:name="_Toc452139399"/>
      <w:bookmarkStart w:id="322" w:name="_Toc452139798"/>
      <w:bookmarkStart w:id="323" w:name="_Toc452140385"/>
      <w:bookmarkStart w:id="324" w:name="_Toc452140665"/>
      <w:bookmarkStart w:id="325" w:name="_Toc482801461"/>
      <w:bookmarkStart w:id="326" w:name="_Toc482888711"/>
      <w:bookmarkStart w:id="327" w:name="_Toc511649431"/>
      <w:bookmarkStart w:id="328" w:name="_Toc511649803"/>
      <w:bookmarkStart w:id="329" w:name="_Toc511649912"/>
      <w:bookmarkStart w:id="330" w:name="_Toc511650030"/>
      <w:bookmarkStart w:id="331" w:name="_Toc511650523"/>
      <w:bookmarkStart w:id="332" w:name="_Toc511651168"/>
      <w:bookmarkStart w:id="333" w:name="_Toc511724033"/>
      <w:bookmarkStart w:id="334" w:name="_Toc511739022"/>
      <w:bookmarkStart w:id="335" w:name="_Toc511741191"/>
      <w:bookmarkStart w:id="336" w:name="_Toc9605685"/>
      <w:bookmarkStart w:id="337" w:name="_Toc10450697"/>
      <w:bookmarkStart w:id="338" w:name="_Toc41566308"/>
      <w:bookmarkStart w:id="339" w:name="_Toc41814927"/>
      <w:bookmarkStart w:id="340" w:name="_Toc73354284"/>
      <w:bookmarkStart w:id="341" w:name="_Toc73354417"/>
      <w:bookmarkStart w:id="342" w:name="_Toc73356372"/>
      <w:r w:rsidRPr="004C1BC2">
        <w:t>Rapport de gestion de la direction de l'Union internationale des télécommunications (UIT)</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A5ADCF7" w14:textId="77777777" w:rsidR="005265FE" w:rsidRPr="004C1BC2" w:rsidRDefault="005265FE" w:rsidP="002178B4">
      <w:pPr>
        <w:rPr>
          <w:lang w:eastAsia="zh-CN"/>
        </w:rPr>
      </w:pPr>
      <w:r w:rsidRPr="004C1BC2">
        <w:rPr>
          <w:lang w:eastAsia="zh-CN"/>
        </w:rPr>
        <w:t>Dans le cadre de la vérification des comptes annuels de l'Union internationale des télécommunications (UIT) pour l'exercice 2020 clos le 31 décembre 2020, nous présentons le rapport de gestion ci-après.</w:t>
      </w:r>
    </w:p>
    <w:p w14:paraId="1ADBC4ED" w14:textId="77777777" w:rsidR="005265FE" w:rsidRPr="004C1BC2" w:rsidRDefault="005265FE" w:rsidP="002178B4">
      <w:pPr>
        <w:rPr>
          <w:lang w:eastAsia="zh-CN"/>
        </w:rPr>
      </w:pPr>
      <w:r w:rsidRPr="004C1BC2">
        <w:rPr>
          <w:lang w:eastAsia="zh-CN"/>
        </w:rPr>
        <w:t>Nous avons établi les comptes annuels, lesquels seront soumis au Vérificateur extérieur des comptes de l'UIT, puis transmis au Conseil de l'UIT pour approbation. Nous sommes conscients de notre responsabilité en ce qui concerne la transparence des comptes annuels et l'accessibilité à ces comptes, la mise en place et la tenue à jour de systèmes viables pour la comptabilité et le contrôle interne, ainsi que les mesures à prendre pour éviter et déceler des erreurs graves et des cas de fraude.</w:t>
      </w:r>
    </w:p>
    <w:p w14:paraId="7C1E7FBA" w14:textId="77777777" w:rsidR="005265FE" w:rsidRPr="004C1BC2" w:rsidRDefault="005265FE" w:rsidP="002178B4">
      <w:pPr>
        <w:pStyle w:val="enumlev1"/>
        <w:rPr>
          <w:lang w:eastAsia="zh-CN"/>
        </w:rPr>
      </w:pPr>
      <w:r w:rsidRPr="004C1BC2">
        <w:rPr>
          <w:lang w:eastAsia="zh-CN"/>
        </w:rPr>
        <w:t>1)</w:t>
      </w:r>
      <w:r w:rsidRPr="004C1BC2">
        <w:rPr>
          <w:lang w:eastAsia="zh-CN"/>
        </w:rPr>
        <w:tab/>
        <w:t>Les comptes annuels et les notes y relatives ainsi que les informations financières associées sont conformes aux normes IPSAS, au Règlement financier et aux Règles financières et aux résolutions pertinentes adoptées par les organes directeurs de l'Organisation.</w:t>
      </w:r>
    </w:p>
    <w:p w14:paraId="3916F549" w14:textId="77777777" w:rsidR="005265FE" w:rsidRPr="004C1BC2" w:rsidRDefault="005265FE" w:rsidP="002178B4">
      <w:pPr>
        <w:pStyle w:val="enumlev1"/>
        <w:rPr>
          <w:lang w:eastAsia="zh-CN"/>
        </w:rPr>
      </w:pPr>
      <w:r w:rsidRPr="004C1BC2">
        <w:rPr>
          <w:lang w:eastAsia="zh-CN"/>
        </w:rPr>
        <w:t>2)</w:t>
      </w:r>
      <w:r w:rsidRPr="004C1BC2">
        <w:rPr>
          <w:lang w:eastAsia="zh-CN"/>
        </w:rPr>
        <w:tab/>
        <w:t>Toutes les opérations ont été dûment documentées. Nous avons communiqué toutes les informations pertinentes au Vérificateur extérieur de l'UIT, nous lui avons fourni ainsi qu'à ses collègues un accès aux comptes et aux pièces comptables de l'organisation ainsi qu'à la correspondance commerciale, et nous les avons informés de toute décision pouvant avoir des répercussions importantes sur les comptes annuels. Les Vérificateurs extérieurs des comptes de l'UIT ont pu s'entretenir librement avec les personnes au sein de l'entité auprès desquelles il a été estimé nécessaire de recueillir des éléments probants.</w:t>
      </w:r>
    </w:p>
    <w:p w14:paraId="40CCCEF5" w14:textId="77777777" w:rsidR="005265FE" w:rsidRPr="004C1BC2" w:rsidRDefault="005265FE" w:rsidP="002178B4">
      <w:pPr>
        <w:pStyle w:val="enumlev1"/>
        <w:rPr>
          <w:lang w:eastAsia="zh-CN"/>
        </w:rPr>
      </w:pPr>
      <w:r w:rsidRPr="004C1BC2">
        <w:rPr>
          <w:lang w:eastAsia="zh-CN"/>
        </w:rPr>
        <w:t>3)</w:t>
      </w:r>
      <w:r w:rsidRPr="004C1BC2">
        <w:rPr>
          <w:lang w:eastAsia="zh-CN"/>
        </w:rPr>
        <w:tab/>
        <w:t>Toutes les opérations pour l'exercice 2020 ont été comptabilisées, avec les montants qui leur ont été affectés, dans l'état de la performance financière. Tous les actifs, les passifs et les soldes de capitaux propres, avec les montants qui leur ont été affectés, ont été comptabilisés dans l'état de la situation financière. L'UIT détient juridiquement suffisamment de droits sur tous les actifs inscrits dans le bilan financier, de sorte qu'il n'existe pas d'autres actifs de l'UIT donnés en nantissement ou grevés que ceux qui sont indiqués dans l'annexe. Les relations et opérations avec les parties liées ont été dûment comptabilisées et communiquées, conformément aux exigences des normes IPSAS. Aucun autre contrat, accord de crédit, litige ou autre différend n'est susceptible de modifier sensiblement l'analyse des comptes annuels de l'UIT.</w:t>
      </w:r>
    </w:p>
    <w:p w14:paraId="0C2C53E4" w14:textId="77777777" w:rsidR="005265FE" w:rsidRPr="004C1BC2" w:rsidRDefault="005265FE" w:rsidP="002178B4">
      <w:pPr>
        <w:pStyle w:val="enumlev1"/>
        <w:rPr>
          <w:lang w:eastAsia="zh-CN"/>
        </w:rPr>
      </w:pPr>
      <w:r w:rsidRPr="004C1BC2">
        <w:rPr>
          <w:lang w:eastAsia="zh-CN"/>
        </w:rPr>
        <w:t>4)</w:t>
      </w:r>
      <w:r w:rsidRPr="004C1BC2">
        <w:rPr>
          <w:lang w:eastAsia="zh-CN"/>
        </w:rPr>
        <w:tab/>
        <w:t>Tous les événements postérieurs à la date des états financiers pour lesquels les normes IPSAS requièrent un ajustement ou une information à fournir, ont fait l'objet du traitement requis.</w:t>
      </w:r>
    </w:p>
    <w:p w14:paraId="1B9AFEDD" w14:textId="77777777" w:rsidR="005265FE" w:rsidRPr="004C1BC2" w:rsidRDefault="005265FE" w:rsidP="002178B4">
      <w:pPr>
        <w:pStyle w:val="enumlev1"/>
        <w:rPr>
          <w:lang w:eastAsia="zh-CN"/>
        </w:rPr>
      </w:pPr>
      <w:r w:rsidRPr="004C1BC2">
        <w:rPr>
          <w:lang w:eastAsia="zh-CN"/>
        </w:rPr>
        <w:t>5)</w:t>
      </w:r>
      <w:r w:rsidRPr="004C1BC2">
        <w:rPr>
          <w:lang w:eastAsia="zh-CN"/>
        </w:rPr>
        <w:tab/>
        <w:t>Les principales hypothèses utilisées pour les évaluations et les informations relatives aux justes valeurs sont, d'après nous, appropriées, traduisent notre intention et sont conformes aux principes comptables appliqués.</w:t>
      </w:r>
    </w:p>
    <w:p w14:paraId="24301E22" w14:textId="77777777" w:rsidR="005265FE" w:rsidRPr="004C1BC2" w:rsidRDefault="005265FE" w:rsidP="002178B4">
      <w:pPr>
        <w:pStyle w:val="enumlev1"/>
        <w:rPr>
          <w:lang w:eastAsia="zh-CN"/>
        </w:rPr>
      </w:pPr>
      <w:r w:rsidRPr="004C1BC2">
        <w:rPr>
          <w:lang w:eastAsia="zh-CN"/>
        </w:rPr>
        <w:br w:type="page"/>
      </w:r>
    </w:p>
    <w:p w14:paraId="6500BA84" w14:textId="77777777" w:rsidR="005265FE" w:rsidRPr="004C1BC2" w:rsidRDefault="005265FE" w:rsidP="002178B4">
      <w:pPr>
        <w:pStyle w:val="enumlev1"/>
        <w:rPr>
          <w:lang w:eastAsia="zh-CN"/>
        </w:rPr>
      </w:pPr>
      <w:r w:rsidRPr="004C1BC2">
        <w:rPr>
          <w:lang w:eastAsia="zh-CN"/>
        </w:rPr>
        <w:lastRenderedPageBreak/>
        <w:t>6)</w:t>
      </w:r>
      <w:r w:rsidRPr="004C1BC2">
        <w:rPr>
          <w:lang w:eastAsia="zh-CN"/>
        </w:rPr>
        <w:tab/>
        <w:t>Nous confirmons qu'un système de contrôle interne de l'information financière a été mis en place quant à la fiabilité de l'information financière et la préparation des comptes annuels destinés à un usage externe, selon le Règlement financier et les Règles financières. Ce système inclut les politiques et les procédés appropriés qui:</w:t>
      </w:r>
    </w:p>
    <w:p w14:paraId="680054AF" w14:textId="77777777" w:rsidR="005265FE" w:rsidRPr="004C1BC2" w:rsidRDefault="005265FE" w:rsidP="002178B4">
      <w:pPr>
        <w:pStyle w:val="enumlev2"/>
        <w:rPr>
          <w:lang w:eastAsia="zh-CN"/>
        </w:rPr>
      </w:pPr>
      <w:r w:rsidRPr="004C1BC2">
        <w:rPr>
          <w:lang w:eastAsia="zh-CN"/>
        </w:rPr>
        <w:t>•</w:t>
      </w:r>
      <w:r w:rsidRPr="004C1BC2">
        <w:rPr>
          <w:lang w:eastAsia="zh-CN"/>
        </w:rPr>
        <w:tab/>
        <w:t>se rapportent à la tenue de registres raisonnablement détaillés qui reflètent avec précision les opérations et en donnent une image fidèle;</w:t>
      </w:r>
    </w:p>
    <w:p w14:paraId="6FBDABA4" w14:textId="77777777" w:rsidR="005265FE" w:rsidRPr="004C1BC2" w:rsidRDefault="005265FE" w:rsidP="002178B4">
      <w:pPr>
        <w:pStyle w:val="enumlev2"/>
        <w:rPr>
          <w:lang w:eastAsia="zh-CN"/>
        </w:rPr>
      </w:pPr>
      <w:r w:rsidRPr="004C1BC2">
        <w:rPr>
          <w:lang w:eastAsia="zh-CN"/>
        </w:rPr>
        <w:t>•</w:t>
      </w:r>
      <w:r w:rsidRPr="004C1BC2">
        <w:rPr>
          <w:lang w:eastAsia="zh-CN"/>
        </w:rPr>
        <w:tab/>
        <w:t>fournissent une assurance raisonnable que les opérations sont dûment comptabilisées pour permettre la préparation des comptes annuels et que les recouvrements et dépenses sont effectués conformément aux autorisations de la direction, selon le Règlement financier et les Règles financières;</w:t>
      </w:r>
    </w:p>
    <w:p w14:paraId="5A6EAC43" w14:textId="77777777" w:rsidR="005265FE" w:rsidRPr="004C1BC2" w:rsidRDefault="005265FE" w:rsidP="002178B4">
      <w:pPr>
        <w:pStyle w:val="enumlev2"/>
        <w:rPr>
          <w:lang w:eastAsia="zh-CN"/>
        </w:rPr>
      </w:pPr>
      <w:r w:rsidRPr="004C1BC2">
        <w:rPr>
          <w:lang w:eastAsia="zh-CN"/>
        </w:rPr>
        <w:t>•</w:t>
      </w:r>
      <w:r w:rsidRPr="004C1BC2">
        <w:rPr>
          <w:lang w:eastAsia="zh-CN"/>
        </w:rPr>
        <w:tab/>
        <w:t>fournissent une assurance raisonnable quant à la prévention ou à la détection en temps utile d'acquisitions, d'utilisations ou de cessions non autorisées des actifs.</w:t>
      </w:r>
    </w:p>
    <w:p w14:paraId="62D35F94" w14:textId="77777777" w:rsidR="005265FE" w:rsidRPr="004C1BC2" w:rsidRDefault="005265FE" w:rsidP="002178B4">
      <w:pPr>
        <w:pStyle w:val="enumlev1"/>
        <w:rPr>
          <w:lang w:eastAsia="zh-CN"/>
        </w:rPr>
      </w:pPr>
      <w:r w:rsidRPr="004C1BC2">
        <w:rPr>
          <w:lang w:eastAsia="zh-CN"/>
        </w:rPr>
        <w:t>7)</w:t>
      </w:r>
      <w:r w:rsidRPr="004C1BC2">
        <w:rPr>
          <w:lang w:eastAsia="zh-CN"/>
        </w:rPr>
        <w:tab/>
        <w:t>Nous confirmons que les risques identifiés et les recommandations formulées par l'auditeur interne, le Vérificateur extérieur</w:t>
      </w:r>
      <w:r w:rsidRPr="004C1BC2">
        <w:rPr>
          <w:color w:val="000000"/>
        </w:rPr>
        <w:t xml:space="preserve"> des comptes de l'UIT</w:t>
      </w:r>
      <w:r w:rsidRPr="004C1BC2">
        <w:rPr>
          <w:lang w:eastAsia="zh-CN"/>
        </w:rPr>
        <w:t xml:space="preserve"> et le Comité consultatif indépendant pour les questions de gestion (CCIG) sont pris en compte et que nous y donnerons suite, le cas échéant. Le Groupe de travail du Conseil sur les ressources financières et les ressources humaines est informé chaque année de l'état d'avancement de la mise en œuvre de ces recommandations.</w:t>
      </w:r>
    </w:p>
    <w:p w14:paraId="6206976A" w14:textId="70AF266D" w:rsidR="005265FE" w:rsidRPr="004C1BC2" w:rsidRDefault="005265FE" w:rsidP="002178B4">
      <w:pPr>
        <w:pStyle w:val="enumlev1"/>
        <w:rPr>
          <w:lang w:eastAsia="zh-CN"/>
        </w:rPr>
      </w:pPr>
      <w:r w:rsidRPr="004C1BC2">
        <w:rPr>
          <w:lang w:eastAsia="zh-CN"/>
        </w:rPr>
        <w:t>8)</w:t>
      </w:r>
      <w:r w:rsidRPr="004C1BC2">
        <w:rPr>
          <w:lang w:eastAsia="zh-CN"/>
        </w:rPr>
        <w:tab/>
        <w:t xml:space="preserve">En 2020, le </w:t>
      </w:r>
      <w:r w:rsidRPr="004C1BC2">
        <w:rPr>
          <w:i/>
          <w:iCs/>
          <w:lang w:eastAsia="zh-CN"/>
        </w:rPr>
        <w:t>groupe de travail sur les contrôles internes</w:t>
      </w:r>
      <w:r w:rsidR="00C4775F" w:rsidRPr="004C1BC2">
        <w:rPr>
          <w:i/>
          <w:iCs/>
          <w:lang w:eastAsia="zh-CN"/>
        </w:rPr>
        <w:t xml:space="preserve"> </w:t>
      </w:r>
      <w:r w:rsidRPr="004C1BC2">
        <w:rPr>
          <w:rFonts w:cstheme="minorHAnsi"/>
          <w:color w:val="0D0D0D" w:themeColor="text1" w:themeTint="F2"/>
        </w:rPr>
        <w:t>(WGIC)</w:t>
      </w:r>
      <w:r w:rsidR="00B22100">
        <w:rPr>
          <w:lang w:eastAsia="zh-CN"/>
        </w:rPr>
        <w:t>, présidé par la Directrice du </w:t>
      </w:r>
      <w:r w:rsidRPr="004C1BC2">
        <w:rPr>
          <w:lang w:eastAsia="zh-CN"/>
        </w:rPr>
        <w:t xml:space="preserve">BDT, a poursuivi ses travaux visant à renforcer les contrôles internes du BDT (au siège et dans les bureaux régionaux/de zone), auquel participent toutes les parties prenantes concernées du BDT et des départements du Secrétariat général. Ce groupe est chargé de coordonner l'élaboration et la mise en œuvre d'un plan d'action pour le BDT, et l'UIT en général, et de traiter toutes les premières conclusions et les recommandations de l'Unité de l'audit interne et du Vérificateur extérieur des comptes. Comme cela a été indiqué au Groupe de travail du Conseil sur les ressources financières </w:t>
      </w:r>
      <w:r w:rsidR="00B22100">
        <w:rPr>
          <w:lang w:eastAsia="zh-CN"/>
        </w:rPr>
        <w:t>et les ressources humaines à sa </w:t>
      </w:r>
      <w:r w:rsidRPr="004C1BC2">
        <w:rPr>
          <w:lang w:eastAsia="zh-CN"/>
        </w:rPr>
        <w:t xml:space="preserve">12ème réunion en janvier 2021, </w:t>
      </w:r>
      <w:bookmarkStart w:id="343" w:name="_Hlk72391182"/>
      <w:r w:rsidRPr="004C1BC2">
        <w:rPr>
          <w:lang w:eastAsia="zh-CN"/>
        </w:rPr>
        <w:t>à la fin de 2020, le taux de mise en œuvre de toutes les recommandations connexes formulées par l'Unité de l'audit interne, le Vérificateur extérieur des comptes et le CCIG s'établissait à 80%.</w:t>
      </w:r>
    </w:p>
    <w:p w14:paraId="31EBB7DE" w14:textId="79F91D00" w:rsidR="005265FE" w:rsidRPr="004C1BC2" w:rsidRDefault="005265FE" w:rsidP="002178B4">
      <w:pPr>
        <w:pStyle w:val="enumlev1"/>
        <w:rPr>
          <w:lang w:eastAsia="zh-CN"/>
        </w:rPr>
      </w:pPr>
      <w:r w:rsidRPr="004C1BC2">
        <w:rPr>
          <w:lang w:eastAsia="zh-CN"/>
        </w:rPr>
        <w:t>9)</w:t>
      </w:r>
      <w:r w:rsidRPr="004C1BC2">
        <w:rPr>
          <w:lang w:eastAsia="zh-CN"/>
        </w:rPr>
        <w:tab/>
        <w:t>La direction de l'UIT a décidé, en novembre 2020, de créer un tableau de bord de la conformité organisationnelle comprenant les recommandations du Vérificateur extérieur des comptes, du CCIG, du Corps commun d'inspection (CCI) et de</w:t>
      </w:r>
      <w:r w:rsidRPr="004C1BC2">
        <w:t xml:space="preserve"> </w:t>
      </w:r>
      <w:r w:rsidRPr="004C1BC2">
        <w:rPr>
          <w:lang w:eastAsia="zh-CN"/>
        </w:rPr>
        <w:t>l'Unité de l'audit interne. Cet outil permet aux fonctions de gestion et de contrôle de l'UIT (Unité de l</w:t>
      </w:r>
      <w:r w:rsidR="002178B4" w:rsidRPr="004C1BC2">
        <w:rPr>
          <w:lang w:eastAsia="zh-CN"/>
        </w:rPr>
        <w:t>'</w:t>
      </w:r>
      <w:r w:rsidRPr="004C1BC2">
        <w:rPr>
          <w:lang w:eastAsia="zh-CN"/>
        </w:rPr>
        <w:t xml:space="preserve">audit interne, </w:t>
      </w:r>
      <w:r w:rsidRPr="004C1BC2">
        <w:rPr>
          <w:color w:val="000000"/>
        </w:rPr>
        <w:t>Vérificateur</w:t>
      </w:r>
      <w:r w:rsidR="002178B4" w:rsidRPr="004C1BC2">
        <w:rPr>
          <w:color w:val="000000"/>
        </w:rPr>
        <w:t xml:space="preserve"> </w:t>
      </w:r>
      <w:r w:rsidRPr="004C1BC2">
        <w:rPr>
          <w:lang w:eastAsia="zh-CN"/>
        </w:rPr>
        <w:t>extérieur</w:t>
      </w:r>
      <w:r w:rsidR="002178B4" w:rsidRPr="004C1BC2">
        <w:rPr>
          <w:lang w:eastAsia="zh-CN"/>
        </w:rPr>
        <w:t xml:space="preserve"> </w:t>
      </w:r>
      <w:r w:rsidRPr="004C1BC2">
        <w:rPr>
          <w:lang w:eastAsia="zh-CN"/>
        </w:rPr>
        <w:t>des comptes et CCIG) d'avoir une vision</w:t>
      </w:r>
      <w:r w:rsidR="002178B4" w:rsidRPr="004C1BC2">
        <w:rPr>
          <w:lang w:eastAsia="zh-CN"/>
        </w:rPr>
        <w:t xml:space="preserve"> </w:t>
      </w:r>
      <w:r w:rsidRPr="004C1BC2">
        <w:rPr>
          <w:lang w:eastAsia="zh-CN"/>
        </w:rPr>
        <w:t>claire des recommandations en cours et des risques liés à ces recommandations et de disposer d</w:t>
      </w:r>
      <w:r w:rsidR="002178B4" w:rsidRPr="004C1BC2">
        <w:rPr>
          <w:lang w:eastAsia="zh-CN"/>
        </w:rPr>
        <w:t>'</w:t>
      </w:r>
      <w:r w:rsidRPr="004C1BC2">
        <w:rPr>
          <w:lang w:eastAsia="zh-CN"/>
        </w:rPr>
        <w:t>informations en temps réel ou régulières concernant l'état d'avancement de la mise en œuvre des recommandations ou de l'atténuation des risques résiduels, et d'envoyer des notifications et des rappels automatiques par courrier électronique, le cas échéant.</w:t>
      </w:r>
    </w:p>
    <w:p w14:paraId="3AF98AE1" w14:textId="64DA945D" w:rsidR="005265FE" w:rsidRPr="004C1BC2" w:rsidRDefault="005265FE" w:rsidP="002178B4">
      <w:pPr>
        <w:pStyle w:val="enumlev1"/>
        <w:rPr>
          <w:lang w:eastAsia="zh-CN"/>
        </w:rPr>
      </w:pPr>
      <w:r w:rsidRPr="004C1BC2">
        <w:rPr>
          <w:lang w:eastAsia="zh-CN"/>
        </w:rPr>
        <w:t>10)</w:t>
      </w:r>
      <w:r w:rsidRPr="004C1BC2">
        <w:rPr>
          <w:lang w:eastAsia="zh-CN"/>
        </w:rPr>
        <w:tab/>
        <w:t>Le système et les mesures ci-après sont actuellement mis en œuvre:</w:t>
      </w:r>
    </w:p>
    <w:p w14:paraId="12519B4E" w14:textId="5E05CF19" w:rsidR="005265FE" w:rsidRPr="004C1BC2" w:rsidRDefault="00C4775F" w:rsidP="006C195E">
      <w:pPr>
        <w:pStyle w:val="enumlev2"/>
        <w:rPr>
          <w:lang w:eastAsia="zh-CN"/>
        </w:rPr>
      </w:pPr>
      <w:r w:rsidRPr="004C1BC2">
        <w:rPr>
          <w:lang w:eastAsia="zh-CN"/>
        </w:rPr>
        <w:t>•</w:t>
      </w:r>
      <w:r w:rsidR="005265FE" w:rsidRPr="004C1BC2">
        <w:rPr>
          <w:lang w:eastAsia="zh-CN"/>
        </w:rPr>
        <w:tab/>
        <w:t>Nouveau système de recrutement électronique et nouvelles procédures de mise au concours pour le choix des consultants</w:t>
      </w:r>
    </w:p>
    <w:p w14:paraId="5FBFB056" w14:textId="7651D593" w:rsidR="005265FE" w:rsidRPr="004C1BC2" w:rsidRDefault="00C4775F" w:rsidP="006C195E">
      <w:pPr>
        <w:pStyle w:val="enumlev2"/>
        <w:rPr>
          <w:lang w:eastAsia="zh-CN"/>
        </w:rPr>
      </w:pPr>
      <w:r w:rsidRPr="004C1BC2">
        <w:rPr>
          <w:lang w:eastAsia="zh-CN"/>
        </w:rPr>
        <w:t>•</w:t>
      </w:r>
      <w:r w:rsidR="005265FE" w:rsidRPr="004C1BC2">
        <w:rPr>
          <w:lang w:eastAsia="zh-CN"/>
        </w:rPr>
        <w:tab/>
        <w:t>Amélioration de la gestion et du contrôle concernant le recours à des consultants</w:t>
      </w:r>
    </w:p>
    <w:p w14:paraId="57DCCB80" w14:textId="61BFBE37" w:rsidR="005265FE" w:rsidRPr="004C1BC2" w:rsidRDefault="00C4775F" w:rsidP="006C195E">
      <w:pPr>
        <w:pStyle w:val="enumlev2"/>
        <w:rPr>
          <w:lang w:eastAsia="zh-CN"/>
        </w:rPr>
      </w:pPr>
      <w:r w:rsidRPr="004C1BC2">
        <w:rPr>
          <w:lang w:eastAsia="zh-CN"/>
        </w:rPr>
        <w:t>•</w:t>
      </w:r>
      <w:r w:rsidR="005265FE" w:rsidRPr="004C1BC2">
        <w:rPr>
          <w:lang w:eastAsia="zh-CN"/>
        </w:rPr>
        <w:tab/>
        <w:t>Systèmes informatiques communs pour le BDT</w:t>
      </w:r>
    </w:p>
    <w:p w14:paraId="4C77DBCB" w14:textId="2EB1BF6E" w:rsidR="005265FE" w:rsidRPr="004C1BC2" w:rsidRDefault="00C4775F" w:rsidP="006C195E">
      <w:pPr>
        <w:pStyle w:val="enumlev2"/>
        <w:rPr>
          <w:lang w:eastAsia="zh-CN"/>
        </w:rPr>
      </w:pPr>
      <w:r w:rsidRPr="004C1BC2">
        <w:rPr>
          <w:lang w:eastAsia="zh-CN"/>
        </w:rPr>
        <w:t>•</w:t>
      </w:r>
      <w:r w:rsidR="005265FE" w:rsidRPr="004C1BC2">
        <w:rPr>
          <w:lang w:eastAsia="zh-CN"/>
        </w:rPr>
        <w:tab/>
        <w:t>Cadre de responsabilisation</w:t>
      </w:r>
      <w:r w:rsidR="00B22100">
        <w:rPr>
          <w:lang w:eastAsia="zh-CN"/>
        </w:rPr>
        <w:t>.</w:t>
      </w:r>
    </w:p>
    <w:p w14:paraId="2D37E2F9" w14:textId="1035810F" w:rsidR="005265FE" w:rsidRPr="004C1BC2" w:rsidRDefault="005265FE" w:rsidP="002178B4">
      <w:pPr>
        <w:pStyle w:val="enumlev1"/>
        <w:rPr>
          <w:lang w:eastAsia="zh-CN"/>
        </w:rPr>
      </w:pPr>
      <w:r w:rsidRPr="004C1BC2">
        <w:rPr>
          <w:lang w:eastAsia="zh-CN"/>
        </w:rPr>
        <w:lastRenderedPageBreak/>
        <w:t>11)</w:t>
      </w:r>
      <w:r w:rsidRPr="004C1BC2">
        <w:rPr>
          <w:lang w:eastAsia="zh-CN"/>
        </w:rPr>
        <w:tab/>
        <w:t>S'agissant du cas de fraude au sein du bureau de Bangkok, les sanctions disciplinaires appliquées aux fonctionnaires ayant des responsabilités directes ou indirectes ont été mises en œuvre. Parallèlement, une action en justice a également été engagée</w:t>
      </w:r>
      <w:r w:rsidR="002178B4" w:rsidRPr="004C1BC2">
        <w:rPr>
          <w:lang w:eastAsia="zh-CN"/>
        </w:rPr>
        <w:t xml:space="preserve"> </w:t>
      </w:r>
      <w:r w:rsidRPr="004C1BC2">
        <w:rPr>
          <w:lang w:eastAsia="zh-CN"/>
        </w:rPr>
        <w:t>en Thaïlande, et un cabinet d'avocat a été désigné pour représenter l'UIT.</w:t>
      </w:r>
    </w:p>
    <w:p w14:paraId="540B3755" w14:textId="77777777" w:rsidR="005265FE" w:rsidRPr="004C1BC2" w:rsidRDefault="005265FE" w:rsidP="002178B4">
      <w:pPr>
        <w:pStyle w:val="enumlev1"/>
        <w:rPr>
          <w:lang w:eastAsia="zh-CN"/>
        </w:rPr>
      </w:pPr>
      <w:r w:rsidRPr="004C1BC2">
        <w:rPr>
          <w:lang w:eastAsia="zh-CN"/>
        </w:rPr>
        <w:t>12)</w:t>
      </w:r>
      <w:r w:rsidRPr="004C1BC2">
        <w:rPr>
          <w:lang w:eastAsia="zh-CN"/>
        </w:rPr>
        <w:tab/>
        <w:t>Nous sommes d'avis que l'incidence des différences non ajustées – prises séparément ou ensemble – identifiées au cours de la vérification est négligeable pour ce qui est des états financiers globaux.</w:t>
      </w:r>
    </w:p>
    <w:p w14:paraId="4D569FA7" w14:textId="25C25F98" w:rsidR="005265FE" w:rsidRPr="004C1BC2" w:rsidRDefault="005265FE" w:rsidP="002178B4">
      <w:pPr>
        <w:pStyle w:val="enumlev1"/>
        <w:rPr>
          <w:lang w:eastAsia="zh-CN"/>
        </w:rPr>
      </w:pPr>
      <w:r w:rsidRPr="004C1BC2">
        <w:rPr>
          <w:lang w:eastAsia="zh-CN"/>
        </w:rPr>
        <w:t>13)</w:t>
      </w:r>
      <w:r w:rsidRPr="004C1BC2">
        <w:rPr>
          <w:lang w:eastAsia="zh-CN"/>
        </w:rPr>
        <w:tab/>
      </w:r>
      <w:r w:rsidRPr="004C1BC2">
        <w:rPr>
          <w:b/>
          <w:bCs/>
          <w:lang w:eastAsia="zh-CN"/>
        </w:rPr>
        <w:t xml:space="preserve">Un cas </w:t>
      </w:r>
      <w:r w:rsidRPr="004C1BC2">
        <w:rPr>
          <w:b/>
          <w:bCs/>
          <w:color w:val="000000"/>
        </w:rPr>
        <w:t xml:space="preserve">de présomption </w:t>
      </w:r>
      <w:r w:rsidRPr="004C1BC2">
        <w:rPr>
          <w:b/>
          <w:bCs/>
          <w:lang w:eastAsia="zh-CN"/>
        </w:rPr>
        <w:t>de fraude</w:t>
      </w:r>
      <w:r w:rsidR="002178B4" w:rsidRPr="004C1BC2">
        <w:rPr>
          <w:b/>
          <w:bCs/>
          <w:lang w:eastAsia="zh-CN"/>
        </w:rPr>
        <w:t xml:space="preserve"> </w:t>
      </w:r>
      <w:r w:rsidRPr="004C1BC2">
        <w:rPr>
          <w:b/>
          <w:bCs/>
          <w:lang w:eastAsia="zh-CN"/>
        </w:rPr>
        <w:t>concernant un membr</w:t>
      </w:r>
      <w:r w:rsidR="00E04C91">
        <w:rPr>
          <w:b/>
          <w:bCs/>
          <w:lang w:eastAsia="zh-CN"/>
        </w:rPr>
        <w:t>e du personnel ayant soumis une </w:t>
      </w:r>
      <w:r w:rsidRPr="004C1BC2">
        <w:rPr>
          <w:b/>
          <w:bCs/>
          <w:lang w:eastAsia="zh-CN"/>
        </w:rPr>
        <w:t>demande</w:t>
      </w:r>
      <w:r w:rsidR="002178B4" w:rsidRPr="004C1BC2">
        <w:rPr>
          <w:b/>
          <w:bCs/>
          <w:lang w:eastAsia="zh-CN"/>
        </w:rPr>
        <w:t xml:space="preserve"> </w:t>
      </w:r>
      <w:r w:rsidRPr="004C1BC2">
        <w:rPr>
          <w:b/>
          <w:bCs/>
          <w:lang w:eastAsia="zh-CN"/>
        </w:rPr>
        <w:t>d</w:t>
      </w:r>
      <w:r w:rsidR="002178B4" w:rsidRPr="004C1BC2">
        <w:rPr>
          <w:b/>
          <w:bCs/>
          <w:lang w:eastAsia="zh-CN"/>
        </w:rPr>
        <w:t>'</w:t>
      </w:r>
      <w:r w:rsidRPr="004C1BC2">
        <w:rPr>
          <w:b/>
          <w:bCs/>
          <w:lang w:eastAsia="zh-CN"/>
        </w:rPr>
        <w:t>indemnité pour frais d'études a été identifié au début de 2020</w:t>
      </w:r>
      <w:r w:rsidR="002178B4" w:rsidRPr="004C1BC2">
        <w:rPr>
          <w:b/>
          <w:bCs/>
          <w:lang w:eastAsia="zh-CN"/>
        </w:rPr>
        <w:t xml:space="preserve"> </w:t>
      </w:r>
      <w:r w:rsidRPr="004C1BC2">
        <w:rPr>
          <w:b/>
          <w:bCs/>
          <w:lang w:eastAsia="zh-CN"/>
        </w:rPr>
        <w:t xml:space="preserve">et une enquête interne a été menée à bien en octobre 2020. Conformément au </w:t>
      </w:r>
      <w:r w:rsidRPr="004C1BC2">
        <w:rPr>
          <w:b/>
          <w:bCs/>
          <w:color w:val="000000"/>
        </w:rPr>
        <w:t>paragraphe 9 de l'Article 28</w:t>
      </w:r>
      <w:r w:rsidR="002178B4" w:rsidRPr="004C1BC2">
        <w:rPr>
          <w:b/>
          <w:bCs/>
          <w:lang w:eastAsia="zh-CN"/>
        </w:rPr>
        <w:t xml:space="preserve"> </w:t>
      </w:r>
      <w:r w:rsidRPr="004C1BC2">
        <w:rPr>
          <w:b/>
          <w:bCs/>
          <w:lang w:eastAsia="zh-CN"/>
        </w:rPr>
        <w:t>du Règlement financier et des Règles financières de l'UIT, le Vérificateur extérieur des comptes de l</w:t>
      </w:r>
      <w:r w:rsidR="002178B4" w:rsidRPr="004C1BC2">
        <w:rPr>
          <w:b/>
          <w:bCs/>
          <w:lang w:eastAsia="zh-CN"/>
        </w:rPr>
        <w:t>'</w:t>
      </w:r>
      <w:r w:rsidRPr="004C1BC2">
        <w:rPr>
          <w:b/>
          <w:bCs/>
          <w:lang w:eastAsia="zh-CN"/>
        </w:rPr>
        <w:t>UIT a été informé de ce cas</w:t>
      </w:r>
      <w:bookmarkEnd w:id="343"/>
      <w:r w:rsidRPr="004C1BC2">
        <w:rPr>
          <w:b/>
          <w:bCs/>
          <w:lang w:eastAsia="zh-CN"/>
        </w:rPr>
        <w:t>. À notre connaissance, les comptes annuels donnent une image fidèle de la situation financière au 31 décembre 2020. Nous n'avons pas connaissance d'autres faits susceptibles de jeter un doute important sur la capacité de l'UIT à poursuivre son activité.</w:t>
      </w:r>
    </w:p>
    <w:p w14:paraId="0F37B977" w14:textId="77777777" w:rsidR="005265FE" w:rsidRPr="004C1BC2" w:rsidRDefault="005265FE" w:rsidP="002178B4">
      <w:pPr>
        <w:pStyle w:val="enumlev1"/>
        <w:rPr>
          <w:lang w:eastAsia="zh-CN"/>
        </w:rPr>
      </w:pPr>
      <w:r w:rsidRPr="004C1BC2">
        <w:rPr>
          <w:lang w:eastAsia="zh-CN"/>
        </w:rPr>
        <w:t>14)</w:t>
      </w:r>
      <w:r w:rsidRPr="004C1BC2">
        <w:rPr>
          <w:lang w:eastAsia="zh-CN"/>
        </w:rPr>
        <w:tab/>
      </w:r>
      <w:r w:rsidRPr="004C1BC2">
        <w:rPr>
          <w:b/>
          <w:bCs/>
          <w:lang w:eastAsia="zh-CN"/>
        </w:rPr>
        <w:t xml:space="preserve">Nous confirmons que nous respectons le </w:t>
      </w:r>
      <w:r w:rsidRPr="004C1BC2">
        <w:rPr>
          <w:b/>
          <w:bCs/>
          <w:color w:val="000000"/>
        </w:rPr>
        <w:t xml:space="preserve">Règlement financier et les Règles financières de l'UIT (paragraphe 9 de l'Article 28), selon lesquels </w:t>
      </w:r>
      <w:r w:rsidRPr="004C1BC2">
        <w:rPr>
          <w:b/>
          <w:bCs/>
          <w:i/>
          <w:iCs/>
          <w:color w:val="000000"/>
        </w:rPr>
        <w:t>tout</w:t>
      </w:r>
      <w:r w:rsidRPr="004C1BC2">
        <w:rPr>
          <w:b/>
          <w:bCs/>
          <w:i/>
          <w:iCs/>
          <w:lang w:eastAsia="zh-CN"/>
        </w:rPr>
        <w:t xml:space="preserve"> cas de fraude ou de présomption de fraude </w:t>
      </w:r>
      <w:r w:rsidRPr="004C1BC2">
        <w:rPr>
          <w:b/>
          <w:bCs/>
          <w:i/>
          <w:iCs/>
          <w:color w:val="000000"/>
        </w:rPr>
        <w:t>est soumis sans délai par le Secrétaire général au Vérificateur extérieur des comptes</w:t>
      </w:r>
      <w:r w:rsidRPr="004C1BC2">
        <w:rPr>
          <w:b/>
          <w:bCs/>
          <w:color w:val="000000"/>
        </w:rPr>
        <w:t>.</w:t>
      </w:r>
      <w:r w:rsidRPr="004C1BC2">
        <w:rPr>
          <w:b/>
          <w:bCs/>
          <w:lang w:eastAsia="zh-CN"/>
        </w:rPr>
        <w:t xml:space="preserve"> Nous n'avons pas non plus connaissance d'autres faits susceptibles de jeter un doute important sur la capacité de l'UIT à poursuivre son activité.</w:t>
      </w:r>
    </w:p>
    <w:p w14:paraId="67D2BE01" w14:textId="77777777" w:rsidR="005265FE" w:rsidRPr="004C1BC2" w:rsidRDefault="005265FE" w:rsidP="002178B4">
      <w:pPr>
        <w:pStyle w:val="enumlev1"/>
        <w:rPr>
          <w:color w:val="000000" w:themeColor="text1"/>
        </w:rPr>
      </w:pPr>
      <w:r w:rsidRPr="004C1BC2">
        <w:rPr>
          <w:lang w:eastAsia="zh-CN"/>
        </w:rPr>
        <w:t>15)</w:t>
      </w:r>
      <w:r w:rsidRPr="004C1BC2">
        <w:rPr>
          <w:lang w:eastAsia="zh-CN"/>
        </w:rPr>
        <w:tab/>
        <w:t xml:space="preserve">À cet égard, et en vue de limiter le risque de fraude, une nouvelle procédure de passation de marchés a été élaborée pour des types de cas spécifiques, afin de garantir un niveau de contrôle approprié, ainsi qu'une séparation des tâches entre les fonctions liées aux demandes, à l'approbation du financement et à la passation de marchés. </w:t>
      </w:r>
      <w:r w:rsidRPr="004C1BC2">
        <w:rPr>
          <w:color w:val="000000" w:themeColor="text1"/>
        </w:rPr>
        <w:t>Ces procédures ont été introduites en 2019. En outre, un manuel sur la passation de marchés a été publié en juin 2019, ce qui permet également de renforcer encore la fonction de passation de marchés à l'UIT.</w:t>
      </w:r>
    </w:p>
    <w:p w14:paraId="1AD019E9" w14:textId="77777777" w:rsidR="005265FE" w:rsidRPr="004C1BC2" w:rsidRDefault="005265FE" w:rsidP="002178B4">
      <w:pPr>
        <w:pStyle w:val="enumlev1"/>
        <w:spacing w:after="240"/>
        <w:rPr>
          <w:lang w:eastAsia="zh-CN"/>
        </w:rPr>
      </w:pPr>
      <w:r w:rsidRPr="004C1BC2">
        <w:rPr>
          <w:lang w:eastAsia="zh-CN"/>
        </w:rPr>
        <w:t>16)</w:t>
      </w:r>
      <w:r w:rsidRPr="004C1BC2">
        <w:rPr>
          <w:lang w:eastAsia="zh-CN"/>
        </w:rPr>
        <w:tab/>
        <w:t>Toutes les circonstances ayant une incidence sur les comptes qui se sont produites avant la fin des travaux de vérification extérieure ont été dûment prises en compte dans l'établissement des comptes annuels. Nous ne manquerons pas d'informer immédiatement le Vérificateur extérieur des comptes de l'UIT au cas où des faits nouveaux susceptibles d'avoir une incidence a posteriori sur les comptes annuels serait porté à notre attention d'ici à la date de la prochaine session du Conseil.</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252"/>
      </w:tblGrid>
      <w:tr w:rsidR="00184B79" w:rsidRPr="004C1BC2" w14:paraId="52DB3011" w14:textId="77777777" w:rsidTr="00761B6C">
        <w:tc>
          <w:tcPr>
            <w:tcW w:w="4820" w:type="dxa"/>
          </w:tcPr>
          <w:p w14:paraId="3C1222E1" w14:textId="77777777" w:rsidR="00184B79" w:rsidRPr="004C1BC2" w:rsidRDefault="00184B79" w:rsidP="00184B79">
            <w:pPr>
              <w:pStyle w:val="enumlev1"/>
              <w:spacing w:before="480"/>
              <w:rPr>
                <w:lang w:eastAsia="zh-CN"/>
              </w:rPr>
            </w:pPr>
            <w:r w:rsidRPr="004C1BC2">
              <w:rPr>
                <w:lang w:eastAsia="zh-CN"/>
              </w:rPr>
              <w:t>Signature numérique de M. Alassane Ba</w:t>
            </w:r>
          </w:p>
          <w:p w14:paraId="1ED0EB6E" w14:textId="77777777" w:rsidR="00184B79" w:rsidRPr="004C1BC2" w:rsidRDefault="00184B79" w:rsidP="00184B79">
            <w:pPr>
              <w:pStyle w:val="enumlev1"/>
              <w:spacing w:before="0" w:after="240"/>
              <w:rPr>
                <w:lang w:eastAsia="zh-CN"/>
              </w:rPr>
            </w:pPr>
            <w:r w:rsidRPr="004C1BC2">
              <w:rPr>
                <w:lang w:eastAsia="zh-CN"/>
              </w:rPr>
              <w:t>Date: 15/03/2021</w:t>
            </w:r>
          </w:p>
          <w:p w14:paraId="62E2C3F2" w14:textId="0DE74B28" w:rsidR="00184B79" w:rsidRPr="004C1BC2" w:rsidRDefault="00184B79" w:rsidP="00184B79">
            <w:pPr>
              <w:pStyle w:val="enumlev1"/>
              <w:tabs>
                <w:tab w:val="clear" w:pos="567"/>
                <w:tab w:val="clear" w:pos="1134"/>
                <w:tab w:val="clear" w:pos="1701"/>
                <w:tab w:val="clear" w:pos="2268"/>
                <w:tab w:val="clear" w:pos="2835"/>
                <w:tab w:val="center" w:pos="1730"/>
              </w:tabs>
              <w:spacing w:before="480"/>
              <w:ind w:left="0" w:firstLine="0"/>
              <w:rPr>
                <w:lang w:eastAsia="zh-CN"/>
              </w:rPr>
            </w:pPr>
            <w:r w:rsidRPr="004C1BC2">
              <w:rPr>
                <w:lang w:eastAsia="zh-CN"/>
              </w:rPr>
              <w:t>Alassane Ba</w:t>
            </w:r>
            <w:r w:rsidRPr="004C1BC2">
              <w:rPr>
                <w:lang w:eastAsia="zh-CN"/>
              </w:rPr>
              <w:br/>
            </w:r>
            <w:r w:rsidRPr="004C1BC2">
              <w:rPr>
                <w:szCs w:val="24"/>
              </w:rPr>
              <w:t>Chef</w:t>
            </w:r>
            <w:r w:rsidR="00761B6C">
              <w:rPr>
                <w:szCs w:val="24"/>
              </w:rPr>
              <w:t xml:space="preserve"> du Département de la gestion </w:t>
            </w:r>
            <w:r w:rsidR="00761B6C">
              <w:rPr>
                <w:szCs w:val="24"/>
              </w:rPr>
              <w:br/>
            </w:r>
            <w:r w:rsidRPr="004C1BC2">
              <w:rPr>
                <w:szCs w:val="24"/>
              </w:rPr>
              <w:t>des ressources financières</w:t>
            </w:r>
          </w:p>
        </w:tc>
        <w:tc>
          <w:tcPr>
            <w:tcW w:w="4252" w:type="dxa"/>
          </w:tcPr>
          <w:p w14:paraId="41A6D2C7" w14:textId="77777777" w:rsidR="00184B79" w:rsidRPr="004C1BC2" w:rsidRDefault="00184B79" w:rsidP="00184B79">
            <w:pPr>
              <w:pStyle w:val="enumlev1"/>
              <w:spacing w:before="480"/>
              <w:rPr>
                <w:lang w:eastAsia="zh-CN"/>
              </w:rPr>
            </w:pPr>
            <w:r w:rsidRPr="004C1BC2">
              <w:rPr>
                <w:lang w:eastAsia="zh-CN"/>
              </w:rPr>
              <w:t>Signature numérique de M. Houlin Zhao</w:t>
            </w:r>
          </w:p>
          <w:p w14:paraId="37F0E0C7" w14:textId="77777777" w:rsidR="00184B79" w:rsidRPr="004C1BC2" w:rsidRDefault="00184B79" w:rsidP="00184B79">
            <w:pPr>
              <w:pStyle w:val="enumlev1"/>
              <w:spacing w:before="0" w:after="240"/>
              <w:rPr>
                <w:lang w:eastAsia="zh-CN"/>
              </w:rPr>
            </w:pPr>
            <w:r w:rsidRPr="004C1BC2">
              <w:rPr>
                <w:lang w:eastAsia="zh-CN"/>
              </w:rPr>
              <w:t>Date: 16/03/2021</w:t>
            </w:r>
          </w:p>
          <w:p w14:paraId="3083FF05" w14:textId="60138D12" w:rsidR="00184B79" w:rsidRPr="004C1BC2" w:rsidRDefault="00761B6C" w:rsidP="00184B79">
            <w:pPr>
              <w:pStyle w:val="enumlev1"/>
              <w:tabs>
                <w:tab w:val="clear" w:pos="567"/>
                <w:tab w:val="clear" w:pos="1134"/>
                <w:tab w:val="clear" w:pos="1701"/>
                <w:tab w:val="clear" w:pos="2268"/>
                <w:tab w:val="clear" w:pos="2835"/>
                <w:tab w:val="center" w:pos="1715"/>
              </w:tabs>
              <w:spacing w:before="480" w:after="240"/>
              <w:ind w:left="0" w:firstLine="0"/>
              <w:rPr>
                <w:lang w:eastAsia="zh-CN"/>
              </w:rPr>
            </w:pPr>
            <w:r>
              <w:rPr>
                <w:lang w:eastAsia="zh-CN"/>
              </w:rPr>
              <w:t>Houlin Zhao</w:t>
            </w:r>
            <w:r>
              <w:rPr>
                <w:lang w:eastAsia="zh-CN"/>
              </w:rPr>
              <w:br/>
            </w:r>
            <w:r w:rsidR="00184B79" w:rsidRPr="004C1BC2">
              <w:rPr>
                <w:lang w:eastAsia="zh-CN"/>
              </w:rPr>
              <w:t>Secrétaire général</w:t>
            </w:r>
          </w:p>
        </w:tc>
      </w:tr>
    </w:tbl>
    <w:p w14:paraId="1F6B4D1A" w14:textId="77777777" w:rsidR="005265FE" w:rsidRPr="004C1BC2" w:rsidRDefault="005265FE" w:rsidP="002178B4">
      <w:pPr>
        <w:pStyle w:val="enumlev1"/>
        <w:spacing w:after="840"/>
        <w:rPr>
          <w:lang w:eastAsia="zh-CN"/>
        </w:rPr>
      </w:pPr>
      <w:r w:rsidRPr="004C1BC2">
        <w:rPr>
          <w:lang w:eastAsia="zh-CN"/>
        </w:rPr>
        <w:br w:type="page"/>
      </w:r>
    </w:p>
    <w:p w14:paraId="7279A2C7" w14:textId="77777777" w:rsidR="005265FE" w:rsidRPr="004C1BC2" w:rsidRDefault="005265FE" w:rsidP="002178B4">
      <w:pPr>
        <w:pStyle w:val="Heading1"/>
        <w:tabs>
          <w:tab w:val="left" w:pos="6804"/>
        </w:tabs>
        <w:spacing w:before="240" w:after="120"/>
        <w:jc w:val="center"/>
      </w:pPr>
      <w:bookmarkStart w:id="344" w:name="_Toc358379317"/>
      <w:bookmarkStart w:id="345" w:name="_Toc358379893"/>
      <w:bookmarkStart w:id="346" w:name="_Toc358380434"/>
      <w:bookmarkStart w:id="347" w:name="_Toc387166338"/>
      <w:bookmarkStart w:id="348" w:name="_Toc387167421"/>
      <w:bookmarkStart w:id="349" w:name="_Toc395260901"/>
      <w:bookmarkStart w:id="350" w:name="_Toc395261094"/>
      <w:bookmarkStart w:id="351" w:name="_Toc395511681"/>
      <w:bookmarkStart w:id="352" w:name="_Toc452138594"/>
      <w:bookmarkStart w:id="353" w:name="_Toc452139400"/>
      <w:bookmarkStart w:id="354" w:name="_Toc452139799"/>
      <w:bookmarkStart w:id="355" w:name="_Toc452140386"/>
      <w:bookmarkStart w:id="356" w:name="_Toc452140666"/>
      <w:bookmarkStart w:id="357" w:name="_Toc482801462"/>
      <w:bookmarkStart w:id="358" w:name="_Toc482888029"/>
      <w:bookmarkStart w:id="359" w:name="_Toc482888712"/>
      <w:bookmarkStart w:id="360" w:name="_Toc511649432"/>
      <w:bookmarkStart w:id="361" w:name="_Toc511649804"/>
      <w:bookmarkStart w:id="362" w:name="_Toc511649913"/>
      <w:bookmarkStart w:id="363" w:name="_Toc511650031"/>
      <w:bookmarkStart w:id="364" w:name="_Toc511650524"/>
      <w:bookmarkStart w:id="365" w:name="_Toc511651169"/>
      <w:bookmarkStart w:id="366" w:name="_Toc511724034"/>
      <w:bookmarkStart w:id="367" w:name="_Toc511739023"/>
      <w:bookmarkStart w:id="368" w:name="_Toc511740809"/>
      <w:bookmarkStart w:id="369" w:name="_Toc511741192"/>
      <w:bookmarkStart w:id="370" w:name="_Toc9605686"/>
      <w:bookmarkStart w:id="371" w:name="_Toc10450698"/>
      <w:bookmarkStart w:id="372" w:name="_Toc41566309"/>
      <w:bookmarkStart w:id="373" w:name="_Toc41566596"/>
      <w:bookmarkStart w:id="374" w:name="_Toc41567336"/>
      <w:bookmarkStart w:id="375" w:name="_Toc41567822"/>
      <w:bookmarkStart w:id="376" w:name="_Toc41814928"/>
      <w:bookmarkStart w:id="377" w:name="_Toc73354285"/>
      <w:bookmarkStart w:id="378" w:name="_Toc73354418"/>
      <w:bookmarkStart w:id="379" w:name="_Toc73356373"/>
      <w:r w:rsidRPr="004C1BC2">
        <w:lastRenderedPageBreak/>
        <w:t xml:space="preserve">Déclaration sur le contrôle interne pour </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4C1BC2">
        <w:t>2020</w:t>
      </w:r>
      <w:bookmarkEnd w:id="377"/>
      <w:bookmarkEnd w:id="378"/>
      <w:bookmarkEnd w:id="379"/>
    </w:p>
    <w:p w14:paraId="3F669F4F" w14:textId="77777777" w:rsidR="005265FE" w:rsidRPr="004C1BC2" w:rsidRDefault="005265FE" w:rsidP="002178B4">
      <w:pPr>
        <w:pStyle w:val="Headingb"/>
        <w:spacing w:before="480"/>
      </w:pPr>
      <w:bookmarkStart w:id="380" w:name="_Toc358379894"/>
      <w:bookmarkStart w:id="381" w:name="_Toc358380435"/>
      <w:bookmarkStart w:id="382" w:name="_Toc387167422"/>
      <w:bookmarkStart w:id="383" w:name="_Toc452138595"/>
      <w:bookmarkStart w:id="384" w:name="_Toc452139042"/>
      <w:bookmarkStart w:id="385" w:name="_Toc452139401"/>
      <w:bookmarkStart w:id="386" w:name="_Toc452139800"/>
      <w:bookmarkStart w:id="387" w:name="_Toc452140387"/>
      <w:bookmarkStart w:id="388" w:name="_Toc452140667"/>
      <w:bookmarkStart w:id="389" w:name="_Toc482801463"/>
      <w:bookmarkStart w:id="390" w:name="_Toc482888713"/>
      <w:bookmarkStart w:id="391" w:name="_Toc511649433"/>
      <w:bookmarkStart w:id="392" w:name="_Toc511649805"/>
      <w:bookmarkStart w:id="393" w:name="_Toc511649914"/>
      <w:bookmarkStart w:id="394" w:name="_Toc511650032"/>
      <w:bookmarkStart w:id="395" w:name="_Toc511650525"/>
      <w:bookmarkStart w:id="396" w:name="_Toc511651170"/>
      <w:bookmarkStart w:id="397" w:name="_Toc511724035"/>
      <w:bookmarkStart w:id="398" w:name="_Toc511739024"/>
      <w:bookmarkStart w:id="399" w:name="_Toc511741193"/>
      <w:bookmarkStart w:id="400" w:name="_Toc9605687"/>
      <w:bookmarkStart w:id="401" w:name="_Toc10450699"/>
      <w:bookmarkStart w:id="402" w:name="_Toc41566310"/>
      <w:bookmarkStart w:id="403" w:name="_Toc41814929"/>
      <w:bookmarkStart w:id="404" w:name="_Toc73354286"/>
      <w:bookmarkStart w:id="405" w:name="_Toc73354419"/>
      <w:bookmarkStart w:id="406" w:name="_Toc73356374"/>
      <w:r w:rsidRPr="004C1BC2">
        <w:t>Champ de responsabilité</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5EFA6CA5" w14:textId="77777777" w:rsidR="005265FE" w:rsidRPr="004C1BC2" w:rsidRDefault="005265FE" w:rsidP="002178B4">
      <w:pPr>
        <w:rPr>
          <w:b/>
        </w:rPr>
      </w:pPr>
      <w:r w:rsidRPr="004C1BC2">
        <w:t>En qualité de Secrétaire général de l</w:t>
      </w:r>
      <w:r w:rsidRPr="004C1BC2">
        <w:rPr>
          <w:b/>
        </w:rPr>
        <w:t>'</w:t>
      </w:r>
      <w:r w:rsidRPr="004C1BC2">
        <w:t>Union internationale des télécommunications (UIT), j</w:t>
      </w:r>
      <w:r w:rsidRPr="004C1BC2">
        <w:rPr>
          <w:b/>
        </w:rPr>
        <w:t>'</w:t>
      </w:r>
      <w:r w:rsidRPr="004C1BC2">
        <w:t>agis en tant que représentant légal de l</w:t>
      </w:r>
      <w:r w:rsidRPr="004C1BC2">
        <w:rPr>
          <w:b/>
        </w:rPr>
        <w:t>'</w:t>
      </w:r>
      <w:r w:rsidRPr="004C1BC2">
        <w:t>Union. Je prends toutes les mesures requises pour faire en sorte que les ressources de l</w:t>
      </w:r>
      <w:r w:rsidRPr="004C1BC2">
        <w:rPr>
          <w:b/>
        </w:rPr>
        <w:t>'</w:t>
      </w:r>
      <w:r w:rsidRPr="004C1BC2">
        <w:t>Union soient utilisées avec économie et suis responsable devant le Conseil pour la totalité des aspects administratifs et financiers des activités de l</w:t>
      </w:r>
      <w:r w:rsidRPr="004C1BC2">
        <w:rPr>
          <w:b/>
        </w:rPr>
        <w:t>'</w:t>
      </w:r>
      <w:r w:rsidRPr="004C1BC2">
        <w:t>Union, conformément aux responsabilités qui m'incombent, en application, notamment des dispositions des numéros 73</w:t>
      </w:r>
      <w:r w:rsidRPr="004C1BC2">
        <w:rPr>
          <w:i/>
        </w:rPr>
        <w:t>bis</w:t>
      </w:r>
      <w:r w:rsidRPr="004C1BC2">
        <w:t xml:space="preserve"> et 75 (article 11) de la Constitution et des Articles 1, 10, 16, 28, 29 et 30 des Règles financières et du Règlement financier.</w:t>
      </w:r>
    </w:p>
    <w:p w14:paraId="4826D2B4" w14:textId="77777777" w:rsidR="005265FE" w:rsidRPr="004C1BC2" w:rsidRDefault="005265FE" w:rsidP="002178B4">
      <w:pPr>
        <w:pStyle w:val="Headingb"/>
      </w:pPr>
      <w:bookmarkStart w:id="407" w:name="_Toc387166339"/>
      <w:bookmarkStart w:id="408" w:name="_Toc387166617"/>
      <w:bookmarkStart w:id="409" w:name="_Toc387167423"/>
      <w:bookmarkStart w:id="410" w:name="_Toc395260902"/>
      <w:bookmarkStart w:id="411" w:name="_Toc395511682"/>
      <w:bookmarkStart w:id="412" w:name="_Toc452138596"/>
      <w:bookmarkStart w:id="413" w:name="_Toc452139043"/>
      <w:bookmarkStart w:id="414" w:name="_Toc452139402"/>
      <w:bookmarkStart w:id="415" w:name="_Toc452139801"/>
      <w:bookmarkStart w:id="416" w:name="_Toc452140388"/>
      <w:bookmarkStart w:id="417" w:name="_Toc452140668"/>
      <w:bookmarkStart w:id="418" w:name="_Toc482801464"/>
      <w:bookmarkStart w:id="419" w:name="_Toc482888714"/>
      <w:bookmarkStart w:id="420" w:name="_Toc511649434"/>
      <w:bookmarkStart w:id="421" w:name="_Toc511649806"/>
      <w:bookmarkStart w:id="422" w:name="_Toc511649915"/>
      <w:bookmarkStart w:id="423" w:name="_Toc511650033"/>
      <w:bookmarkStart w:id="424" w:name="_Toc511650526"/>
      <w:bookmarkStart w:id="425" w:name="_Toc511651171"/>
      <w:bookmarkStart w:id="426" w:name="_Toc511724036"/>
      <w:bookmarkStart w:id="427" w:name="_Toc511739025"/>
      <w:bookmarkStart w:id="428" w:name="_Toc511741194"/>
      <w:bookmarkStart w:id="429" w:name="_Toc9605688"/>
      <w:bookmarkStart w:id="430" w:name="_Toc10450700"/>
      <w:bookmarkStart w:id="431" w:name="_Toc41566311"/>
      <w:bookmarkStart w:id="432" w:name="_Toc41814930"/>
      <w:bookmarkStart w:id="433" w:name="_Toc73354287"/>
      <w:bookmarkStart w:id="434" w:name="_Toc73354420"/>
      <w:bookmarkStart w:id="435" w:name="_Toc73356375"/>
      <w:r w:rsidRPr="004C1BC2">
        <w:t>Objet du système de contrôle interne</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46E184A" w14:textId="77777777" w:rsidR="005265FE" w:rsidRPr="004C1BC2" w:rsidRDefault="005265FE" w:rsidP="002178B4">
      <w:r w:rsidRPr="004C1BC2">
        <w:t>Le contrôle interne a pour objet de réduire et gérer, et non de supprimer le risque de ne pas atteindre les buts et objectifs de l'Organisation et de ne pas mettre en œuvre les politiques correspondantes. En conséquence, il ne peut fournir qu'une assurance raisonnable, et non absolue d'efficacité. Il repose sur un processus continu visant à recenser les principaux risques, à en évaluer la nature et la portée, et à les gérer de manière efficiente, efficace et économique. La direction de l'UIT doit mettre en place une série de processus propres à contrôler les activités de l'Union, de manière à donner aux organes directeurs une assurance raisonnable que:</w:t>
      </w:r>
    </w:p>
    <w:p w14:paraId="5EA67AA4" w14:textId="77777777" w:rsidR="005265FE" w:rsidRPr="004C1BC2" w:rsidRDefault="005265FE" w:rsidP="002178B4">
      <w:pPr>
        <w:pStyle w:val="enumlev1"/>
      </w:pPr>
      <w:r w:rsidRPr="004C1BC2">
        <w:t>•</w:t>
      </w:r>
      <w:r w:rsidRPr="004C1BC2">
        <w:tab/>
        <w:t>les plans, les programmes, les buts et les objectifs de l'Organisation sont atteints;</w:t>
      </w:r>
    </w:p>
    <w:p w14:paraId="33BBC26A" w14:textId="77777777" w:rsidR="005265FE" w:rsidRPr="004C1BC2" w:rsidRDefault="005265FE" w:rsidP="002178B4">
      <w:pPr>
        <w:pStyle w:val="enumlev1"/>
      </w:pPr>
      <w:r w:rsidRPr="004C1BC2">
        <w:t>•</w:t>
      </w:r>
      <w:r w:rsidRPr="004C1BC2">
        <w:tab/>
        <w:t>les ressources sont acquises de manière rationnelle et employées de façon rentable; des processus administratifs de qualité et leur amélioration constante sont privilégiés;</w:t>
      </w:r>
    </w:p>
    <w:p w14:paraId="451E385F" w14:textId="77777777" w:rsidR="005265FE" w:rsidRPr="004C1BC2" w:rsidRDefault="005265FE" w:rsidP="002178B4">
      <w:pPr>
        <w:pStyle w:val="enumlev1"/>
      </w:pPr>
      <w:r w:rsidRPr="004C1BC2">
        <w:t>•</w:t>
      </w:r>
      <w:r w:rsidRPr="004C1BC2">
        <w:tab/>
        <w:t>les ressources dont dispose l'Organisation (y compris son personnel, ses systèmes, ses données et informations) sont protégées comme il convient;</w:t>
      </w:r>
    </w:p>
    <w:p w14:paraId="33656283" w14:textId="2007EEC0" w:rsidR="005265FE" w:rsidRPr="004C1BC2" w:rsidRDefault="005265FE" w:rsidP="002178B4">
      <w:pPr>
        <w:pStyle w:val="enumlev1"/>
      </w:pPr>
      <w:r w:rsidRPr="004C1BC2">
        <w:t>•</w:t>
      </w:r>
      <w:r w:rsidRPr="004C1BC2">
        <w:tab/>
        <w:t>les fonctionnaires élus et les fonctionnaires de la catégorie des conseillers supérieurs,</w:t>
      </w:r>
      <w:r w:rsidR="002178B4" w:rsidRPr="004C1BC2">
        <w:t xml:space="preserve"> </w:t>
      </w:r>
      <w:r w:rsidRPr="004C1BC2">
        <w:t>de la catégorie professionnelle et de la catégorie des services généraux agissent conformément aux politiques, normes, plans et procédures de l'Organisation et à toutes les lois, règles et règlements en vigueur;</w:t>
      </w:r>
    </w:p>
    <w:p w14:paraId="538118CD" w14:textId="77777777" w:rsidR="005265FE" w:rsidRPr="004C1BC2" w:rsidRDefault="005265FE" w:rsidP="002178B4">
      <w:pPr>
        <w:pStyle w:val="enumlev1"/>
      </w:pPr>
      <w:r w:rsidRPr="004C1BC2">
        <w:t>•</w:t>
      </w:r>
      <w:r w:rsidRPr="004C1BC2">
        <w:tab/>
        <w:t>les données et informations publiées, qu'elles soient destinées à un usage interne ou externe, sont exactes, fiables et à jour.</w:t>
      </w:r>
    </w:p>
    <w:p w14:paraId="1AA148D1" w14:textId="77777777" w:rsidR="005265FE" w:rsidRPr="004C1BC2" w:rsidRDefault="005265FE" w:rsidP="002178B4">
      <w:r w:rsidRPr="004C1BC2">
        <w:t>La gestion des risques et la gestion des contrôles internes sont des fonctions de la direction et font partie intégrante du processus global de gestion des activités. En conséquence, la direction de l'UIT doit, à tous les niveaux:</w:t>
      </w:r>
    </w:p>
    <w:p w14:paraId="38733352" w14:textId="77777777" w:rsidR="005265FE" w:rsidRPr="004C1BC2" w:rsidRDefault="005265FE" w:rsidP="002178B4">
      <w:pPr>
        <w:pStyle w:val="enumlev1"/>
      </w:pPr>
      <w:r w:rsidRPr="004C1BC2">
        <w:t>•</w:t>
      </w:r>
      <w:r w:rsidRPr="004C1BC2">
        <w:tab/>
        <w:t>identifier et évaluer les risques de perte éventuelle dans la sphère qui relève de sa responsabilité;</w:t>
      </w:r>
    </w:p>
    <w:p w14:paraId="3684AFE0" w14:textId="77777777" w:rsidR="005265FE" w:rsidRPr="004C1BC2" w:rsidRDefault="005265FE" w:rsidP="002178B4">
      <w:pPr>
        <w:pStyle w:val="enumlev1"/>
      </w:pPr>
      <w:r w:rsidRPr="004C1BC2">
        <w:t>•</w:t>
      </w:r>
      <w:r w:rsidRPr="004C1BC2">
        <w:tab/>
        <w:t>définir et proposer des politiques, plans, normes opérationnelles, procédures, systèmes et autres lignes directrices à mettre en œuvre pour réduire au minimum et/ou atténuer les risques associés aux situations exposées qui ont été recensées;</w:t>
      </w:r>
    </w:p>
    <w:p w14:paraId="1B5BEB1C" w14:textId="77777777" w:rsidR="005265FE" w:rsidRPr="004C1BC2" w:rsidRDefault="005265FE" w:rsidP="002178B4">
      <w:pPr>
        <w:pStyle w:val="enumlev1"/>
      </w:pPr>
      <w:r w:rsidRPr="004C1BC2">
        <w:t>•</w:t>
      </w:r>
      <w:r w:rsidRPr="004C1BC2">
        <w:tab/>
        <w:t>établir des processus concrets de contrôle amenant et incitant les employés à s'acquitter de leurs tâches et responsabilités de manière à concourir aux cinq objectifs de contrôle définis dans le paragraphe précédent;</w:t>
      </w:r>
    </w:p>
    <w:p w14:paraId="305756A2" w14:textId="77777777" w:rsidR="005265FE" w:rsidRPr="004C1BC2" w:rsidRDefault="005265FE" w:rsidP="002178B4">
      <w:pPr>
        <w:pStyle w:val="enumlev1"/>
      </w:pPr>
      <w:r w:rsidRPr="004C1BC2">
        <w:t>•</w:t>
      </w:r>
      <w:r w:rsidRPr="004C1BC2">
        <w:tab/>
        <w:t>maintenir l'efficacité des processus de contrôle mis en place et favoriser leur amélioration.</w:t>
      </w:r>
    </w:p>
    <w:p w14:paraId="21A346F1" w14:textId="77777777" w:rsidR="005265FE" w:rsidRPr="004C1BC2" w:rsidRDefault="005265FE" w:rsidP="002178B4">
      <w:pPr>
        <w:pStyle w:val="Headingb"/>
      </w:pPr>
      <w:bookmarkStart w:id="436" w:name="_Toc387166340"/>
      <w:bookmarkStart w:id="437" w:name="_Toc387166618"/>
      <w:bookmarkStart w:id="438" w:name="_Toc387167424"/>
      <w:bookmarkStart w:id="439" w:name="_Toc395260903"/>
      <w:bookmarkStart w:id="440" w:name="_Toc395511683"/>
      <w:bookmarkStart w:id="441" w:name="_Toc452138597"/>
      <w:bookmarkStart w:id="442" w:name="_Toc452139044"/>
      <w:bookmarkStart w:id="443" w:name="_Toc452139403"/>
      <w:bookmarkStart w:id="444" w:name="_Toc452139802"/>
      <w:bookmarkStart w:id="445" w:name="_Toc452140389"/>
      <w:bookmarkStart w:id="446" w:name="_Toc452140669"/>
      <w:bookmarkStart w:id="447" w:name="_Toc482801465"/>
      <w:bookmarkStart w:id="448" w:name="_Toc482888715"/>
      <w:bookmarkStart w:id="449" w:name="_Toc511649435"/>
      <w:bookmarkStart w:id="450" w:name="_Toc511649807"/>
      <w:bookmarkStart w:id="451" w:name="_Toc511649916"/>
      <w:bookmarkStart w:id="452" w:name="_Toc511650034"/>
      <w:bookmarkStart w:id="453" w:name="_Toc511650527"/>
      <w:bookmarkStart w:id="454" w:name="_Toc511651172"/>
      <w:bookmarkStart w:id="455" w:name="_Toc511724037"/>
      <w:bookmarkStart w:id="456" w:name="_Toc511739026"/>
      <w:bookmarkStart w:id="457" w:name="_Toc511741195"/>
      <w:bookmarkStart w:id="458" w:name="_Toc9605689"/>
      <w:bookmarkStart w:id="459" w:name="_Toc10450701"/>
      <w:bookmarkStart w:id="460" w:name="_Toc41566312"/>
      <w:bookmarkStart w:id="461" w:name="_Toc41814931"/>
      <w:bookmarkStart w:id="462" w:name="_Toc73354288"/>
      <w:bookmarkStart w:id="463" w:name="_Toc73354421"/>
      <w:bookmarkStart w:id="464" w:name="_Toc73356376"/>
      <w:r w:rsidRPr="004C1BC2">
        <w:lastRenderedPageBreak/>
        <w:t>Capacité de gérer les risques</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0FE546F9" w14:textId="3F3A22AD" w:rsidR="005265FE" w:rsidRPr="004C1BC2" w:rsidRDefault="005265FE" w:rsidP="002178B4">
      <w:r w:rsidRPr="004C1BC2">
        <w:t>La Direction de l'UIT s'emploie à mettre en œuvre, dans l'ensemble de l'Organisation, un processus de gestion intégrée des risques (GIR) qui fait partie intégrante du système de contrôle interne de l</w:t>
      </w:r>
      <w:r w:rsidR="002178B4" w:rsidRPr="004C1BC2">
        <w:t>'</w:t>
      </w:r>
      <w:r w:rsidRPr="004C1BC2">
        <w:t>Organisation.</w:t>
      </w:r>
    </w:p>
    <w:p w14:paraId="69E07381" w14:textId="77777777" w:rsidR="005265FE" w:rsidRPr="004C1BC2" w:rsidRDefault="005265FE" w:rsidP="002178B4">
      <w:pPr>
        <w:pStyle w:val="enumlev1"/>
      </w:pPr>
      <w:r w:rsidRPr="004C1BC2">
        <w:t>a)</w:t>
      </w:r>
      <w:r w:rsidRPr="004C1BC2">
        <w:tab/>
        <w:t>Le système de contrôle interne repose sur l'utilisation du système SAP de gestion intégrée de l'information qui:</w:t>
      </w:r>
    </w:p>
    <w:p w14:paraId="62BC0CC7" w14:textId="77777777" w:rsidR="005265FE" w:rsidRPr="004C1BC2" w:rsidRDefault="005265FE" w:rsidP="002178B4">
      <w:pPr>
        <w:pStyle w:val="enumlev2"/>
      </w:pPr>
      <w:r w:rsidRPr="004C1BC2">
        <w:t>•</w:t>
      </w:r>
      <w:r w:rsidRPr="004C1BC2">
        <w:tab/>
        <w:t>reflète la structure, les activités et les flux hiérarchiques de l'Organisation;</w:t>
      </w:r>
    </w:p>
    <w:p w14:paraId="6343243A" w14:textId="77777777" w:rsidR="005265FE" w:rsidRPr="004C1BC2" w:rsidRDefault="005265FE" w:rsidP="002178B4">
      <w:pPr>
        <w:pStyle w:val="enumlev2"/>
      </w:pPr>
      <w:r w:rsidRPr="004C1BC2">
        <w:t>•</w:t>
      </w:r>
      <w:r w:rsidRPr="004C1BC2">
        <w:tab/>
        <w:t>met en évidence la répartition des ressources budgétaires allouées à l'organisation, conformément aux textes fondamentaux de l'Union adoptés par la Conférence de plénipotentiaires;</w:t>
      </w:r>
    </w:p>
    <w:p w14:paraId="21D1C187" w14:textId="77777777" w:rsidR="005265FE" w:rsidRPr="004C1BC2" w:rsidRDefault="005265FE" w:rsidP="002178B4">
      <w:pPr>
        <w:pStyle w:val="enumlev2"/>
      </w:pPr>
      <w:r w:rsidRPr="004C1BC2">
        <w:t>•</w:t>
      </w:r>
      <w:r w:rsidRPr="004C1BC2">
        <w:tab/>
        <w:t>permet d'effectuer des contrôles intégrés aux systèmes et d'appliquer le principe des quatre yeux;</w:t>
      </w:r>
    </w:p>
    <w:p w14:paraId="06FA2692" w14:textId="77777777" w:rsidR="005265FE" w:rsidRPr="004C1BC2" w:rsidRDefault="005265FE" w:rsidP="002178B4">
      <w:pPr>
        <w:pStyle w:val="enumlev2"/>
      </w:pPr>
      <w:r w:rsidRPr="004C1BC2">
        <w:t>•</w:t>
      </w:r>
      <w:r w:rsidRPr="004C1BC2">
        <w:tab/>
        <w:t>permet de définir, de suivre et d'évaluer l'utilisation des ressources avec une comptabilité et l'établissement de rapports selon les normes IPSAS, des points réguliers sur la situation et des processus et contrôles documentés de l'approvisionnement.</w:t>
      </w:r>
    </w:p>
    <w:p w14:paraId="45A6704D" w14:textId="77777777" w:rsidR="005265FE" w:rsidRPr="004C1BC2" w:rsidRDefault="005265FE" w:rsidP="002178B4">
      <w:pPr>
        <w:pStyle w:val="enumlev1"/>
      </w:pPr>
      <w:r w:rsidRPr="004C1BC2">
        <w:t>b)</w:t>
      </w:r>
      <w:r w:rsidRPr="004C1BC2">
        <w:tab/>
        <w:t>La fiabilité des rapports financiers de l'UIT et le suivi de l'utilisation des ressources selon les objectifs stratégiques reposent sur le système de gestion intégré de l'information et une stricte maîtrise des engagements de ressources.</w:t>
      </w:r>
    </w:p>
    <w:p w14:paraId="1D2F1BD5" w14:textId="363CDC86" w:rsidR="005265FE" w:rsidRPr="004C1BC2" w:rsidRDefault="005265FE" w:rsidP="002178B4">
      <w:pPr>
        <w:pStyle w:val="enumlev1"/>
        <w:rPr>
          <w:rFonts w:cs="Arial"/>
          <w:szCs w:val="24"/>
        </w:rPr>
      </w:pPr>
      <w:r w:rsidRPr="004C1BC2">
        <w:t>c)</w:t>
      </w:r>
      <w:r w:rsidRPr="004C1BC2">
        <w:tab/>
        <w:t>En outre, la Commission des marchés aide le Secrétaire général à garantir une utilisation efficace des ressources de l'UIT en prenant en considération l'intérêt supérieur de l'Union,</w:t>
      </w:r>
      <w:r w:rsidR="002178B4" w:rsidRPr="004C1BC2">
        <w:t xml:space="preserve"> </w:t>
      </w:r>
      <w:r w:rsidRPr="004C1BC2">
        <w:t>l'Unité des affaires juridiques fournit des conseils au niveau de l'organisation en ce qui concerne les lois, règles et règlements, et le Bureau de l'éthique contribue à la diffusion et à la promotion des politiques de l'UIT en matière de déontologie.</w:t>
      </w:r>
      <w:r w:rsidRPr="004C1BC2">
        <w:rPr>
          <w:rFonts w:cs="Arial"/>
          <w:szCs w:val="24"/>
        </w:rPr>
        <w:t xml:space="preserve"> Dans le cadre de ses activités d'audit, l'Unité de l'audit interne fournit des assurances au Secrétaire général en ce qui concerne la gouvernance de l'organisation, la gestion des risques et l'efficacité des contrôles.</w:t>
      </w:r>
    </w:p>
    <w:p w14:paraId="334B7666" w14:textId="788CAAD1" w:rsidR="005265FE" w:rsidRPr="004C1BC2" w:rsidRDefault="005265FE" w:rsidP="002178B4">
      <w:pPr>
        <w:pStyle w:val="enumlev1"/>
      </w:pPr>
      <w:r w:rsidRPr="004C1BC2">
        <w:t>d)</w:t>
      </w:r>
      <w:r w:rsidRPr="004C1BC2">
        <w:tab/>
        <w:t>La gestion des risques stratégiques est intégrée dans le processus de planification stratégique en vigueur à l'UIT dans la mesure où les risques stratégiques sont identifiés et des mesures d'atténuation sont prises en conséquence. Le cadre de gestion des risques fait partie intégrante du Plan stratégique de l'UIT pour la période 2020-2023 (Résolution 71 (Rév.</w:t>
      </w:r>
      <w:r w:rsidR="00FE0040" w:rsidRPr="004C1BC2">
        <w:t> </w:t>
      </w:r>
      <w:r w:rsidRPr="004C1BC2">
        <w:t>Dubaï, 2018)</w:t>
      </w:r>
      <w:r w:rsidR="00FE0040" w:rsidRPr="004C1BC2">
        <w:t>)</w:t>
      </w:r>
      <w:r w:rsidRPr="004C1BC2">
        <w:t xml:space="preserve"> qui a été approuvé par la Conférence de plénipotentiaires de 2018. Ce cadre de gestion des risques continue d'être défini plus avant grâce à l'élaboration d'une politique de gestion des risques, d'une déclaration sur la gestion des risques institutionnels et d'un registre de gestion des risques stratégiques.</w:t>
      </w:r>
    </w:p>
    <w:p w14:paraId="7109ED7C" w14:textId="77777777" w:rsidR="005265FE" w:rsidRPr="004C1BC2" w:rsidRDefault="005265FE" w:rsidP="002178B4">
      <w:pPr>
        <w:pStyle w:val="enumlev1"/>
      </w:pPr>
      <w:r w:rsidRPr="004C1BC2">
        <w:t>e)</w:t>
      </w:r>
      <w:r w:rsidRPr="004C1BC2">
        <w:tab/>
        <w:t>La gestion des risques opérationnels fait aussi partie des processus de gestion opérationnels de l'UIT. La direction de l'Union, y compris les trois Bureaux et le Secrétariat général passe en revue régulièrement les risques associés à la réalisation des objectifs de chaque entité constitutive de l'organisation et prend les mesures nécessaires pour atténuer ces risques tout en mettant en place les mécanismes de contrôle des risques afin de suivre l'évolution des risques résiduels.</w:t>
      </w:r>
    </w:p>
    <w:p w14:paraId="023A2215" w14:textId="77777777" w:rsidR="005742CA" w:rsidRPr="004C1BC2" w:rsidRDefault="005742CA" w:rsidP="002178B4">
      <w:pPr>
        <w:pStyle w:val="Headingb"/>
      </w:pPr>
      <w:bookmarkStart w:id="465" w:name="_Toc387166341"/>
      <w:bookmarkStart w:id="466" w:name="_Toc387166619"/>
      <w:bookmarkStart w:id="467" w:name="_Toc387167425"/>
      <w:bookmarkStart w:id="468" w:name="_Toc395260904"/>
      <w:bookmarkStart w:id="469" w:name="_Toc395511684"/>
      <w:bookmarkStart w:id="470" w:name="_Toc452138598"/>
      <w:bookmarkStart w:id="471" w:name="_Toc452139045"/>
      <w:bookmarkStart w:id="472" w:name="_Toc452139404"/>
      <w:bookmarkStart w:id="473" w:name="_Toc452139803"/>
      <w:bookmarkStart w:id="474" w:name="_Toc452140390"/>
      <w:bookmarkStart w:id="475" w:name="_Toc452140670"/>
      <w:bookmarkStart w:id="476" w:name="_Toc482801466"/>
      <w:bookmarkStart w:id="477" w:name="_Toc482888716"/>
      <w:bookmarkStart w:id="478" w:name="_Toc511649436"/>
      <w:bookmarkStart w:id="479" w:name="_Toc511649808"/>
      <w:bookmarkStart w:id="480" w:name="_Toc511649917"/>
      <w:bookmarkStart w:id="481" w:name="_Toc511650035"/>
      <w:bookmarkStart w:id="482" w:name="_Toc511650528"/>
      <w:bookmarkStart w:id="483" w:name="_Toc511651173"/>
      <w:bookmarkStart w:id="484" w:name="_Toc511724038"/>
      <w:bookmarkStart w:id="485" w:name="_Toc511739027"/>
      <w:bookmarkStart w:id="486" w:name="_Toc511741196"/>
      <w:bookmarkStart w:id="487" w:name="_Toc9605690"/>
      <w:bookmarkStart w:id="488" w:name="_Toc10450702"/>
      <w:bookmarkStart w:id="489" w:name="_Toc41566313"/>
      <w:bookmarkStart w:id="490" w:name="_Toc41814932"/>
      <w:r w:rsidRPr="004C1BC2">
        <w:br w:type="page"/>
      </w:r>
    </w:p>
    <w:p w14:paraId="24E8A45C" w14:textId="6BF0715E" w:rsidR="005265FE" w:rsidRPr="004C1BC2" w:rsidRDefault="005265FE" w:rsidP="002178B4">
      <w:pPr>
        <w:pStyle w:val="Headingb"/>
      </w:pPr>
      <w:bookmarkStart w:id="491" w:name="_Toc73354289"/>
      <w:bookmarkStart w:id="492" w:name="_Toc73354422"/>
      <w:bookmarkStart w:id="493" w:name="_Toc73356377"/>
      <w:r w:rsidRPr="004C1BC2">
        <w:lastRenderedPageBreak/>
        <w:t>Examen de l'efficacité</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0BF63012" w14:textId="77777777" w:rsidR="005265FE" w:rsidRPr="004C1BC2" w:rsidRDefault="005265FE" w:rsidP="005742CA">
      <w:r w:rsidRPr="004C1BC2">
        <w:t>1</w:t>
      </w:r>
      <w:r w:rsidRPr="004C1BC2">
        <w:tab/>
        <w:t>Mon examen de l'efficacité du système de contrôle interne s'appuie sur le travail réalisé par les hauts responsables de l'UIT, qui sont tenus de définir et de faire appliquer le cadre de contrôle interne dans leurs domaines de responsabilité. J'obtiens les garanties au moyen des lettres de représentation interne signées par les principaux dirigeants et responsables de l'UIT, qui confirment que les exigences suivantes pour l'exercice 2020 ont été respectées</w:t>
      </w:r>
      <w:r w:rsidRPr="004C1BC2">
        <w:rPr>
          <w:rFonts w:cs="Arial"/>
          <w:szCs w:val="24"/>
        </w:rPr>
        <w:t>:</w:t>
      </w:r>
    </w:p>
    <w:p w14:paraId="7E9EE36C" w14:textId="08AED8AA" w:rsidR="005265FE" w:rsidRPr="004C1BC2" w:rsidRDefault="005265FE" w:rsidP="002178B4">
      <w:pPr>
        <w:pStyle w:val="enumlev2"/>
      </w:pPr>
      <w:r w:rsidRPr="004C1BC2">
        <w:t>•</w:t>
      </w:r>
      <w:r w:rsidRPr="004C1BC2">
        <w:tab/>
      </w:r>
      <w:r w:rsidR="00E04C91">
        <w:t>L</w:t>
      </w:r>
      <w:r w:rsidRPr="004C1BC2">
        <w:t>a conformité des engagements ou obligations et des charges avec les crédits budgétaires ou autres dispositions financières approuvées par le Conseil ou avec les buts, règles et dispositions ap</w:t>
      </w:r>
      <w:r w:rsidR="00E04C91">
        <w:t>plicables aux fonds en question.</w:t>
      </w:r>
    </w:p>
    <w:p w14:paraId="3087B1FA" w14:textId="68E83517" w:rsidR="005265FE" w:rsidRPr="004C1BC2" w:rsidRDefault="005265FE" w:rsidP="002178B4">
      <w:pPr>
        <w:pStyle w:val="enumlev2"/>
      </w:pPr>
      <w:r w:rsidRPr="004C1BC2">
        <w:t>•</w:t>
      </w:r>
      <w:r w:rsidRPr="004C1BC2">
        <w:tab/>
      </w:r>
      <w:r w:rsidR="00E04C91">
        <w:t>L</w:t>
      </w:r>
      <w:r w:rsidRPr="004C1BC2">
        <w:t>'emploi efficace, efficient et écono</w:t>
      </w:r>
      <w:r w:rsidR="00E04C91">
        <w:t>mique des ressources de l'Union.</w:t>
      </w:r>
    </w:p>
    <w:p w14:paraId="60C39484" w14:textId="428A7DAF" w:rsidR="005265FE" w:rsidRPr="004C1BC2" w:rsidRDefault="005265FE" w:rsidP="002178B4">
      <w:pPr>
        <w:pStyle w:val="enumlev2"/>
      </w:pPr>
      <w:r w:rsidRPr="004C1BC2">
        <w:t>•</w:t>
      </w:r>
      <w:r w:rsidRPr="004C1BC2">
        <w:tab/>
      </w:r>
      <w:r w:rsidR="00E04C91">
        <w:t>L</w:t>
      </w:r>
      <w:r w:rsidRPr="004C1BC2">
        <w:t xml:space="preserve">a régularité des opérations de réception, de garde et de déboursement de tous les fonds </w:t>
      </w:r>
      <w:r w:rsidR="00E04C91">
        <w:t>et autres ressources de l'Union.</w:t>
      </w:r>
    </w:p>
    <w:p w14:paraId="4A257DD8" w14:textId="7050EDC8" w:rsidR="005265FE" w:rsidRPr="004C1BC2" w:rsidRDefault="005265FE" w:rsidP="002178B4">
      <w:pPr>
        <w:pStyle w:val="enumlev2"/>
      </w:pPr>
      <w:r w:rsidRPr="004C1BC2">
        <w:t>•</w:t>
      </w:r>
      <w:r w:rsidRPr="004C1BC2">
        <w:tab/>
      </w:r>
      <w:r w:rsidR="00E04C91">
        <w:t>L</w:t>
      </w:r>
      <w:r w:rsidRPr="004C1BC2">
        <w:t>'exactitude, l'exhaustivité et la fourniture dans les délais des données financières et autres données administratives.</w:t>
      </w:r>
    </w:p>
    <w:p w14:paraId="1B59A4E8" w14:textId="77777777" w:rsidR="005265FE" w:rsidRPr="004C1BC2" w:rsidRDefault="005265FE" w:rsidP="005742CA">
      <w:r w:rsidRPr="004C1BC2">
        <w:t>2</w:t>
      </w:r>
      <w:r w:rsidRPr="004C1BC2">
        <w:tab/>
        <w:t>Le cadre réglementaire de l'UIT est constitué des textes fondamentaux de l'Union, des règles et règlements, des ordres de service, des notes de service et des circulaires d'information.</w:t>
      </w:r>
    </w:p>
    <w:p w14:paraId="59181F2A" w14:textId="77777777" w:rsidR="005265FE" w:rsidRPr="004C1BC2" w:rsidRDefault="005265FE" w:rsidP="005742CA">
      <w:r w:rsidRPr="004C1BC2">
        <w:t>3</w:t>
      </w:r>
      <w:r w:rsidRPr="004C1BC2">
        <w:tab/>
        <w:t>Tous les systèmes, processus, opérations, fonctions et activités de l'UIT font l'objet d'un audit interne effectué par l'Unité de l'audit interne. Dans le cadre de ses travaux, l'Unité de l'audit interne s'emploie à se conformer aux Normes internationales pour la pratique professionnelle de l'audit interne. J</w:t>
      </w:r>
      <w:r w:rsidRPr="004C1BC2">
        <w:rPr>
          <w:color w:val="000000"/>
        </w:rPr>
        <w:t>e m'appuie sur les travaux d'audit et d'enquête pour obtenir l'assurance que la gouvernance de l'organisation et la gestion des risques sont adéquats et que les contrôles internes sont efficaces</w:t>
      </w:r>
      <w:r w:rsidRPr="004C1BC2">
        <w:t xml:space="preserve">. </w:t>
      </w:r>
    </w:p>
    <w:p w14:paraId="0D7061A8" w14:textId="5D713C68" w:rsidR="005265FE" w:rsidRPr="004C1BC2" w:rsidRDefault="005265FE" w:rsidP="005742CA">
      <w:r w:rsidRPr="004C1BC2">
        <w:t>4</w:t>
      </w:r>
      <w:r w:rsidRPr="004C1BC2">
        <w:tab/>
        <w:t>Un ordre de service sur la Politique de l'UIT en matière de lutte contre les pratiques frauduleuses et autres pratiques prohibées (la "Politique"), publié le 2 mai 2019</w:t>
      </w:r>
      <w:r w:rsidR="002178B4" w:rsidRPr="004C1BC2">
        <w:t>,</w:t>
      </w:r>
      <w:r w:rsidRPr="004C1BC2">
        <w:t xml:space="preserve"> présente les grandes lignes des stratégies et procédures adoptées par l'UIT pour prévenir et détecter des pratiques frauduleuses et autres pratiques prohibées et pour lutter contre ces pratiques. Tout membre du personnel de l'UIT qui dispose d'informations ou d'éléments de preuve de nature à établir une présomption raisonnable de fraude, de corruption ou d'autres pratiques prohibées a le devoir de la ou les signaler et sera protégé contre les éventuelles représailles découlant de tels signalements. </w:t>
      </w:r>
    </w:p>
    <w:p w14:paraId="2B5F23E1" w14:textId="478210D5" w:rsidR="005265FE" w:rsidRPr="004C1BC2" w:rsidRDefault="005265FE" w:rsidP="005742CA">
      <w:r w:rsidRPr="004C1BC2">
        <w:t>5</w:t>
      </w:r>
      <w:r w:rsidRPr="004C1BC2">
        <w:tab/>
        <w:t>Cette Politique s'inscrit dans le cadre de la gestion des risques institutionnels de l'UIT et est mise en œuvre par l'adoption de mesures de prévention et de détection dans tous les processus institutionnels essentiels. Elle traduit l'engagement de l'UIT en faveur du respect des normes les plus strictes en matière d'éthique, de transparence et de responsabilité.</w:t>
      </w:r>
    </w:p>
    <w:p w14:paraId="7BF02AE7" w14:textId="01DF2F26" w:rsidR="005265FE" w:rsidRPr="004C1BC2" w:rsidRDefault="005265FE" w:rsidP="005742CA">
      <w:r w:rsidRPr="004C1BC2">
        <w:t>6</w:t>
      </w:r>
      <w:r w:rsidRPr="004C1BC2">
        <w:tab/>
        <w:t>Un autre ordre de service sur les lignes directrices en matière d'enquête à l'UIT, également publié le 2 mai 2019, contient les procédures à suivre dans la conduite d'une enquête, y compris les mesures visant à éviter toute fuite d'informations confidentielles et à veiller à ce que des mesures soient prises rapidement en</w:t>
      </w:r>
      <w:r w:rsidR="002178B4" w:rsidRPr="004C1BC2">
        <w:t xml:space="preserve"> </w:t>
      </w:r>
      <w:r w:rsidRPr="004C1BC2">
        <w:t>cas de fraude.</w:t>
      </w:r>
    </w:p>
    <w:p w14:paraId="34C1344E" w14:textId="77777777" w:rsidR="00E04C91" w:rsidRDefault="00E04C91" w:rsidP="005742CA">
      <w:r>
        <w:br w:type="page"/>
      </w:r>
    </w:p>
    <w:p w14:paraId="47AADAA6" w14:textId="5234201F" w:rsidR="005265FE" w:rsidRPr="004C1BC2" w:rsidRDefault="005265FE" w:rsidP="005742CA">
      <w:pPr>
        <w:rPr>
          <w:lang w:eastAsia="zh-CN"/>
        </w:rPr>
      </w:pPr>
      <w:r w:rsidRPr="004C1BC2">
        <w:lastRenderedPageBreak/>
        <w:t>7</w:t>
      </w:r>
      <w:r w:rsidRPr="004C1BC2">
        <w:tab/>
      </w:r>
      <w:r w:rsidRPr="004C1BC2">
        <w:rPr>
          <w:lang w:eastAsia="zh-CN"/>
        </w:rPr>
        <w:t>En 2020, le groupe de travail interne a poursuivi ses travaux visant à renforcer les contrôles internes du BDT (au siège et dans les bureaux régionaux/de zone),</w:t>
      </w:r>
      <w:r w:rsidR="002178B4" w:rsidRPr="004C1BC2">
        <w:rPr>
          <w:lang w:eastAsia="zh-CN"/>
        </w:rPr>
        <w:t xml:space="preserve"> </w:t>
      </w:r>
      <w:r w:rsidRPr="004C1BC2">
        <w:rPr>
          <w:color w:val="000000"/>
        </w:rPr>
        <w:t>avec la participation</w:t>
      </w:r>
      <w:r w:rsidRPr="004C1BC2">
        <w:rPr>
          <w:lang w:eastAsia="zh-CN"/>
        </w:rPr>
        <w:t xml:space="preserve"> de toutes les parties prenantes concernées du BDT et des départements du Secrétariat général. Ce groupe est chargé de coordonner l'élaboration et la mise en œuvre d'un plan d'action pour le BDT, et l'UIT en général, et de traiter toutes les premières conclusions et les recommandations de l'Unité de l'audit interne et du Vérificateur extérieur des comptes.</w:t>
      </w:r>
    </w:p>
    <w:p w14:paraId="00930087" w14:textId="77777777" w:rsidR="005265FE" w:rsidRPr="004C1BC2" w:rsidRDefault="005265FE" w:rsidP="005742CA">
      <w:pPr>
        <w:rPr>
          <w:lang w:eastAsia="zh-CN"/>
        </w:rPr>
      </w:pPr>
      <w:r w:rsidRPr="004C1BC2">
        <w:rPr>
          <w:lang w:eastAsia="zh-CN"/>
        </w:rPr>
        <w:t>8</w:t>
      </w:r>
      <w:r w:rsidRPr="004C1BC2">
        <w:rPr>
          <w:lang w:eastAsia="zh-CN"/>
        </w:rPr>
        <w:tab/>
        <w:t>À la fin de 2020, le taux de mise en œuvre de toutes les recommandations connexes formulées par l'Unité de l'audit interne, le Vérificateur extérieur des comptes et le CCIG s'établissait à 80%.</w:t>
      </w:r>
    </w:p>
    <w:p w14:paraId="2287F5F0" w14:textId="771073E5" w:rsidR="005265FE" w:rsidRPr="004C1BC2" w:rsidRDefault="005265FE" w:rsidP="005742CA">
      <w:pPr>
        <w:rPr>
          <w:lang w:eastAsia="zh-CN"/>
        </w:rPr>
      </w:pPr>
      <w:r w:rsidRPr="004C1BC2">
        <w:rPr>
          <w:lang w:eastAsia="zh-CN"/>
        </w:rPr>
        <w:t>9</w:t>
      </w:r>
      <w:r w:rsidRPr="004C1BC2">
        <w:rPr>
          <w:lang w:eastAsia="zh-CN"/>
        </w:rPr>
        <w:tab/>
        <w:t>La direction de l'UIT a décidé, en novembre 2020, de créer un tableau de bord de la conformité organisationnelle comprenant les recommandations du Vérificateur extérieur des comptes, du CCIG, du</w:t>
      </w:r>
      <w:r w:rsidR="002178B4" w:rsidRPr="004C1BC2">
        <w:rPr>
          <w:lang w:eastAsia="zh-CN"/>
        </w:rPr>
        <w:t xml:space="preserve"> </w:t>
      </w:r>
      <w:r w:rsidRPr="004C1BC2">
        <w:rPr>
          <w:lang w:eastAsia="zh-CN"/>
        </w:rPr>
        <w:t>CCI</w:t>
      </w:r>
      <w:r w:rsidR="002178B4" w:rsidRPr="004C1BC2">
        <w:rPr>
          <w:lang w:eastAsia="zh-CN"/>
        </w:rPr>
        <w:t xml:space="preserve"> </w:t>
      </w:r>
      <w:r w:rsidRPr="004C1BC2">
        <w:rPr>
          <w:lang w:eastAsia="zh-CN"/>
        </w:rPr>
        <w:t>et de l'Unité de l'audit interne. Cet outil permet aux</w:t>
      </w:r>
      <w:r w:rsidR="002178B4" w:rsidRPr="004C1BC2">
        <w:rPr>
          <w:lang w:eastAsia="zh-CN"/>
        </w:rPr>
        <w:t xml:space="preserve"> </w:t>
      </w:r>
      <w:r w:rsidRPr="004C1BC2">
        <w:rPr>
          <w:lang w:eastAsia="zh-CN"/>
        </w:rPr>
        <w:t>fonctions de gestion et de contrôle de l'UIT (Unité d'audit interne, Vérificateur extérieur des comptes et CCIG) d'avoir une vision</w:t>
      </w:r>
      <w:r w:rsidR="002178B4" w:rsidRPr="004C1BC2">
        <w:rPr>
          <w:lang w:eastAsia="zh-CN"/>
        </w:rPr>
        <w:t xml:space="preserve"> </w:t>
      </w:r>
      <w:r w:rsidRPr="004C1BC2">
        <w:rPr>
          <w:lang w:eastAsia="zh-CN"/>
        </w:rPr>
        <w:t>claire des recommandations en cours et des risques liés à ces recommandations et de disposer d</w:t>
      </w:r>
      <w:r w:rsidR="002178B4" w:rsidRPr="004C1BC2">
        <w:rPr>
          <w:lang w:eastAsia="zh-CN"/>
        </w:rPr>
        <w:t>'</w:t>
      </w:r>
      <w:r w:rsidRPr="004C1BC2">
        <w:rPr>
          <w:lang w:eastAsia="zh-CN"/>
        </w:rPr>
        <w:t>informations en temps réel</w:t>
      </w:r>
      <w:r w:rsidR="002178B4" w:rsidRPr="004C1BC2">
        <w:rPr>
          <w:lang w:eastAsia="zh-CN"/>
        </w:rPr>
        <w:t xml:space="preserve"> </w:t>
      </w:r>
      <w:r w:rsidRPr="004C1BC2">
        <w:rPr>
          <w:lang w:eastAsia="zh-CN"/>
        </w:rPr>
        <w:t>concernant</w:t>
      </w:r>
      <w:r w:rsidR="002178B4" w:rsidRPr="004C1BC2">
        <w:rPr>
          <w:lang w:eastAsia="zh-CN"/>
        </w:rPr>
        <w:t xml:space="preserve"> </w:t>
      </w:r>
      <w:r w:rsidRPr="004C1BC2">
        <w:rPr>
          <w:lang w:eastAsia="zh-CN"/>
        </w:rPr>
        <w:t>l</w:t>
      </w:r>
      <w:r w:rsidRPr="004C1BC2">
        <w:rPr>
          <w:color w:val="000000"/>
        </w:rPr>
        <w:t>es progrès accomplis concernant</w:t>
      </w:r>
      <w:r w:rsidR="00FE0040" w:rsidRPr="004C1BC2">
        <w:rPr>
          <w:color w:val="000000"/>
        </w:rPr>
        <w:t xml:space="preserve"> </w:t>
      </w:r>
      <w:r w:rsidRPr="004C1BC2">
        <w:rPr>
          <w:lang w:eastAsia="zh-CN"/>
        </w:rPr>
        <w:t>leur</w:t>
      </w:r>
      <w:r w:rsidR="002178B4" w:rsidRPr="004C1BC2">
        <w:rPr>
          <w:lang w:eastAsia="zh-CN"/>
        </w:rPr>
        <w:t xml:space="preserve"> </w:t>
      </w:r>
      <w:r w:rsidRPr="004C1BC2">
        <w:rPr>
          <w:lang w:eastAsia="zh-CN"/>
        </w:rPr>
        <w:t>mise en œuvre</w:t>
      </w:r>
      <w:r w:rsidR="002178B4" w:rsidRPr="004C1BC2">
        <w:rPr>
          <w:lang w:eastAsia="zh-CN"/>
        </w:rPr>
        <w:t xml:space="preserve"> </w:t>
      </w:r>
      <w:r w:rsidRPr="004C1BC2">
        <w:rPr>
          <w:lang w:eastAsia="zh-CN"/>
        </w:rPr>
        <w:t>ou</w:t>
      </w:r>
      <w:r w:rsidR="002178B4" w:rsidRPr="004C1BC2">
        <w:rPr>
          <w:lang w:eastAsia="zh-CN"/>
        </w:rPr>
        <w:t xml:space="preserve"> </w:t>
      </w:r>
      <w:r w:rsidRPr="004C1BC2">
        <w:rPr>
          <w:lang w:eastAsia="zh-CN"/>
        </w:rPr>
        <w:t>l'atténuation des risques résiduels, et d'envoyer des notifications et des rappels automatiques par courrier électronique, le cas échéant.</w:t>
      </w:r>
    </w:p>
    <w:p w14:paraId="54F2C92F" w14:textId="395A6477" w:rsidR="005265FE" w:rsidRPr="004C1BC2" w:rsidRDefault="005265FE" w:rsidP="005742CA">
      <w:pPr>
        <w:rPr>
          <w:lang w:eastAsia="zh-CN"/>
        </w:rPr>
      </w:pPr>
      <w:r w:rsidRPr="004C1BC2">
        <w:rPr>
          <w:lang w:eastAsia="zh-CN"/>
        </w:rPr>
        <w:t>10</w:t>
      </w:r>
      <w:r w:rsidRPr="004C1BC2">
        <w:rPr>
          <w:lang w:eastAsia="zh-CN"/>
        </w:rPr>
        <w:tab/>
        <w:t>Le système et les mesures ci-après sont actuellement mis en œuvre:</w:t>
      </w:r>
    </w:p>
    <w:p w14:paraId="011D02FB" w14:textId="416672FF" w:rsidR="005265FE" w:rsidRPr="004C1BC2" w:rsidRDefault="00FE0040" w:rsidP="002178B4">
      <w:pPr>
        <w:pStyle w:val="enumlev1"/>
        <w:rPr>
          <w:lang w:eastAsia="zh-CN"/>
        </w:rPr>
      </w:pPr>
      <w:r w:rsidRPr="004C1BC2">
        <w:rPr>
          <w:lang w:eastAsia="zh-CN"/>
        </w:rPr>
        <w:t>•</w:t>
      </w:r>
      <w:r w:rsidR="005265FE" w:rsidRPr="004C1BC2">
        <w:rPr>
          <w:lang w:eastAsia="zh-CN"/>
        </w:rPr>
        <w:tab/>
        <w:t>Nouveau système de recrutement électronique et nouvelles procédures de mise au concours pour le choix des consultants</w:t>
      </w:r>
    </w:p>
    <w:p w14:paraId="51080C62" w14:textId="1BB95F94" w:rsidR="005265FE" w:rsidRPr="004C1BC2" w:rsidRDefault="00FE0040" w:rsidP="002178B4">
      <w:pPr>
        <w:pStyle w:val="enumlev1"/>
        <w:rPr>
          <w:lang w:eastAsia="zh-CN"/>
        </w:rPr>
      </w:pPr>
      <w:r w:rsidRPr="004C1BC2">
        <w:rPr>
          <w:lang w:eastAsia="zh-CN"/>
        </w:rPr>
        <w:t>•</w:t>
      </w:r>
      <w:r w:rsidR="005265FE" w:rsidRPr="004C1BC2">
        <w:rPr>
          <w:lang w:eastAsia="zh-CN"/>
        </w:rPr>
        <w:tab/>
        <w:t>Amélioration de la gestion et du contrôle concernant le recours à des consultants</w:t>
      </w:r>
    </w:p>
    <w:p w14:paraId="3CCFE418" w14:textId="28B90373" w:rsidR="005265FE" w:rsidRPr="004C1BC2" w:rsidRDefault="00FE0040" w:rsidP="002178B4">
      <w:pPr>
        <w:pStyle w:val="enumlev1"/>
        <w:rPr>
          <w:lang w:eastAsia="zh-CN"/>
        </w:rPr>
      </w:pPr>
      <w:r w:rsidRPr="004C1BC2">
        <w:rPr>
          <w:lang w:eastAsia="zh-CN"/>
        </w:rPr>
        <w:t>•</w:t>
      </w:r>
      <w:r w:rsidR="005265FE" w:rsidRPr="004C1BC2">
        <w:rPr>
          <w:lang w:eastAsia="zh-CN"/>
        </w:rPr>
        <w:tab/>
        <w:t>Systèmes informatiques communs pour le BDT</w:t>
      </w:r>
    </w:p>
    <w:p w14:paraId="0E6E3F85" w14:textId="6B7C00B3" w:rsidR="005265FE" w:rsidRPr="004C1BC2" w:rsidRDefault="00FE0040" w:rsidP="002178B4">
      <w:pPr>
        <w:pStyle w:val="enumlev1"/>
        <w:rPr>
          <w:lang w:eastAsia="zh-CN"/>
        </w:rPr>
      </w:pPr>
      <w:r w:rsidRPr="004C1BC2">
        <w:rPr>
          <w:lang w:eastAsia="zh-CN"/>
        </w:rPr>
        <w:t>•</w:t>
      </w:r>
      <w:r w:rsidR="005265FE" w:rsidRPr="004C1BC2">
        <w:rPr>
          <w:lang w:eastAsia="zh-CN"/>
        </w:rPr>
        <w:tab/>
        <w:t>Cadre de responsabilisation</w:t>
      </w:r>
      <w:r w:rsidR="00E04C91">
        <w:rPr>
          <w:lang w:eastAsia="zh-CN"/>
        </w:rPr>
        <w:t>.</w:t>
      </w:r>
    </w:p>
    <w:p w14:paraId="368779C7" w14:textId="7E907105" w:rsidR="005265FE" w:rsidRPr="004C1BC2" w:rsidRDefault="005265FE" w:rsidP="005742CA">
      <w:pPr>
        <w:rPr>
          <w:lang w:eastAsia="zh-CN"/>
        </w:rPr>
      </w:pPr>
      <w:r w:rsidRPr="004C1BC2">
        <w:rPr>
          <w:lang w:eastAsia="zh-CN"/>
        </w:rPr>
        <w:t>11</w:t>
      </w:r>
      <w:r w:rsidRPr="004C1BC2">
        <w:rPr>
          <w:lang w:eastAsia="zh-CN"/>
        </w:rPr>
        <w:tab/>
        <w:t>S'agissant du cas de fraude au sein du bureau de Bangkok, les sanctions disciplinaires ont été appliquées. Parallèlement, une action en justice a également été</w:t>
      </w:r>
      <w:r w:rsidR="002178B4" w:rsidRPr="004C1BC2">
        <w:rPr>
          <w:lang w:eastAsia="zh-CN"/>
        </w:rPr>
        <w:t xml:space="preserve"> </w:t>
      </w:r>
      <w:r w:rsidRPr="004C1BC2">
        <w:rPr>
          <w:lang w:eastAsia="zh-CN"/>
        </w:rPr>
        <w:t>engagée</w:t>
      </w:r>
      <w:r w:rsidR="002178B4" w:rsidRPr="004C1BC2">
        <w:rPr>
          <w:lang w:eastAsia="zh-CN"/>
        </w:rPr>
        <w:t xml:space="preserve"> </w:t>
      </w:r>
      <w:r w:rsidRPr="004C1BC2">
        <w:rPr>
          <w:lang w:eastAsia="zh-CN"/>
        </w:rPr>
        <w:t>en Thaïlande et un cabinet d'avocat a été désigné pour représenter l'UIT.</w:t>
      </w:r>
    </w:p>
    <w:p w14:paraId="0657A46F" w14:textId="3AF22CFD" w:rsidR="005265FE" w:rsidRPr="004C1BC2" w:rsidRDefault="005265FE" w:rsidP="005742CA">
      <w:pPr>
        <w:rPr>
          <w:lang w:eastAsia="zh-CN"/>
        </w:rPr>
      </w:pPr>
      <w:r w:rsidRPr="004C1BC2">
        <w:rPr>
          <w:lang w:eastAsia="zh-CN"/>
        </w:rPr>
        <w:t>12</w:t>
      </w:r>
      <w:r w:rsidRPr="004C1BC2">
        <w:rPr>
          <w:lang w:eastAsia="zh-CN"/>
        </w:rPr>
        <w:tab/>
        <w:t>Un cas de présomption de fraude</w:t>
      </w:r>
      <w:r w:rsidR="002178B4" w:rsidRPr="004C1BC2">
        <w:rPr>
          <w:lang w:eastAsia="zh-CN"/>
        </w:rPr>
        <w:t xml:space="preserve"> </w:t>
      </w:r>
      <w:r w:rsidRPr="004C1BC2">
        <w:rPr>
          <w:lang w:eastAsia="zh-CN"/>
        </w:rPr>
        <w:t>concernant un membre du personnel ayant soumis une demande</w:t>
      </w:r>
      <w:r w:rsidR="002178B4" w:rsidRPr="004C1BC2">
        <w:rPr>
          <w:lang w:eastAsia="zh-CN"/>
        </w:rPr>
        <w:t xml:space="preserve"> </w:t>
      </w:r>
      <w:r w:rsidRPr="004C1BC2">
        <w:rPr>
          <w:lang w:eastAsia="zh-CN"/>
        </w:rPr>
        <w:t>d</w:t>
      </w:r>
      <w:r w:rsidR="002178B4" w:rsidRPr="004C1BC2">
        <w:rPr>
          <w:lang w:eastAsia="zh-CN"/>
        </w:rPr>
        <w:t>'</w:t>
      </w:r>
      <w:r w:rsidRPr="004C1BC2">
        <w:rPr>
          <w:lang w:eastAsia="zh-CN"/>
        </w:rPr>
        <w:t>indemnité pour frais d'études a été identifié au début de</w:t>
      </w:r>
      <w:r w:rsidR="002178B4" w:rsidRPr="004C1BC2">
        <w:rPr>
          <w:lang w:eastAsia="zh-CN"/>
        </w:rPr>
        <w:t xml:space="preserve"> </w:t>
      </w:r>
      <w:r w:rsidRPr="004C1BC2">
        <w:rPr>
          <w:lang w:eastAsia="zh-CN"/>
        </w:rPr>
        <w:t>2020. Conformément au paragraphe 9 de l'Article 28</w:t>
      </w:r>
      <w:r w:rsidR="002178B4" w:rsidRPr="004C1BC2">
        <w:rPr>
          <w:lang w:eastAsia="zh-CN"/>
        </w:rPr>
        <w:t xml:space="preserve"> </w:t>
      </w:r>
      <w:r w:rsidRPr="004C1BC2">
        <w:rPr>
          <w:lang w:eastAsia="zh-CN"/>
        </w:rPr>
        <w:t>du Règlement financier et des Règles financières de l'UIT, le Vérificateur extérieur des comptes de l</w:t>
      </w:r>
      <w:r w:rsidR="002178B4" w:rsidRPr="004C1BC2">
        <w:rPr>
          <w:lang w:eastAsia="zh-CN"/>
        </w:rPr>
        <w:t>'</w:t>
      </w:r>
      <w:r w:rsidRPr="004C1BC2">
        <w:rPr>
          <w:lang w:eastAsia="zh-CN"/>
        </w:rPr>
        <w:t>UIT a été informé de ce cas</w:t>
      </w:r>
      <w:r w:rsidR="00FE0040" w:rsidRPr="004C1BC2">
        <w:rPr>
          <w:lang w:eastAsia="zh-CN"/>
        </w:rPr>
        <w:t>.</w:t>
      </w:r>
    </w:p>
    <w:p w14:paraId="6B4BE155" w14:textId="77B4B807" w:rsidR="005265FE" w:rsidRPr="004C1BC2" w:rsidRDefault="005265FE" w:rsidP="005742CA">
      <w:r w:rsidRPr="004C1BC2">
        <w:t>13</w:t>
      </w:r>
      <w:r w:rsidRPr="004C1BC2">
        <w:tab/>
        <w:t>Par ailleurs, je reçois les rapports du Vérificateur extérieur des comptes de l'UIT, qui contiennent des recommandations concernant les questions de contrôle interne. Toutes les recommandations formulées par le Vérificateur extérieur des comptes de l'UIT sont prises en considération et des plans d'action sont établis selon qu'il convient en vue d'éliminer tout éventuel point faible constaté, dans un souci d'amélioration constante. Le Groupe de travail du Conseil sur les ressources financières et les ressources humaines (GTC-FHR) assure le suivi des mesures prises par la direction en application des recommandations du Vérificateur extérieur des comptes de l'UIT.</w:t>
      </w:r>
    </w:p>
    <w:p w14:paraId="59105DC2" w14:textId="77777777" w:rsidR="005265FE" w:rsidRPr="004C1BC2" w:rsidRDefault="005265FE" w:rsidP="005742CA">
      <w:r w:rsidRPr="004C1BC2">
        <w:t>14</w:t>
      </w:r>
      <w:r w:rsidRPr="004C1BC2">
        <w:tab/>
        <w:t xml:space="preserve">J'ai pris note des conclusions de l'auditeur interne relatives à la nécessité d'améliorer la gouvernance et la gestion des risques de certains des processus ayant été révisés et de rendre les contrôles plus efficaces dans les divers domaines contrôlés. Des mesures ont été prises et continueront d'être prises pour renforcer les contrôles internes et réduire les risques. </w:t>
      </w:r>
    </w:p>
    <w:p w14:paraId="63E9BA42" w14:textId="77777777" w:rsidR="005265FE" w:rsidRPr="004C1BC2" w:rsidRDefault="005265FE" w:rsidP="005742CA">
      <w:r w:rsidRPr="004C1BC2">
        <w:lastRenderedPageBreak/>
        <w:t>15</w:t>
      </w:r>
      <w:r w:rsidRPr="004C1BC2">
        <w:tab/>
        <w:t>Je bénéficie en outre des avis du Comité consultatif indépendant pour les questions de gestion (CCIG), qui exerce des fonctions consultatives spécialisées et aide le Conseil ainsi que le Secrétaire général à s'acquitter de leurs responsabilités en matière de gouvernance, et notamment à assurer l'efficacité des systèmes de contrôle interne, des procédures de gestion des risques et des procédures de gouvernance de l'UIT.</w:t>
      </w:r>
    </w:p>
    <w:p w14:paraId="189B6D91" w14:textId="77777777" w:rsidR="005265FE" w:rsidRPr="004C1BC2" w:rsidRDefault="005265FE" w:rsidP="002178B4">
      <w:pPr>
        <w:pStyle w:val="Headingb"/>
        <w:spacing w:before="120"/>
      </w:pPr>
      <w:bookmarkStart w:id="494" w:name="_Toc387166343"/>
      <w:bookmarkStart w:id="495" w:name="_Toc387166621"/>
      <w:bookmarkStart w:id="496" w:name="_Toc387167427"/>
      <w:bookmarkStart w:id="497" w:name="_Toc395260906"/>
      <w:bookmarkStart w:id="498" w:name="_Toc395511686"/>
      <w:bookmarkStart w:id="499" w:name="_Toc452138600"/>
      <w:bookmarkStart w:id="500" w:name="_Toc452139047"/>
      <w:bookmarkStart w:id="501" w:name="_Toc452139406"/>
      <w:bookmarkStart w:id="502" w:name="_Toc452139805"/>
      <w:bookmarkStart w:id="503" w:name="_Toc452140392"/>
      <w:bookmarkStart w:id="504" w:name="_Toc452140672"/>
      <w:bookmarkStart w:id="505" w:name="_Toc482801468"/>
      <w:bookmarkStart w:id="506" w:name="_Toc482888718"/>
      <w:bookmarkStart w:id="507" w:name="_Toc511649438"/>
      <w:bookmarkStart w:id="508" w:name="_Toc511649810"/>
      <w:bookmarkStart w:id="509" w:name="_Toc511649919"/>
      <w:bookmarkStart w:id="510" w:name="_Toc511650037"/>
      <w:bookmarkStart w:id="511" w:name="_Toc511650530"/>
      <w:bookmarkStart w:id="512" w:name="_Toc511651175"/>
      <w:bookmarkStart w:id="513" w:name="_Toc511724040"/>
      <w:bookmarkStart w:id="514" w:name="_Toc511739029"/>
      <w:bookmarkStart w:id="515" w:name="_Toc511741198"/>
      <w:bookmarkStart w:id="516" w:name="_Toc9605692"/>
      <w:bookmarkStart w:id="517" w:name="_Toc10450704"/>
      <w:bookmarkStart w:id="518" w:name="_Toc41566315"/>
      <w:bookmarkStart w:id="519" w:name="_Toc41814934"/>
      <w:bookmarkStart w:id="520" w:name="_Toc73354290"/>
      <w:bookmarkStart w:id="521" w:name="_Toc73354423"/>
      <w:bookmarkStart w:id="522" w:name="_Toc73356378"/>
      <w:r w:rsidRPr="004C1BC2">
        <w:t>Déclaration</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1DC70342" w14:textId="77777777" w:rsidR="005265FE" w:rsidRPr="004C1BC2" w:rsidRDefault="005265FE" w:rsidP="00FE0040">
      <w:pPr>
        <w:rPr>
          <w:rFonts w:eastAsia="SimSun"/>
          <w:lang w:eastAsia="zh-CN"/>
        </w:rPr>
      </w:pPr>
      <w:r w:rsidRPr="004C1BC2">
        <w:rPr>
          <w:rFonts w:eastAsia="SimSun"/>
          <w:lang w:eastAsia="zh-CN"/>
        </w:rPr>
        <w:t>Je m'engage à garantir une amélioration continue du système de contrôle interne. Aussi bien conçu et efficace soit-il, le contrôle interne souffre intrinsèquement de limites, compte tenu notamment de la possibilité de le contourner. Il ne peut donc offrir qu'une assurance raisonnable d'efficacité, et pas une assurance absolue. En outre, la situation pouvant évoluer, l'efficacité du contrôle interne peut varier dans le temps.</w:t>
      </w:r>
    </w:p>
    <w:p w14:paraId="76D4BB90" w14:textId="3F8CF3AD" w:rsidR="005265FE" w:rsidRPr="004C1BC2" w:rsidRDefault="005265FE" w:rsidP="00FE0040">
      <w:pPr>
        <w:rPr>
          <w:b/>
          <w:bCs/>
        </w:rPr>
      </w:pPr>
      <w:r w:rsidRPr="004C1BC2">
        <w:rPr>
          <w:b/>
          <w:bCs/>
        </w:rPr>
        <w:t>La direction s'efforce de remédier aux insuffisances qui ont été constatées dans les contrôles internes pendant les activités courantes de l'UIT ou qui ont été identifiées dans les observations relatives à la supervision, essentiellement à travers la procédure de suivi mise en place l'an dernier pour la mise en œuvre des recommandations relatives au contrôle. Sur cette base, je conclus que l'Union disposait d'un système efficace de contrôle interne pour l'exercice clos le 31 décembre 2020 et jusqu'à la date de l'approbation des états financiers.</w:t>
      </w:r>
    </w:p>
    <w:p w14:paraId="4B68F738" w14:textId="5C1BC89D" w:rsidR="005265FE" w:rsidRPr="004C1BC2" w:rsidRDefault="00FE0040" w:rsidP="00026610">
      <w:pPr>
        <w:tabs>
          <w:tab w:val="clear" w:pos="567"/>
          <w:tab w:val="clear" w:pos="1134"/>
          <w:tab w:val="clear" w:pos="1701"/>
          <w:tab w:val="clear" w:pos="2268"/>
          <w:tab w:val="clear" w:pos="2835"/>
          <w:tab w:val="left" w:pos="5245"/>
        </w:tabs>
        <w:spacing w:before="480"/>
        <w:rPr>
          <w:lang w:eastAsia="zh-CN"/>
        </w:rPr>
      </w:pPr>
      <w:r w:rsidRPr="004C1BC2">
        <w:rPr>
          <w:lang w:eastAsia="zh-CN"/>
        </w:rPr>
        <w:tab/>
      </w:r>
      <w:r w:rsidR="005265FE" w:rsidRPr="004C1BC2">
        <w:rPr>
          <w:lang w:eastAsia="zh-CN"/>
        </w:rPr>
        <w:t>Signature numérique de M. Houlin Zhao</w:t>
      </w:r>
    </w:p>
    <w:p w14:paraId="14E10ADE" w14:textId="0A0340B0" w:rsidR="005265FE" w:rsidRPr="004C1BC2" w:rsidRDefault="00FE0040" w:rsidP="00026610">
      <w:pPr>
        <w:tabs>
          <w:tab w:val="clear" w:pos="567"/>
          <w:tab w:val="clear" w:pos="1134"/>
          <w:tab w:val="clear" w:pos="1701"/>
          <w:tab w:val="clear" w:pos="2268"/>
          <w:tab w:val="clear" w:pos="2835"/>
          <w:tab w:val="left" w:pos="5245"/>
        </w:tabs>
        <w:spacing w:before="0" w:after="480"/>
        <w:rPr>
          <w:lang w:eastAsia="zh-CN"/>
        </w:rPr>
      </w:pPr>
      <w:r w:rsidRPr="004C1BC2">
        <w:rPr>
          <w:lang w:eastAsia="zh-CN"/>
        </w:rPr>
        <w:tab/>
      </w:r>
      <w:r w:rsidR="005265FE" w:rsidRPr="004C1BC2">
        <w:rPr>
          <w:lang w:eastAsia="zh-CN"/>
        </w:rPr>
        <w:t>Date: 16/03/2021</w:t>
      </w:r>
    </w:p>
    <w:p w14:paraId="0A0AFC8A" w14:textId="77777777" w:rsidR="00026610" w:rsidRPr="004C1BC2" w:rsidRDefault="00FE0040" w:rsidP="00026610">
      <w:pPr>
        <w:tabs>
          <w:tab w:val="clear" w:pos="567"/>
          <w:tab w:val="clear" w:pos="1134"/>
          <w:tab w:val="clear" w:pos="1701"/>
          <w:tab w:val="clear" w:pos="2268"/>
          <w:tab w:val="clear" w:pos="2835"/>
          <w:tab w:val="center" w:pos="6804"/>
        </w:tabs>
        <w:spacing w:before="480"/>
        <w:rPr>
          <w:lang w:eastAsia="zh-CN"/>
        </w:rPr>
      </w:pPr>
      <w:r w:rsidRPr="004C1BC2">
        <w:rPr>
          <w:lang w:eastAsia="zh-CN"/>
        </w:rPr>
        <w:tab/>
        <w:t>Houlin Zhao</w:t>
      </w:r>
      <w:r w:rsidRPr="004C1BC2">
        <w:rPr>
          <w:lang w:eastAsia="zh-CN"/>
        </w:rPr>
        <w:br/>
      </w:r>
      <w:r w:rsidRPr="004C1BC2">
        <w:rPr>
          <w:lang w:eastAsia="zh-CN"/>
        </w:rPr>
        <w:tab/>
        <w:t>Secrétaire général de l'UIT</w:t>
      </w:r>
    </w:p>
    <w:p w14:paraId="186AB33A" w14:textId="1FF8B527" w:rsidR="005265FE" w:rsidRPr="004C1BC2" w:rsidRDefault="00026610" w:rsidP="00026610">
      <w:pPr>
        <w:tabs>
          <w:tab w:val="clear" w:pos="567"/>
          <w:tab w:val="clear" w:pos="1134"/>
          <w:tab w:val="clear" w:pos="1701"/>
          <w:tab w:val="clear" w:pos="2268"/>
          <w:tab w:val="clear" w:pos="2835"/>
          <w:tab w:val="center" w:pos="6804"/>
        </w:tabs>
        <w:spacing w:before="480"/>
        <w:rPr>
          <w:lang w:eastAsia="zh-CN"/>
        </w:rPr>
      </w:pPr>
      <w:r w:rsidRPr="004C1BC2">
        <w:rPr>
          <w:lang w:eastAsia="zh-CN"/>
        </w:rPr>
        <w:tab/>
      </w:r>
      <w:r w:rsidR="00FE0040" w:rsidRPr="004C1BC2">
        <w:rPr>
          <w:lang w:eastAsia="zh-CN"/>
        </w:rPr>
        <w:t>Genève, le 15 mars 2021</w:t>
      </w:r>
    </w:p>
    <w:p w14:paraId="234A6D3D" w14:textId="2F8179DD" w:rsidR="00026610" w:rsidRPr="004C1BC2" w:rsidRDefault="00026610" w:rsidP="00026610">
      <w:pPr>
        <w:tabs>
          <w:tab w:val="clear" w:pos="567"/>
          <w:tab w:val="clear" w:pos="1134"/>
          <w:tab w:val="clear" w:pos="1701"/>
          <w:tab w:val="clear" w:pos="2268"/>
          <w:tab w:val="clear" w:pos="2835"/>
          <w:tab w:val="center" w:pos="6804"/>
        </w:tabs>
        <w:spacing w:before="480"/>
        <w:rPr>
          <w:lang w:eastAsia="zh-CN"/>
        </w:rPr>
      </w:pPr>
      <w:r w:rsidRPr="004C1BC2">
        <w:rPr>
          <w:lang w:eastAsia="zh-CN"/>
        </w:rPr>
        <w:br w:type="page"/>
      </w:r>
    </w:p>
    <w:p w14:paraId="506A83F9" w14:textId="5E413EC4" w:rsidR="005265FE" w:rsidRPr="004C1BC2" w:rsidRDefault="005265FE" w:rsidP="002178B4">
      <w:pPr>
        <w:pStyle w:val="Heading1"/>
        <w:spacing w:before="1440"/>
        <w:jc w:val="center"/>
        <w:rPr>
          <w:color w:val="000000"/>
        </w:rPr>
      </w:pPr>
      <w:bookmarkStart w:id="523" w:name="_Toc452139407"/>
      <w:bookmarkStart w:id="524" w:name="_Toc452139806"/>
      <w:bookmarkStart w:id="525" w:name="_Toc452140393"/>
      <w:bookmarkStart w:id="526" w:name="_Toc452140673"/>
      <w:bookmarkStart w:id="527" w:name="_Toc482801469"/>
      <w:bookmarkStart w:id="528" w:name="_Toc482888719"/>
      <w:bookmarkStart w:id="529" w:name="_Toc511649439"/>
      <w:bookmarkStart w:id="530" w:name="_Toc511649811"/>
      <w:bookmarkStart w:id="531" w:name="_Toc511649920"/>
      <w:bookmarkStart w:id="532" w:name="_Toc511650038"/>
      <w:bookmarkStart w:id="533" w:name="_Toc511650531"/>
      <w:bookmarkStart w:id="534" w:name="_Toc511651176"/>
      <w:bookmarkStart w:id="535" w:name="_Toc511724041"/>
      <w:bookmarkStart w:id="536" w:name="_Toc511739030"/>
      <w:bookmarkStart w:id="537" w:name="_Toc511740810"/>
      <w:bookmarkStart w:id="538" w:name="_Toc511741199"/>
      <w:bookmarkStart w:id="539" w:name="_Toc73354291"/>
      <w:bookmarkStart w:id="540" w:name="_Toc73354424"/>
      <w:bookmarkStart w:id="541" w:name="_Toc73356379"/>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4C1BC2">
        <w:rPr>
          <w:color w:val="000000"/>
        </w:rPr>
        <w:lastRenderedPageBreak/>
        <w:t>Certification des états financiers pour l'année s'arrêtant au 31 décembre 2020</w:t>
      </w:r>
      <w:bookmarkEnd w:id="539"/>
      <w:bookmarkEnd w:id="540"/>
      <w:bookmarkEnd w:id="541"/>
    </w:p>
    <w:p w14:paraId="2155C160" w14:textId="1C57C610" w:rsidR="005265FE" w:rsidRPr="004C1BC2" w:rsidRDefault="00026610" w:rsidP="00026610">
      <w:pPr>
        <w:spacing w:before="240" w:after="240"/>
        <w:jc w:val="center"/>
        <w:rPr>
          <w:b/>
          <w:bCs/>
          <w:color w:val="000000"/>
        </w:rPr>
      </w:pPr>
      <w:r w:rsidRPr="004C1BC2">
        <w:rPr>
          <w:b/>
          <w:bCs/>
          <w:color w:val="000000"/>
        </w:rPr>
        <w:t>UNION INTERNATIONALE DES TÉLÉCOMMUNICATIONS, GENÈVE</w:t>
      </w:r>
    </w:p>
    <w:p w14:paraId="73D8D76F" w14:textId="677D5A1B" w:rsidR="005265FE" w:rsidRPr="004C1BC2" w:rsidRDefault="005265FE" w:rsidP="002178B4">
      <w:pPr>
        <w:rPr>
          <w:color w:val="000000"/>
        </w:rPr>
      </w:pPr>
      <w:r w:rsidRPr="004C1BC2">
        <w:rPr>
          <w:color w:val="000000"/>
        </w:rPr>
        <w:t>Conformément à l'Article 30 du Règlement financier, les comptes et les états financiers de l'Union internationale des télécommunications ont été établis et tenus conformément aux normes IPSAS.</w:t>
      </w:r>
      <w:r w:rsidR="00026610" w:rsidRPr="004C1BC2">
        <w:rPr>
          <w:color w:val="000000"/>
        </w:rPr>
        <w:t xml:space="preserve"> </w:t>
      </w:r>
      <w:r w:rsidRPr="004C1BC2">
        <w:rPr>
          <w:color w:val="000000"/>
        </w:rPr>
        <w:t>Les états financiers pour l'année s'arrêtant au 31 décembre 2020 ainsi que les notes relatives à ces états financiers et les annexes pertinentes ont été examinés et sont approuvés.</w:t>
      </w:r>
    </w:p>
    <w:p w14:paraId="60CDB26F" w14:textId="65B108DF" w:rsidR="005265FE" w:rsidRPr="004C1BC2" w:rsidRDefault="005265FE" w:rsidP="005742CA">
      <w:pPr>
        <w:spacing w:before="360" w:after="480"/>
        <w:rPr>
          <w:color w:val="000000"/>
        </w:rPr>
      </w:pPr>
      <w:r w:rsidRPr="004C1BC2">
        <w:rPr>
          <w:color w:val="000000"/>
        </w:rPr>
        <w:t>Le 15 mars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13"/>
        <w:gridCol w:w="4526"/>
      </w:tblGrid>
      <w:tr w:rsidR="00026610" w:rsidRPr="004C1BC2" w14:paraId="1CD89B27" w14:textId="77777777" w:rsidTr="00E04C91">
        <w:tc>
          <w:tcPr>
            <w:tcW w:w="5113" w:type="dxa"/>
          </w:tcPr>
          <w:p w14:paraId="61427C15" w14:textId="77777777" w:rsidR="00026610" w:rsidRPr="004C1BC2" w:rsidRDefault="00026610" w:rsidP="00761B6C">
            <w:pPr>
              <w:pStyle w:val="enumlev1"/>
              <w:spacing w:before="480"/>
              <w:rPr>
                <w:lang w:eastAsia="zh-CN"/>
              </w:rPr>
            </w:pPr>
            <w:r w:rsidRPr="004C1BC2">
              <w:rPr>
                <w:lang w:eastAsia="zh-CN"/>
              </w:rPr>
              <w:t>Signature numérique de M. Alassane Ba</w:t>
            </w:r>
          </w:p>
          <w:p w14:paraId="4E9F1EA6" w14:textId="66EADEC6" w:rsidR="00026610" w:rsidRPr="004C1BC2" w:rsidRDefault="00026610" w:rsidP="00761B6C">
            <w:pPr>
              <w:pStyle w:val="enumlev1"/>
              <w:spacing w:before="0" w:after="240"/>
              <w:rPr>
                <w:lang w:eastAsia="zh-CN"/>
              </w:rPr>
            </w:pPr>
            <w:r w:rsidRPr="004C1BC2">
              <w:rPr>
                <w:lang w:eastAsia="zh-CN"/>
              </w:rPr>
              <w:t>Date: 16/03/2021</w:t>
            </w:r>
          </w:p>
          <w:p w14:paraId="4967AB28" w14:textId="33C6A904" w:rsidR="00026610" w:rsidRPr="004C1BC2" w:rsidRDefault="00026610" w:rsidP="00761B6C">
            <w:pPr>
              <w:pStyle w:val="enumlev1"/>
              <w:tabs>
                <w:tab w:val="clear" w:pos="567"/>
                <w:tab w:val="clear" w:pos="1134"/>
                <w:tab w:val="clear" w:pos="1701"/>
                <w:tab w:val="clear" w:pos="2268"/>
                <w:tab w:val="clear" w:pos="2835"/>
                <w:tab w:val="center" w:pos="1730"/>
              </w:tabs>
              <w:spacing w:before="480"/>
              <w:ind w:left="0" w:firstLine="0"/>
              <w:rPr>
                <w:lang w:eastAsia="zh-CN"/>
              </w:rPr>
            </w:pPr>
            <w:r w:rsidRPr="004C1BC2">
              <w:rPr>
                <w:lang w:eastAsia="zh-CN"/>
              </w:rPr>
              <w:t>Alassane Ba</w:t>
            </w:r>
            <w:r w:rsidRPr="004C1BC2">
              <w:rPr>
                <w:lang w:eastAsia="zh-CN"/>
              </w:rPr>
              <w:br/>
            </w:r>
            <w:r w:rsidRPr="004C1BC2">
              <w:rPr>
                <w:szCs w:val="24"/>
              </w:rPr>
              <w:t>Chef</w:t>
            </w:r>
            <w:r w:rsidR="00761B6C">
              <w:rPr>
                <w:szCs w:val="24"/>
              </w:rPr>
              <w:t xml:space="preserve"> du Département de la gestion </w:t>
            </w:r>
            <w:r w:rsidR="00761B6C">
              <w:rPr>
                <w:szCs w:val="24"/>
              </w:rPr>
              <w:br/>
            </w:r>
            <w:r w:rsidRPr="004C1BC2">
              <w:rPr>
                <w:szCs w:val="24"/>
              </w:rPr>
              <w:t>des ressources financières</w:t>
            </w:r>
          </w:p>
        </w:tc>
        <w:tc>
          <w:tcPr>
            <w:tcW w:w="4526" w:type="dxa"/>
          </w:tcPr>
          <w:p w14:paraId="291E0A1B" w14:textId="77777777" w:rsidR="00026610" w:rsidRPr="004C1BC2" w:rsidRDefault="00026610" w:rsidP="00761B6C">
            <w:pPr>
              <w:pStyle w:val="enumlev1"/>
              <w:spacing w:before="480"/>
              <w:rPr>
                <w:lang w:eastAsia="zh-CN"/>
              </w:rPr>
            </w:pPr>
            <w:r w:rsidRPr="004C1BC2">
              <w:rPr>
                <w:lang w:eastAsia="zh-CN"/>
              </w:rPr>
              <w:t>Signature numérique de M. Houlin Zhao</w:t>
            </w:r>
          </w:p>
          <w:p w14:paraId="007668DB" w14:textId="77777777" w:rsidR="00026610" w:rsidRPr="004C1BC2" w:rsidRDefault="00026610" w:rsidP="00761B6C">
            <w:pPr>
              <w:pStyle w:val="enumlev1"/>
              <w:spacing w:before="0" w:after="240"/>
              <w:rPr>
                <w:lang w:eastAsia="zh-CN"/>
              </w:rPr>
            </w:pPr>
            <w:r w:rsidRPr="004C1BC2">
              <w:rPr>
                <w:lang w:eastAsia="zh-CN"/>
              </w:rPr>
              <w:t>Date: 16/03/2021</w:t>
            </w:r>
          </w:p>
          <w:p w14:paraId="59A15221" w14:textId="2F3CCDAE" w:rsidR="00026610" w:rsidRPr="004C1BC2" w:rsidRDefault="00761B6C" w:rsidP="00761B6C">
            <w:pPr>
              <w:pStyle w:val="enumlev1"/>
              <w:tabs>
                <w:tab w:val="clear" w:pos="567"/>
                <w:tab w:val="clear" w:pos="1134"/>
                <w:tab w:val="clear" w:pos="1701"/>
                <w:tab w:val="clear" w:pos="2268"/>
                <w:tab w:val="clear" w:pos="2835"/>
                <w:tab w:val="center" w:pos="1715"/>
              </w:tabs>
              <w:spacing w:before="480" w:after="240"/>
              <w:ind w:left="0" w:firstLine="0"/>
              <w:rPr>
                <w:lang w:eastAsia="zh-CN"/>
              </w:rPr>
            </w:pPr>
            <w:r>
              <w:rPr>
                <w:lang w:eastAsia="zh-CN"/>
              </w:rPr>
              <w:t>Houlin Zhao</w:t>
            </w:r>
            <w:r>
              <w:rPr>
                <w:lang w:eastAsia="zh-CN"/>
              </w:rPr>
              <w:br/>
            </w:r>
            <w:r w:rsidR="00026610" w:rsidRPr="004C1BC2">
              <w:rPr>
                <w:lang w:eastAsia="zh-CN"/>
              </w:rPr>
              <w:t>Secrétaire général</w:t>
            </w:r>
          </w:p>
        </w:tc>
      </w:tr>
    </w:tbl>
    <w:p w14:paraId="3BD66FA8" w14:textId="0DB1268F" w:rsidR="00D10305" w:rsidRDefault="00D10305" w:rsidP="00026610">
      <w:r>
        <w:br w:type="page"/>
      </w:r>
    </w:p>
    <w:p w14:paraId="18C6B5F4" w14:textId="77777777" w:rsidR="00761B6C" w:rsidRPr="00236418" w:rsidRDefault="00761B6C" w:rsidP="00761B6C">
      <w:pPr>
        <w:pStyle w:val="Heading1"/>
        <w:jc w:val="center"/>
        <w:rPr>
          <w:lang w:eastAsia="zh-CN"/>
        </w:rPr>
      </w:pPr>
      <w:bookmarkStart w:id="542" w:name="_Toc452139408"/>
      <w:bookmarkStart w:id="543" w:name="_Toc452139807"/>
      <w:bookmarkStart w:id="544" w:name="_Toc452140394"/>
      <w:bookmarkStart w:id="545" w:name="_Toc452140674"/>
      <w:bookmarkStart w:id="546" w:name="_Toc482801470"/>
      <w:bookmarkStart w:id="547" w:name="_Toc482888030"/>
      <w:bookmarkStart w:id="548" w:name="_Toc482888720"/>
      <w:bookmarkStart w:id="549" w:name="_Toc511649440"/>
      <w:bookmarkStart w:id="550" w:name="_Toc511649812"/>
      <w:bookmarkStart w:id="551" w:name="_Toc511649921"/>
      <w:bookmarkStart w:id="552" w:name="_Toc511650039"/>
      <w:bookmarkStart w:id="553" w:name="_Toc511650532"/>
      <w:bookmarkStart w:id="554" w:name="_Toc511651177"/>
      <w:bookmarkStart w:id="555" w:name="_Toc511724042"/>
      <w:bookmarkStart w:id="556" w:name="_Toc511739031"/>
      <w:bookmarkStart w:id="557" w:name="_Toc511740811"/>
      <w:bookmarkStart w:id="558" w:name="_Toc511741200"/>
      <w:bookmarkStart w:id="559" w:name="_Toc9605694"/>
      <w:bookmarkStart w:id="560" w:name="_Toc10450706"/>
      <w:bookmarkStart w:id="561" w:name="_Toc41566317"/>
      <w:bookmarkStart w:id="562" w:name="_Toc41566598"/>
      <w:bookmarkStart w:id="563" w:name="_Toc41567338"/>
      <w:bookmarkStart w:id="564" w:name="_Toc41567824"/>
      <w:bookmarkStart w:id="565" w:name="_Toc41814936"/>
      <w:bookmarkStart w:id="566" w:name="_Toc73354292"/>
      <w:bookmarkStart w:id="567" w:name="_Toc73354425"/>
      <w:bookmarkStart w:id="568" w:name="_Toc73356380"/>
      <w:r w:rsidRPr="00236418">
        <w:rPr>
          <w:lang w:eastAsia="zh-CN"/>
        </w:rPr>
        <w:lastRenderedPageBreak/>
        <w:t>ÉTATS FINANCIERS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DEB2AC4" w14:textId="77777777" w:rsidR="003A1E34" w:rsidRDefault="00761B6C" w:rsidP="003A1E34">
      <w:pPr>
        <w:pStyle w:val="toc0"/>
        <w:jc w:val="both"/>
        <w:rPr>
          <w:noProof/>
        </w:rPr>
      </w:pPr>
      <w:r w:rsidRPr="00236418">
        <w:tab/>
        <w:t>Page</w:t>
      </w:r>
      <w:r w:rsidR="003A1E34">
        <w:fldChar w:fldCharType="begin"/>
      </w:r>
      <w:r w:rsidR="003A1E34">
        <w:instrText xml:space="preserve"> TOC \o "1-3" \h \z \t "Annex_No;1;Annex_ref;1;Annex_title;1;heading_b;1" </w:instrText>
      </w:r>
      <w:r w:rsidR="003A1E34">
        <w:fldChar w:fldCharType="separate"/>
      </w:r>
    </w:p>
    <w:p w14:paraId="3024E9EA" w14:textId="010FBDD2" w:rsidR="003A1E34" w:rsidRDefault="00B774B6" w:rsidP="003A1E34">
      <w:pPr>
        <w:pStyle w:val="TOC1"/>
        <w:ind w:left="0" w:firstLine="0"/>
        <w:rPr>
          <w:rFonts w:asciiTheme="minorHAnsi" w:eastAsiaTheme="minorEastAsia" w:hAnsiTheme="minorHAnsi" w:cstheme="minorBidi"/>
          <w:noProof/>
          <w:sz w:val="22"/>
          <w:szCs w:val="22"/>
          <w:lang w:val="en-US"/>
        </w:rPr>
      </w:pPr>
      <w:hyperlink w:anchor="_Toc73356381" w:history="1">
        <w:r w:rsidR="003A1E34" w:rsidRPr="00E2782B">
          <w:rPr>
            <w:rStyle w:val="Hyperlink"/>
            <w:noProof/>
          </w:rPr>
          <w:t xml:space="preserve">I – État de la situation financière – Bilan au 31 décembre 2020 </w:t>
        </w:r>
        <w:r w:rsidR="003A1E34">
          <w:rPr>
            <w:rStyle w:val="Hyperlink"/>
            <w:noProof/>
          </w:rPr>
          <w:t>avec chiffres comparatifs au 31 </w:t>
        </w:r>
        <w:r w:rsidR="003A1E34" w:rsidRPr="00E2782B">
          <w:rPr>
            <w:rStyle w:val="Hyperlink"/>
            <w:noProof/>
          </w:rPr>
          <w:t>décembre 2019</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_Toc73356381 \h </w:instrText>
        </w:r>
        <w:r w:rsidR="003A1E34">
          <w:rPr>
            <w:noProof/>
            <w:webHidden/>
          </w:rPr>
        </w:r>
        <w:r w:rsidR="003A1E34">
          <w:rPr>
            <w:noProof/>
            <w:webHidden/>
          </w:rPr>
          <w:fldChar w:fldCharType="separate"/>
        </w:r>
        <w:r w:rsidR="0007628D">
          <w:rPr>
            <w:noProof/>
            <w:webHidden/>
          </w:rPr>
          <w:t>27</w:t>
        </w:r>
        <w:r w:rsidR="003A1E34">
          <w:rPr>
            <w:noProof/>
            <w:webHidden/>
          </w:rPr>
          <w:fldChar w:fldCharType="end"/>
        </w:r>
      </w:hyperlink>
    </w:p>
    <w:p w14:paraId="132E8762" w14:textId="19D3ADFC" w:rsidR="003A1E34" w:rsidRDefault="00B774B6" w:rsidP="00CB48F1">
      <w:pPr>
        <w:pStyle w:val="TOC1"/>
        <w:ind w:left="0" w:firstLine="0"/>
        <w:rPr>
          <w:rFonts w:asciiTheme="minorHAnsi" w:eastAsiaTheme="minorEastAsia" w:hAnsiTheme="minorHAnsi" w:cstheme="minorBidi"/>
          <w:noProof/>
          <w:sz w:val="22"/>
          <w:szCs w:val="22"/>
          <w:lang w:val="en-US"/>
        </w:rPr>
      </w:pPr>
      <w:hyperlink w:anchor="_Toc73356382" w:history="1">
        <w:r w:rsidR="003A1E34" w:rsidRPr="00E2782B">
          <w:rPr>
            <w:rStyle w:val="Hyperlink"/>
            <w:noProof/>
          </w:rPr>
          <w:t>II – État de la performance financière pour l'exercice clos le</w:t>
        </w:r>
        <w:r w:rsidR="006C195E">
          <w:rPr>
            <w:rStyle w:val="Hyperlink"/>
            <w:noProof/>
          </w:rPr>
          <w:t xml:space="preserve"> 31 décembre 2020 avec chiffres </w:t>
        </w:r>
        <w:r w:rsidR="003A1E34" w:rsidRPr="00E2782B">
          <w:rPr>
            <w:rStyle w:val="Hyperlink"/>
            <w:noProof/>
          </w:rPr>
          <w:t>comparatifs au 31 décembre 2019</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_Toc73356382 \h </w:instrText>
        </w:r>
        <w:r w:rsidR="003A1E34">
          <w:rPr>
            <w:noProof/>
            <w:webHidden/>
          </w:rPr>
        </w:r>
        <w:r w:rsidR="003A1E34">
          <w:rPr>
            <w:noProof/>
            <w:webHidden/>
          </w:rPr>
          <w:fldChar w:fldCharType="separate"/>
        </w:r>
        <w:r w:rsidR="0007628D">
          <w:rPr>
            <w:noProof/>
            <w:webHidden/>
          </w:rPr>
          <w:t>28</w:t>
        </w:r>
        <w:r w:rsidR="003A1E34">
          <w:rPr>
            <w:noProof/>
            <w:webHidden/>
          </w:rPr>
          <w:fldChar w:fldCharType="end"/>
        </w:r>
      </w:hyperlink>
    </w:p>
    <w:p w14:paraId="7B0C781D" w14:textId="34C84F1D" w:rsidR="003A1E34" w:rsidRDefault="00B774B6">
      <w:pPr>
        <w:pStyle w:val="TOC1"/>
        <w:rPr>
          <w:rFonts w:asciiTheme="minorHAnsi" w:eastAsiaTheme="minorEastAsia" w:hAnsiTheme="minorHAnsi" w:cstheme="minorBidi"/>
          <w:noProof/>
          <w:sz w:val="22"/>
          <w:szCs w:val="22"/>
          <w:lang w:val="en-US"/>
        </w:rPr>
      </w:pPr>
      <w:hyperlink w:anchor="_Toc73356383" w:history="1">
        <w:r w:rsidR="003A1E34" w:rsidRPr="00E2782B">
          <w:rPr>
            <w:rStyle w:val="Hyperlink"/>
            <w:noProof/>
          </w:rPr>
          <w:t>III – État des variations de l'actif net pour l'exercice clos  le 31 décembre 2020</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_Toc73356383 \h </w:instrText>
        </w:r>
        <w:r w:rsidR="003A1E34">
          <w:rPr>
            <w:noProof/>
            <w:webHidden/>
          </w:rPr>
        </w:r>
        <w:r w:rsidR="003A1E34">
          <w:rPr>
            <w:noProof/>
            <w:webHidden/>
          </w:rPr>
          <w:fldChar w:fldCharType="separate"/>
        </w:r>
        <w:r w:rsidR="0007628D">
          <w:rPr>
            <w:noProof/>
            <w:webHidden/>
          </w:rPr>
          <w:t>29</w:t>
        </w:r>
        <w:r w:rsidR="003A1E34">
          <w:rPr>
            <w:noProof/>
            <w:webHidden/>
          </w:rPr>
          <w:fldChar w:fldCharType="end"/>
        </w:r>
      </w:hyperlink>
    </w:p>
    <w:p w14:paraId="2868F59C" w14:textId="68A14FB7" w:rsidR="003A1E34" w:rsidRDefault="00B774B6">
      <w:pPr>
        <w:pStyle w:val="TOC1"/>
        <w:rPr>
          <w:rFonts w:asciiTheme="minorHAnsi" w:eastAsiaTheme="minorEastAsia" w:hAnsiTheme="minorHAnsi" w:cstheme="minorBidi"/>
          <w:noProof/>
          <w:sz w:val="22"/>
          <w:szCs w:val="22"/>
          <w:lang w:val="en-US"/>
        </w:rPr>
      </w:pPr>
      <w:hyperlink w:anchor="_Toc73356384" w:history="1">
        <w:r w:rsidR="003A1E34" w:rsidRPr="00E2782B">
          <w:rPr>
            <w:rStyle w:val="Hyperlink"/>
            <w:noProof/>
          </w:rPr>
          <w:t>IV – État des flux de trésorerie pour l'exercice clos le 31 décembre 2020</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_Toc73356384 \h </w:instrText>
        </w:r>
        <w:r w:rsidR="003A1E34">
          <w:rPr>
            <w:noProof/>
            <w:webHidden/>
          </w:rPr>
        </w:r>
        <w:r w:rsidR="003A1E34">
          <w:rPr>
            <w:noProof/>
            <w:webHidden/>
          </w:rPr>
          <w:fldChar w:fldCharType="separate"/>
        </w:r>
        <w:r w:rsidR="0007628D">
          <w:rPr>
            <w:noProof/>
            <w:webHidden/>
          </w:rPr>
          <w:t>30</w:t>
        </w:r>
        <w:r w:rsidR="003A1E34">
          <w:rPr>
            <w:noProof/>
            <w:webHidden/>
          </w:rPr>
          <w:fldChar w:fldCharType="end"/>
        </w:r>
      </w:hyperlink>
    </w:p>
    <w:p w14:paraId="5DA32BED" w14:textId="12DD7793" w:rsidR="003A1E34" w:rsidRDefault="00B774B6" w:rsidP="00CB48F1">
      <w:pPr>
        <w:pStyle w:val="TOC1"/>
        <w:ind w:left="0" w:firstLine="0"/>
        <w:rPr>
          <w:rFonts w:asciiTheme="minorHAnsi" w:eastAsiaTheme="minorEastAsia" w:hAnsiTheme="minorHAnsi" w:cstheme="minorBidi"/>
          <w:noProof/>
          <w:sz w:val="22"/>
          <w:szCs w:val="22"/>
          <w:lang w:val="en-US"/>
        </w:rPr>
      </w:pPr>
      <w:hyperlink w:anchor="_Toc73356385" w:history="1">
        <w:r w:rsidR="003A1E34" w:rsidRPr="00E2782B">
          <w:rPr>
            <w:rStyle w:val="Hyperlink"/>
            <w:noProof/>
          </w:rPr>
          <w:t>V – État de la comparaison des montants budgétés et des mont</w:t>
        </w:r>
        <w:r w:rsidR="00CB48F1">
          <w:rPr>
            <w:rStyle w:val="Hyperlink"/>
            <w:noProof/>
          </w:rPr>
          <w:t>ants  effectifs pour l'exercice </w:t>
        </w:r>
        <w:r w:rsidR="003A1E34" w:rsidRPr="00E2782B">
          <w:rPr>
            <w:rStyle w:val="Hyperlink"/>
            <w:noProof/>
          </w:rPr>
          <w:t>2020</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_Toc73356385 \h </w:instrText>
        </w:r>
        <w:r w:rsidR="003A1E34">
          <w:rPr>
            <w:noProof/>
            <w:webHidden/>
          </w:rPr>
        </w:r>
        <w:r w:rsidR="003A1E34">
          <w:rPr>
            <w:noProof/>
            <w:webHidden/>
          </w:rPr>
          <w:fldChar w:fldCharType="separate"/>
        </w:r>
        <w:r w:rsidR="0007628D">
          <w:rPr>
            <w:noProof/>
            <w:webHidden/>
          </w:rPr>
          <w:t>31</w:t>
        </w:r>
        <w:r w:rsidR="003A1E34">
          <w:rPr>
            <w:noProof/>
            <w:webHidden/>
          </w:rPr>
          <w:fldChar w:fldCharType="end"/>
        </w:r>
      </w:hyperlink>
    </w:p>
    <w:p w14:paraId="57D8FD29" w14:textId="488796F8" w:rsidR="003A1E34" w:rsidRDefault="00B774B6">
      <w:pPr>
        <w:pStyle w:val="TOC1"/>
        <w:rPr>
          <w:rFonts w:asciiTheme="minorHAnsi" w:eastAsiaTheme="minorEastAsia" w:hAnsiTheme="minorHAnsi" w:cstheme="minorBidi"/>
          <w:noProof/>
          <w:sz w:val="22"/>
          <w:szCs w:val="22"/>
          <w:lang w:val="en-US"/>
        </w:rPr>
      </w:pPr>
      <w:hyperlink w:anchor="_Toc73356386" w:history="1">
        <w:r w:rsidR="003A1E34" w:rsidRPr="00E2782B">
          <w:rPr>
            <w:rStyle w:val="Hyperlink"/>
            <w:noProof/>
          </w:rPr>
          <w:t>Notes relatives aux états financiers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_Toc73356386 \h </w:instrText>
        </w:r>
        <w:r w:rsidR="003A1E34">
          <w:rPr>
            <w:noProof/>
            <w:webHidden/>
          </w:rPr>
        </w:r>
        <w:r w:rsidR="003A1E34">
          <w:rPr>
            <w:noProof/>
            <w:webHidden/>
          </w:rPr>
          <w:fldChar w:fldCharType="separate"/>
        </w:r>
        <w:r w:rsidR="0007628D">
          <w:rPr>
            <w:noProof/>
            <w:webHidden/>
          </w:rPr>
          <w:t>32</w:t>
        </w:r>
        <w:r w:rsidR="003A1E34">
          <w:rPr>
            <w:noProof/>
            <w:webHidden/>
          </w:rPr>
          <w:fldChar w:fldCharType="end"/>
        </w:r>
      </w:hyperlink>
    </w:p>
    <w:p w14:paraId="3A74F479" w14:textId="03D50CAC" w:rsidR="003A1E34" w:rsidRDefault="00B774B6">
      <w:pPr>
        <w:pStyle w:val="TOC1"/>
        <w:rPr>
          <w:rFonts w:asciiTheme="minorHAnsi" w:eastAsiaTheme="minorEastAsia" w:hAnsiTheme="minorHAnsi" w:cstheme="minorBidi"/>
          <w:noProof/>
          <w:sz w:val="22"/>
          <w:szCs w:val="22"/>
          <w:lang w:val="en-US"/>
        </w:rPr>
      </w:pPr>
      <w:hyperlink w:anchor="_Toc73356387" w:history="1">
        <w:r w:rsidR="003A1E34" w:rsidRPr="00E2782B">
          <w:rPr>
            <w:rStyle w:val="Hyperlink"/>
            <w:noProof/>
          </w:rPr>
          <w:t>Note 1</w:t>
        </w:r>
        <w:r w:rsidR="003A1E34">
          <w:rPr>
            <w:rFonts w:asciiTheme="minorHAnsi" w:eastAsiaTheme="minorEastAsia" w:hAnsiTheme="minorHAnsi" w:cstheme="minorBidi"/>
            <w:noProof/>
            <w:sz w:val="22"/>
            <w:szCs w:val="22"/>
            <w:lang w:val="en-US"/>
          </w:rPr>
          <w:tab/>
        </w:r>
        <w:r w:rsidR="003A1E34" w:rsidRPr="00E2782B">
          <w:rPr>
            <w:rStyle w:val="Hyperlink"/>
            <w:noProof/>
          </w:rPr>
          <w:t>Objectifs de l'Union</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_Toc73356387 \h </w:instrText>
        </w:r>
        <w:r w:rsidR="003A1E34">
          <w:rPr>
            <w:noProof/>
            <w:webHidden/>
          </w:rPr>
        </w:r>
        <w:r w:rsidR="003A1E34">
          <w:rPr>
            <w:noProof/>
            <w:webHidden/>
          </w:rPr>
          <w:fldChar w:fldCharType="separate"/>
        </w:r>
        <w:r w:rsidR="0007628D">
          <w:rPr>
            <w:noProof/>
            <w:webHidden/>
          </w:rPr>
          <w:t>32</w:t>
        </w:r>
        <w:r w:rsidR="003A1E34">
          <w:rPr>
            <w:noProof/>
            <w:webHidden/>
          </w:rPr>
          <w:fldChar w:fldCharType="end"/>
        </w:r>
      </w:hyperlink>
    </w:p>
    <w:p w14:paraId="33D392FC" w14:textId="1CE734AE" w:rsidR="003A1E34" w:rsidRDefault="00B774B6">
      <w:pPr>
        <w:pStyle w:val="TOC1"/>
        <w:rPr>
          <w:rFonts w:asciiTheme="minorHAnsi" w:eastAsiaTheme="minorEastAsia" w:hAnsiTheme="minorHAnsi" w:cstheme="minorBidi"/>
          <w:noProof/>
          <w:sz w:val="22"/>
          <w:szCs w:val="22"/>
          <w:lang w:val="en-US"/>
        </w:rPr>
      </w:pPr>
      <w:hyperlink w:anchor="_Toc73356388" w:history="1">
        <w:r w:rsidR="003A1E34" w:rsidRPr="00E2782B">
          <w:rPr>
            <w:rStyle w:val="Hyperlink"/>
            <w:noProof/>
          </w:rPr>
          <w:t>Note 2</w:t>
        </w:r>
        <w:r w:rsidR="003A1E34">
          <w:rPr>
            <w:rFonts w:asciiTheme="minorHAnsi" w:eastAsiaTheme="minorEastAsia" w:hAnsiTheme="minorHAnsi" w:cstheme="minorBidi"/>
            <w:noProof/>
            <w:sz w:val="22"/>
            <w:szCs w:val="22"/>
            <w:lang w:val="en-US"/>
          </w:rPr>
          <w:tab/>
        </w:r>
        <w:r w:rsidR="003A1E34" w:rsidRPr="00E2782B">
          <w:rPr>
            <w:rStyle w:val="Hyperlink"/>
            <w:noProof/>
          </w:rPr>
          <w:t>Principaux principes comptables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_Toc73356388 \h </w:instrText>
        </w:r>
        <w:r w:rsidR="003A1E34">
          <w:rPr>
            <w:noProof/>
            <w:webHidden/>
          </w:rPr>
        </w:r>
        <w:r w:rsidR="003A1E34">
          <w:rPr>
            <w:noProof/>
            <w:webHidden/>
          </w:rPr>
          <w:fldChar w:fldCharType="separate"/>
        </w:r>
        <w:r w:rsidR="0007628D">
          <w:rPr>
            <w:noProof/>
            <w:webHidden/>
          </w:rPr>
          <w:t>34</w:t>
        </w:r>
        <w:r w:rsidR="003A1E34">
          <w:rPr>
            <w:noProof/>
            <w:webHidden/>
          </w:rPr>
          <w:fldChar w:fldCharType="end"/>
        </w:r>
      </w:hyperlink>
    </w:p>
    <w:p w14:paraId="56BA9CE5" w14:textId="749DD055" w:rsidR="003A1E34" w:rsidRDefault="00B774B6">
      <w:pPr>
        <w:pStyle w:val="TOC1"/>
        <w:rPr>
          <w:rFonts w:asciiTheme="minorHAnsi" w:eastAsiaTheme="minorEastAsia" w:hAnsiTheme="minorHAnsi" w:cstheme="minorBidi"/>
          <w:noProof/>
          <w:sz w:val="22"/>
          <w:szCs w:val="22"/>
          <w:lang w:val="en-US"/>
        </w:rPr>
      </w:pPr>
      <w:hyperlink w:anchor="_Toc73356389" w:history="1">
        <w:r w:rsidR="003A1E34" w:rsidRPr="00E2782B">
          <w:rPr>
            <w:rStyle w:val="Hyperlink"/>
            <w:noProof/>
          </w:rPr>
          <w:t>Monnaies étrangères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_Toc73356389 \h </w:instrText>
        </w:r>
        <w:r w:rsidR="003A1E34">
          <w:rPr>
            <w:noProof/>
            <w:webHidden/>
          </w:rPr>
        </w:r>
        <w:r w:rsidR="003A1E34">
          <w:rPr>
            <w:noProof/>
            <w:webHidden/>
          </w:rPr>
          <w:fldChar w:fldCharType="separate"/>
        </w:r>
        <w:r w:rsidR="0007628D">
          <w:rPr>
            <w:noProof/>
            <w:webHidden/>
          </w:rPr>
          <w:t>34</w:t>
        </w:r>
        <w:r w:rsidR="003A1E34">
          <w:rPr>
            <w:noProof/>
            <w:webHidden/>
          </w:rPr>
          <w:fldChar w:fldCharType="end"/>
        </w:r>
      </w:hyperlink>
    </w:p>
    <w:p w14:paraId="5021E4BE" w14:textId="306FB158" w:rsidR="003A1E34" w:rsidRDefault="00B774B6">
      <w:pPr>
        <w:pStyle w:val="TOC1"/>
        <w:rPr>
          <w:rFonts w:asciiTheme="minorHAnsi" w:eastAsiaTheme="minorEastAsia" w:hAnsiTheme="minorHAnsi" w:cstheme="minorBidi"/>
          <w:noProof/>
          <w:sz w:val="22"/>
          <w:szCs w:val="22"/>
          <w:lang w:val="en-US"/>
        </w:rPr>
      </w:pPr>
      <w:hyperlink w:anchor="_Toc73356390" w:history="1">
        <w:r w:rsidR="003A1E34" w:rsidRPr="00E2782B">
          <w:rPr>
            <w:rStyle w:val="Hyperlink"/>
            <w:noProof/>
          </w:rPr>
          <w:t>Instruments financiers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_Toc73356390 \h </w:instrText>
        </w:r>
        <w:r w:rsidR="003A1E34">
          <w:rPr>
            <w:noProof/>
            <w:webHidden/>
          </w:rPr>
        </w:r>
        <w:r w:rsidR="003A1E34">
          <w:rPr>
            <w:noProof/>
            <w:webHidden/>
          </w:rPr>
          <w:fldChar w:fldCharType="separate"/>
        </w:r>
        <w:r w:rsidR="0007628D">
          <w:rPr>
            <w:noProof/>
            <w:webHidden/>
          </w:rPr>
          <w:t>34</w:t>
        </w:r>
        <w:r w:rsidR="003A1E34">
          <w:rPr>
            <w:noProof/>
            <w:webHidden/>
          </w:rPr>
          <w:fldChar w:fldCharType="end"/>
        </w:r>
      </w:hyperlink>
    </w:p>
    <w:p w14:paraId="3F5127E9" w14:textId="0258FA8C" w:rsidR="003A1E34" w:rsidRDefault="00B774B6">
      <w:pPr>
        <w:pStyle w:val="TOC1"/>
        <w:rPr>
          <w:rFonts w:asciiTheme="minorHAnsi" w:eastAsiaTheme="minorEastAsia" w:hAnsiTheme="minorHAnsi" w:cstheme="minorBidi"/>
          <w:noProof/>
          <w:sz w:val="22"/>
          <w:szCs w:val="22"/>
          <w:lang w:val="en-US"/>
        </w:rPr>
      </w:pPr>
      <w:hyperlink w:anchor="_Toc73356391" w:history="1">
        <w:r w:rsidR="003A1E34" w:rsidRPr="00E2782B">
          <w:rPr>
            <w:rStyle w:val="Hyperlink"/>
            <w:noProof/>
          </w:rPr>
          <w:t>Évaluation de la provision pour dépréciation des créances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_Toc73356391 \h </w:instrText>
        </w:r>
        <w:r w:rsidR="003A1E34">
          <w:rPr>
            <w:noProof/>
            <w:webHidden/>
          </w:rPr>
        </w:r>
        <w:r w:rsidR="003A1E34">
          <w:rPr>
            <w:noProof/>
            <w:webHidden/>
          </w:rPr>
          <w:fldChar w:fldCharType="separate"/>
        </w:r>
        <w:r w:rsidR="0007628D">
          <w:rPr>
            <w:noProof/>
            <w:webHidden/>
          </w:rPr>
          <w:t>36</w:t>
        </w:r>
        <w:r w:rsidR="003A1E34">
          <w:rPr>
            <w:noProof/>
            <w:webHidden/>
          </w:rPr>
          <w:fldChar w:fldCharType="end"/>
        </w:r>
      </w:hyperlink>
    </w:p>
    <w:p w14:paraId="2774FC26" w14:textId="64832320" w:rsidR="003A1E34" w:rsidRDefault="00B774B6">
      <w:pPr>
        <w:pStyle w:val="TOC1"/>
        <w:rPr>
          <w:rFonts w:asciiTheme="minorHAnsi" w:eastAsiaTheme="minorEastAsia" w:hAnsiTheme="minorHAnsi" w:cstheme="minorBidi"/>
          <w:noProof/>
          <w:sz w:val="22"/>
          <w:szCs w:val="22"/>
          <w:lang w:val="en-US"/>
        </w:rPr>
      </w:pPr>
      <w:hyperlink w:anchor="_Toc73356392" w:history="1">
        <w:r w:rsidR="003A1E34" w:rsidRPr="00E2782B">
          <w:rPr>
            <w:rStyle w:val="Hyperlink"/>
            <w:noProof/>
          </w:rPr>
          <w:t>Utilisation et dissolution d'une provision pour dépréciation d'actifs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_Toc73356392 \h </w:instrText>
        </w:r>
        <w:r w:rsidR="003A1E34">
          <w:rPr>
            <w:noProof/>
            <w:webHidden/>
          </w:rPr>
        </w:r>
        <w:r w:rsidR="003A1E34">
          <w:rPr>
            <w:noProof/>
            <w:webHidden/>
          </w:rPr>
          <w:fldChar w:fldCharType="separate"/>
        </w:r>
        <w:r w:rsidR="0007628D">
          <w:rPr>
            <w:noProof/>
            <w:webHidden/>
          </w:rPr>
          <w:t>37</w:t>
        </w:r>
        <w:r w:rsidR="003A1E34">
          <w:rPr>
            <w:noProof/>
            <w:webHidden/>
          </w:rPr>
          <w:fldChar w:fldCharType="end"/>
        </w:r>
      </w:hyperlink>
    </w:p>
    <w:p w14:paraId="4DFA03DD" w14:textId="0D1DDC79" w:rsidR="003A1E34" w:rsidRDefault="00B774B6">
      <w:pPr>
        <w:pStyle w:val="TOC1"/>
        <w:rPr>
          <w:rFonts w:asciiTheme="minorHAnsi" w:eastAsiaTheme="minorEastAsia" w:hAnsiTheme="minorHAnsi" w:cstheme="minorBidi"/>
          <w:noProof/>
          <w:sz w:val="22"/>
          <w:szCs w:val="22"/>
          <w:lang w:val="en-US"/>
        </w:rPr>
      </w:pPr>
      <w:hyperlink w:anchor="_Toc73356393" w:history="1">
        <w:r w:rsidR="003A1E34" w:rsidRPr="00E2782B">
          <w:rPr>
            <w:rStyle w:val="Hyperlink"/>
            <w:noProof/>
          </w:rPr>
          <w:t>Stocks</w:t>
        </w:r>
        <w:r w:rsidR="003A1E34">
          <w:rPr>
            <w:noProof/>
            <w:webHidden/>
          </w:rPr>
          <w:tab/>
        </w:r>
        <w:r w:rsidR="00CB48F1">
          <w:rPr>
            <w:noProof/>
            <w:webHidden/>
          </w:rPr>
          <w:tab/>
        </w:r>
        <w:r w:rsidR="00CB48F1">
          <w:rPr>
            <w:noProof/>
            <w:webHidden/>
          </w:rPr>
          <w:tab/>
        </w:r>
        <w:r w:rsidR="003A1E34">
          <w:rPr>
            <w:noProof/>
            <w:webHidden/>
          </w:rPr>
          <w:fldChar w:fldCharType="begin"/>
        </w:r>
        <w:r w:rsidR="003A1E34">
          <w:rPr>
            <w:noProof/>
            <w:webHidden/>
          </w:rPr>
          <w:instrText xml:space="preserve"> PAGEREF _Toc73356393 \h </w:instrText>
        </w:r>
        <w:r w:rsidR="003A1E34">
          <w:rPr>
            <w:noProof/>
            <w:webHidden/>
          </w:rPr>
        </w:r>
        <w:r w:rsidR="003A1E34">
          <w:rPr>
            <w:noProof/>
            <w:webHidden/>
          </w:rPr>
          <w:fldChar w:fldCharType="separate"/>
        </w:r>
        <w:r w:rsidR="0007628D">
          <w:rPr>
            <w:noProof/>
            <w:webHidden/>
          </w:rPr>
          <w:t>37</w:t>
        </w:r>
        <w:r w:rsidR="003A1E34">
          <w:rPr>
            <w:noProof/>
            <w:webHidden/>
          </w:rPr>
          <w:fldChar w:fldCharType="end"/>
        </w:r>
      </w:hyperlink>
    </w:p>
    <w:p w14:paraId="0B7308C2" w14:textId="0D1FF616" w:rsidR="003A1E34" w:rsidRDefault="00B774B6">
      <w:pPr>
        <w:pStyle w:val="TOC1"/>
        <w:rPr>
          <w:rFonts w:asciiTheme="minorHAnsi" w:eastAsiaTheme="minorEastAsia" w:hAnsiTheme="minorHAnsi" w:cstheme="minorBidi"/>
          <w:noProof/>
          <w:sz w:val="22"/>
          <w:szCs w:val="22"/>
          <w:lang w:val="en-US"/>
        </w:rPr>
      </w:pPr>
      <w:hyperlink w:anchor="_Toc73356394" w:history="1">
        <w:r w:rsidR="003A1E34" w:rsidRPr="00E2782B">
          <w:rPr>
            <w:rStyle w:val="Hyperlink"/>
            <w:noProof/>
          </w:rPr>
          <w:t>Immobilisations corporelles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_Toc73356394 \h </w:instrText>
        </w:r>
        <w:r w:rsidR="003A1E34">
          <w:rPr>
            <w:noProof/>
            <w:webHidden/>
          </w:rPr>
        </w:r>
        <w:r w:rsidR="003A1E34">
          <w:rPr>
            <w:noProof/>
            <w:webHidden/>
          </w:rPr>
          <w:fldChar w:fldCharType="separate"/>
        </w:r>
        <w:r w:rsidR="0007628D">
          <w:rPr>
            <w:noProof/>
            <w:webHidden/>
          </w:rPr>
          <w:t>38</w:t>
        </w:r>
        <w:r w:rsidR="003A1E34">
          <w:rPr>
            <w:noProof/>
            <w:webHidden/>
          </w:rPr>
          <w:fldChar w:fldCharType="end"/>
        </w:r>
      </w:hyperlink>
    </w:p>
    <w:p w14:paraId="5723BB4A" w14:textId="243CC947" w:rsidR="003A1E34" w:rsidRDefault="00B774B6">
      <w:pPr>
        <w:pStyle w:val="TOC1"/>
        <w:rPr>
          <w:rFonts w:asciiTheme="minorHAnsi" w:eastAsiaTheme="minorEastAsia" w:hAnsiTheme="minorHAnsi" w:cstheme="minorBidi"/>
          <w:noProof/>
          <w:sz w:val="22"/>
          <w:szCs w:val="22"/>
          <w:lang w:val="en-US"/>
        </w:rPr>
      </w:pPr>
      <w:hyperlink w:anchor="_Toc73356395" w:history="1">
        <w:r w:rsidR="003A1E34" w:rsidRPr="00E2782B">
          <w:rPr>
            <w:rStyle w:val="Hyperlink"/>
            <w:noProof/>
          </w:rPr>
          <w:t>Immobilisations acquises en contrats de location</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_Toc73356395 \h </w:instrText>
        </w:r>
        <w:r w:rsidR="003A1E34">
          <w:rPr>
            <w:noProof/>
            <w:webHidden/>
          </w:rPr>
        </w:r>
        <w:r w:rsidR="003A1E34">
          <w:rPr>
            <w:noProof/>
            <w:webHidden/>
          </w:rPr>
          <w:fldChar w:fldCharType="separate"/>
        </w:r>
        <w:r w:rsidR="0007628D">
          <w:rPr>
            <w:noProof/>
            <w:webHidden/>
          </w:rPr>
          <w:t>40</w:t>
        </w:r>
        <w:r w:rsidR="003A1E34">
          <w:rPr>
            <w:noProof/>
            <w:webHidden/>
          </w:rPr>
          <w:fldChar w:fldCharType="end"/>
        </w:r>
      </w:hyperlink>
    </w:p>
    <w:p w14:paraId="10D4E44C" w14:textId="12C8A8F6" w:rsidR="003A1E34" w:rsidRDefault="00B774B6">
      <w:pPr>
        <w:pStyle w:val="TOC1"/>
        <w:rPr>
          <w:rFonts w:asciiTheme="minorHAnsi" w:eastAsiaTheme="minorEastAsia" w:hAnsiTheme="minorHAnsi" w:cstheme="minorBidi"/>
          <w:noProof/>
          <w:sz w:val="22"/>
          <w:szCs w:val="22"/>
          <w:lang w:val="en-US"/>
        </w:rPr>
      </w:pPr>
      <w:hyperlink w:anchor="_Toc73356396" w:history="1">
        <w:r w:rsidR="003A1E34" w:rsidRPr="00E2782B">
          <w:rPr>
            <w:rStyle w:val="Hyperlink"/>
            <w:noProof/>
          </w:rPr>
          <w:t>Immobilisations incorporelles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_Toc73356396 \h </w:instrText>
        </w:r>
        <w:r w:rsidR="003A1E34">
          <w:rPr>
            <w:noProof/>
            <w:webHidden/>
          </w:rPr>
        </w:r>
        <w:r w:rsidR="003A1E34">
          <w:rPr>
            <w:noProof/>
            <w:webHidden/>
          </w:rPr>
          <w:fldChar w:fldCharType="separate"/>
        </w:r>
        <w:r w:rsidR="0007628D">
          <w:rPr>
            <w:noProof/>
            <w:webHidden/>
          </w:rPr>
          <w:t>40</w:t>
        </w:r>
        <w:r w:rsidR="003A1E34">
          <w:rPr>
            <w:noProof/>
            <w:webHidden/>
          </w:rPr>
          <w:fldChar w:fldCharType="end"/>
        </w:r>
      </w:hyperlink>
    </w:p>
    <w:p w14:paraId="5246E5FD" w14:textId="418F65E0" w:rsidR="003A1E34" w:rsidRDefault="00B774B6">
      <w:pPr>
        <w:pStyle w:val="TOC1"/>
        <w:rPr>
          <w:rFonts w:asciiTheme="minorHAnsi" w:eastAsiaTheme="minorEastAsia" w:hAnsiTheme="minorHAnsi" w:cstheme="minorBidi"/>
          <w:noProof/>
          <w:sz w:val="22"/>
          <w:szCs w:val="22"/>
          <w:lang w:val="en-US"/>
        </w:rPr>
      </w:pPr>
      <w:hyperlink w:anchor="_Toc73356397" w:history="1">
        <w:r w:rsidR="003A1E34" w:rsidRPr="00E2782B">
          <w:rPr>
            <w:rStyle w:val="Hyperlink"/>
            <w:noProof/>
          </w:rPr>
          <w:t>Provisions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_Toc73356397 \h </w:instrText>
        </w:r>
        <w:r w:rsidR="003A1E34">
          <w:rPr>
            <w:noProof/>
            <w:webHidden/>
          </w:rPr>
        </w:r>
        <w:r w:rsidR="003A1E34">
          <w:rPr>
            <w:noProof/>
            <w:webHidden/>
          </w:rPr>
          <w:fldChar w:fldCharType="separate"/>
        </w:r>
        <w:r w:rsidR="0007628D">
          <w:rPr>
            <w:noProof/>
            <w:webHidden/>
          </w:rPr>
          <w:t>41</w:t>
        </w:r>
        <w:r w:rsidR="003A1E34">
          <w:rPr>
            <w:noProof/>
            <w:webHidden/>
          </w:rPr>
          <w:fldChar w:fldCharType="end"/>
        </w:r>
      </w:hyperlink>
    </w:p>
    <w:p w14:paraId="04F20576" w14:textId="424D0F0B" w:rsidR="003A1E34" w:rsidRDefault="00B774B6">
      <w:pPr>
        <w:pStyle w:val="TOC1"/>
        <w:rPr>
          <w:rFonts w:asciiTheme="minorHAnsi" w:eastAsiaTheme="minorEastAsia" w:hAnsiTheme="minorHAnsi" w:cstheme="minorBidi"/>
          <w:noProof/>
          <w:sz w:val="22"/>
          <w:szCs w:val="22"/>
          <w:lang w:val="en-US"/>
        </w:rPr>
      </w:pPr>
      <w:hyperlink w:anchor="_Toc73356398" w:history="1">
        <w:r w:rsidR="003A1E34" w:rsidRPr="00E2782B">
          <w:rPr>
            <w:rStyle w:val="Hyperlink"/>
            <w:noProof/>
          </w:rPr>
          <w:t>Actifs et passifs éventuels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_Toc73356398 \h </w:instrText>
        </w:r>
        <w:r w:rsidR="003A1E34">
          <w:rPr>
            <w:noProof/>
            <w:webHidden/>
          </w:rPr>
        </w:r>
        <w:r w:rsidR="003A1E34">
          <w:rPr>
            <w:noProof/>
            <w:webHidden/>
          </w:rPr>
          <w:fldChar w:fldCharType="separate"/>
        </w:r>
        <w:r w:rsidR="0007628D">
          <w:rPr>
            <w:noProof/>
            <w:webHidden/>
          </w:rPr>
          <w:t>41</w:t>
        </w:r>
        <w:r w:rsidR="003A1E34">
          <w:rPr>
            <w:noProof/>
            <w:webHidden/>
          </w:rPr>
          <w:fldChar w:fldCharType="end"/>
        </w:r>
      </w:hyperlink>
    </w:p>
    <w:p w14:paraId="53C83E95" w14:textId="647CD7C6" w:rsidR="003A1E34" w:rsidRDefault="00B774B6">
      <w:pPr>
        <w:pStyle w:val="TOC1"/>
        <w:rPr>
          <w:rFonts w:asciiTheme="minorHAnsi" w:eastAsiaTheme="minorEastAsia" w:hAnsiTheme="minorHAnsi" w:cstheme="minorBidi"/>
          <w:noProof/>
          <w:sz w:val="22"/>
          <w:szCs w:val="22"/>
          <w:lang w:val="en-US"/>
        </w:rPr>
      </w:pPr>
      <w:hyperlink w:anchor="_Toc73356399" w:history="1">
        <w:r w:rsidR="003A1E34" w:rsidRPr="00E2782B">
          <w:rPr>
            <w:rStyle w:val="Hyperlink"/>
            <w:noProof/>
          </w:rPr>
          <w:t>Prestations dues aux employés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_Toc73356399 \h </w:instrText>
        </w:r>
        <w:r w:rsidR="003A1E34">
          <w:rPr>
            <w:noProof/>
            <w:webHidden/>
          </w:rPr>
        </w:r>
        <w:r w:rsidR="003A1E34">
          <w:rPr>
            <w:noProof/>
            <w:webHidden/>
          </w:rPr>
          <w:fldChar w:fldCharType="separate"/>
        </w:r>
        <w:r w:rsidR="0007628D">
          <w:rPr>
            <w:noProof/>
            <w:webHidden/>
          </w:rPr>
          <w:t>41</w:t>
        </w:r>
        <w:r w:rsidR="003A1E34">
          <w:rPr>
            <w:noProof/>
            <w:webHidden/>
          </w:rPr>
          <w:fldChar w:fldCharType="end"/>
        </w:r>
      </w:hyperlink>
    </w:p>
    <w:p w14:paraId="4415B53E" w14:textId="19C349E6" w:rsidR="003A1E34" w:rsidRDefault="00B774B6">
      <w:pPr>
        <w:pStyle w:val="TOC1"/>
        <w:rPr>
          <w:rFonts w:asciiTheme="minorHAnsi" w:eastAsiaTheme="minorEastAsia" w:hAnsiTheme="minorHAnsi" w:cstheme="minorBidi"/>
          <w:noProof/>
          <w:sz w:val="22"/>
          <w:szCs w:val="22"/>
          <w:lang w:val="en-US"/>
        </w:rPr>
      </w:pPr>
      <w:hyperlink w:anchor="_Toc73356400" w:history="1">
        <w:r w:rsidR="003A1E34" w:rsidRPr="00E2782B">
          <w:rPr>
            <w:rStyle w:val="Hyperlink"/>
            <w:noProof/>
          </w:rPr>
          <w:t>Comptabilisation des fonds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_Toc73356400 \h </w:instrText>
        </w:r>
        <w:r w:rsidR="003A1E34">
          <w:rPr>
            <w:noProof/>
            <w:webHidden/>
          </w:rPr>
        </w:r>
        <w:r w:rsidR="003A1E34">
          <w:rPr>
            <w:noProof/>
            <w:webHidden/>
          </w:rPr>
          <w:fldChar w:fldCharType="separate"/>
        </w:r>
        <w:r w:rsidR="0007628D">
          <w:rPr>
            <w:noProof/>
            <w:webHidden/>
          </w:rPr>
          <w:t>42</w:t>
        </w:r>
        <w:r w:rsidR="003A1E34">
          <w:rPr>
            <w:noProof/>
            <w:webHidden/>
          </w:rPr>
          <w:fldChar w:fldCharType="end"/>
        </w:r>
      </w:hyperlink>
    </w:p>
    <w:p w14:paraId="1D235171" w14:textId="7A7FC4BF" w:rsidR="003A1E34" w:rsidRDefault="00B774B6">
      <w:pPr>
        <w:pStyle w:val="TOC1"/>
        <w:rPr>
          <w:rFonts w:asciiTheme="minorHAnsi" w:eastAsiaTheme="minorEastAsia" w:hAnsiTheme="minorHAnsi" w:cstheme="minorBidi"/>
          <w:noProof/>
          <w:sz w:val="22"/>
          <w:szCs w:val="22"/>
          <w:lang w:val="en-US"/>
        </w:rPr>
      </w:pPr>
      <w:hyperlink w:anchor="_Toc73356404" w:history="1">
        <w:r w:rsidR="003A1E34" w:rsidRPr="00E2782B">
          <w:rPr>
            <w:rStyle w:val="Hyperlink"/>
            <w:noProof/>
          </w:rPr>
          <w:t>Autres fonds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_Toc73356404 \h </w:instrText>
        </w:r>
        <w:r w:rsidR="003A1E34">
          <w:rPr>
            <w:noProof/>
            <w:webHidden/>
          </w:rPr>
        </w:r>
        <w:r w:rsidR="003A1E34">
          <w:rPr>
            <w:noProof/>
            <w:webHidden/>
          </w:rPr>
          <w:fldChar w:fldCharType="separate"/>
        </w:r>
        <w:r w:rsidR="0007628D">
          <w:rPr>
            <w:noProof/>
            <w:webHidden/>
          </w:rPr>
          <w:t>44</w:t>
        </w:r>
        <w:r w:rsidR="003A1E34">
          <w:rPr>
            <w:noProof/>
            <w:webHidden/>
          </w:rPr>
          <w:fldChar w:fldCharType="end"/>
        </w:r>
      </w:hyperlink>
    </w:p>
    <w:p w14:paraId="6EF82301" w14:textId="48424C18" w:rsidR="003A1E34" w:rsidRDefault="00B774B6">
      <w:pPr>
        <w:pStyle w:val="TOC1"/>
        <w:rPr>
          <w:rFonts w:asciiTheme="minorHAnsi" w:eastAsiaTheme="minorEastAsia" w:hAnsiTheme="minorHAnsi" w:cstheme="minorBidi"/>
          <w:noProof/>
          <w:sz w:val="22"/>
          <w:szCs w:val="22"/>
          <w:lang w:val="en-US"/>
        </w:rPr>
      </w:pPr>
      <w:hyperlink w:anchor="_Toc73356405" w:history="1">
        <w:r w:rsidR="003A1E34" w:rsidRPr="00E2782B">
          <w:rPr>
            <w:rStyle w:val="Hyperlink"/>
            <w:noProof/>
          </w:rPr>
          <w:t>Fonds pour le nouveau bâtiment</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_Toc73356405 \h </w:instrText>
        </w:r>
        <w:r w:rsidR="003A1E34">
          <w:rPr>
            <w:noProof/>
            <w:webHidden/>
          </w:rPr>
        </w:r>
        <w:r w:rsidR="003A1E34">
          <w:rPr>
            <w:noProof/>
            <w:webHidden/>
          </w:rPr>
          <w:fldChar w:fldCharType="separate"/>
        </w:r>
        <w:r w:rsidR="0007628D">
          <w:rPr>
            <w:noProof/>
            <w:webHidden/>
          </w:rPr>
          <w:t>45</w:t>
        </w:r>
        <w:r w:rsidR="003A1E34">
          <w:rPr>
            <w:noProof/>
            <w:webHidden/>
          </w:rPr>
          <w:fldChar w:fldCharType="end"/>
        </w:r>
      </w:hyperlink>
    </w:p>
    <w:p w14:paraId="4063DE17" w14:textId="50BBA7BF" w:rsidR="003A1E34" w:rsidRDefault="00B774B6">
      <w:pPr>
        <w:pStyle w:val="TOC1"/>
        <w:rPr>
          <w:rFonts w:asciiTheme="minorHAnsi" w:eastAsiaTheme="minorEastAsia" w:hAnsiTheme="minorHAnsi" w:cstheme="minorBidi"/>
          <w:noProof/>
          <w:sz w:val="22"/>
          <w:szCs w:val="22"/>
          <w:lang w:val="en-US"/>
        </w:rPr>
      </w:pPr>
      <w:hyperlink w:anchor="_Toc73356406" w:history="1">
        <w:r w:rsidR="003A1E34" w:rsidRPr="00E2782B">
          <w:rPr>
            <w:rStyle w:val="Hyperlink"/>
            <w:noProof/>
          </w:rPr>
          <w:t>Fonds destinés aux activités extrabudgétaires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_Toc73356406 \h </w:instrText>
        </w:r>
        <w:r w:rsidR="003A1E34">
          <w:rPr>
            <w:noProof/>
            <w:webHidden/>
          </w:rPr>
        </w:r>
        <w:r w:rsidR="003A1E34">
          <w:rPr>
            <w:noProof/>
            <w:webHidden/>
          </w:rPr>
          <w:fldChar w:fldCharType="separate"/>
        </w:r>
        <w:r w:rsidR="0007628D">
          <w:rPr>
            <w:noProof/>
            <w:webHidden/>
          </w:rPr>
          <w:t>45</w:t>
        </w:r>
        <w:r w:rsidR="003A1E34">
          <w:rPr>
            <w:noProof/>
            <w:webHidden/>
          </w:rPr>
          <w:fldChar w:fldCharType="end"/>
        </w:r>
      </w:hyperlink>
    </w:p>
    <w:p w14:paraId="50DCFB61" w14:textId="47E374DF" w:rsidR="00CB48F1" w:rsidRPr="00CB48F1" w:rsidRDefault="00CB48F1" w:rsidP="00CB48F1">
      <w:pPr>
        <w:pStyle w:val="toc0"/>
        <w:rPr>
          <w:rStyle w:val="Hyperlink"/>
          <w:noProof/>
          <w:color w:val="auto"/>
        </w:rPr>
      </w:pPr>
      <w:r w:rsidRPr="00CB48F1">
        <w:rPr>
          <w:noProof/>
        </w:rPr>
        <w:lastRenderedPageBreak/>
        <w:tab/>
        <w:t>Page</w:t>
      </w:r>
    </w:p>
    <w:p w14:paraId="524BF497" w14:textId="4CEC3355" w:rsidR="003A1E34" w:rsidRDefault="00B774B6">
      <w:pPr>
        <w:pStyle w:val="TOC1"/>
        <w:rPr>
          <w:rFonts w:asciiTheme="minorHAnsi" w:eastAsiaTheme="minorEastAsia" w:hAnsiTheme="minorHAnsi" w:cstheme="minorBidi"/>
          <w:noProof/>
          <w:sz w:val="22"/>
          <w:szCs w:val="22"/>
          <w:lang w:val="en-US"/>
        </w:rPr>
      </w:pPr>
      <w:hyperlink w:anchor="_Toc73356407" w:history="1">
        <w:r w:rsidR="003A1E34" w:rsidRPr="00E2782B">
          <w:rPr>
            <w:rStyle w:val="Hyperlink"/>
            <w:noProof/>
          </w:rPr>
          <w:t>Comptabilisation des produits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_Toc73356407 \h </w:instrText>
        </w:r>
        <w:r w:rsidR="003A1E34">
          <w:rPr>
            <w:noProof/>
            <w:webHidden/>
          </w:rPr>
        </w:r>
        <w:r w:rsidR="003A1E34">
          <w:rPr>
            <w:noProof/>
            <w:webHidden/>
          </w:rPr>
          <w:fldChar w:fldCharType="separate"/>
        </w:r>
        <w:r w:rsidR="0007628D">
          <w:rPr>
            <w:noProof/>
            <w:webHidden/>
          </w:rPr>
          <w:t>46</w:t>
        </w:r>
        <w:r w:rsidR="003A1E34">
          <w:rPr>
            <w:noProof/>
            <w:webHidden/>
          </w:rPr>
          <w:fldChar w:fldCharType="end"/>
        </w:r>
      </w:hyperlink>
    </w:p>
    <w:p w14:paraId="46F335B3" w14:textId="7A3D53E8" w:rsidR="003A1E34" w:rsidRDefault="00B774B6">
      <w:pPr>
        <w:pStyle w:val="TOC1"/>
        <w:rPr>
          <w:rFonts w:asciiTheme="minorHAnsi" w:eastAsiaTheme="minorEastAsia" w:hAnsiTheme="minorHAnsi" w:cstheme="minorBidi"/>
          <w:noProof/>
          <w:sz w:val="22"/>
          <w:szCs w:val="22"/>
          <w:lang w:val="en-US"/>
        </w:rPr>
      </w:pPr>
      <w:hyperlink w:anchor="_Toc73356408" w:history="1">
        <w:r w:rsidR="003A1E34" w:rsidRPr="00E2782B">
          <w:rPr>
            <w:rStyle w:val="Hyperlink"/>
            <w:noProof/>
          </w:rPr>
          <w:t>Présentation de l'information sectorielle</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_Toc73356408 \h </w:instrText>
        </w:r>
        <w:r w:rsidR="003A1E34">
          <w:rPr>
            <w:noProof/>
            <w:webHidden/>
          </w:rPr>
        </w:r>
        <w:r w:rsidR="003A1E34">
          <w:rPr>
            <w:noProof/>
            <w:webHidden/>
          </w:rPr>
          <w:fldChar w:fldCharType="separate"/>
        </w:r>
        <w:r w:rsidR="0007628D">
          <w:rPr>
            <w:noProof/>
            <w:webHidden/>
          </w:rPr>
          <w:t>47</w:t>
        </w:r>
        <w:r w:rsidR="003A1E34">
          <w:rPr>
            <w:noProof/>
            <w:webHidden/>
          </w:rPr>
          <w:fldChar w:fldCharType="end"/>
        </w:r>
      </w:hyperlink>
    </w:p>
    <w:p w14:paraId="7B5FDCA1" w14:textId="28071800" w:rsidR="003A1E34" w:rsidRDefault="00B774B6">
      <w:pPr>
        <w:pStyle w:val="TOC1"/>
        <w:rPr>
          <w:rFonts w:asciiTheme="minorHAnsi" w:eastAsiaTheme="minorEastAsia" w:hAnsiTheme="minorHAnsi" w:cstheme="minorBidi"/>
          <w:noProof/>
          <w:sz w:val="22"/>
          <w:szCs w:val="22"/>
          <w:lang w:val="en-US"/>
        </w:rPr>
      </w:pPr>
      <w:hyperlink w:anchor="_Toc73356409" w:history="1">
        <w:r w:rsidR="003A1E34" w:rsidRPr="00E2782B">
          <w:rPr>
            <w:rStyle w:val="Hyperlink"/>
            <w:noProof/>
          </w:rPr>
          <w:t>Comparaison budgétaire</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_Toc73356409 \h </w:instrText>
        </w:r>
        <w:r w:rsidR="003A1E34">
          <w:rPr>
            <w:noProof/>
            <w:webHidden/>
          </w:rPr>
        </w:r>
        <w:r w:rsidR="003A1E34">
          <w:rPr>
            <w:noProof/>
            <w:webHidden/>
          </w:rPr>
          <w:fldChar w:fldCharType="separate"/>
        </w:r>
        <w:r w:rsidR="0007628D">
          <w:rPr>
            <w:noProof/>
            <w:webHidden/>
          </w:rPr>
          <w:t>48</w:t>
        </w:r>
        <w:r w:rsidR="003A1E34">
          <w:rPr>
            <w:noProof/>
            <w:webHidden/>
          </w:rPr>
          <w:fldChar w:fldCharType="end"/>
        </w:r>
      </w:hyperlink>
    </w:p>
    <w:p w14:paraId="27A00D11" w14:textId="0CC93276" w:rsidR="003A1E34" w:rsidRDefault="00B774B6">
      <w:pPr>
        <w:pStyle w:val="TOC1"/>
        <w:rPr>
          <w:rFonts w:asciiTheme="minorHAnsi" w:eastAsiaTheme="minorEastAsia" w:hAnsiTheme="minorHAnsi" w:cstheme="minorBidi"/>
          <w:noProof/>
          <w:sz w:val="22"/>
          <w:szCs w:val="22"/>
          <w:lang w:val="en-US"/>
        </w:rPr>
      </w:pPr>
      <w:hyperlink w:anchor="_Toc73356410" w:history="1">
        <w:r w:rsidR="003A1E34" w:rsidRPr="00E2782B">
          <w:rPr>
            <w:rStyle w:val="Hyperlink"/>
            <w:noProof/>
          </w:rPr>
          <w:t>Note 3</w:t>
        </w:r>
        <w:r w:rsidR="003A1E34">
          <w:rPr>
            <w:rFonts w:asciiTheme="minorHAnsi" w:eastAsiaTheme="minorEastAsia" w:hAnsiTheme="minorHAnsi" w:cstheme="minorBidi"/>
            <w:noProof/>
            <w:sz w:val="22"/>
            <w:szCs w:val="22"/>
            <w:lang w:val="en-US"/>
          </w:rPr>
          <w:tab/>
        </w:r>
        <w:r w:rsidR="003A1E34" w:rsidRPr="00E2782B">
          <w:rPr>
            <w:rStyle w:val="Hyperlink"/>
            <w:noProof/>
          </w:rPr>
          <w:t>Gestion de l'actif net</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_Toc73356410 \h </w:instrText>
        </w:r>
        <w:r w:rsidR="003A1E34">
          <w:rPr>
            <w:noProof/>
            <w:webHidden/>
          </w:rPr>
        </w:r>
        <w:r w:rsidR="003A1E34">
          <w:rPr>
            <w:noProof/>
            <w:webHidden/>
          </w:rPr>
          <w:fldChar w:fldCharType="separate"/>
        </w:r>
        <w:r w:rsidR="0007628D">
          <w:rPr>
            <w:noProof/>
            <w:webHidden/>
          </w:rPr>
          <w:t>48</w:t>
        </w:r>
        <w:r w:rsidR="003A1E34">
          <w:rPr>
            <w:noProof/>
            <w:webHidden/>
          </w:rPr>
          <w:fldChar w:fldCharType="end"/>
        </w:r>
      </w:hyperlink>
    </w:p>
    <w:p w14:paraId="42221354" w14:textId="67A934D2" w:rsidR="003A1E34" w:rsidRDefault="00B774B6">
      <w:pPr>
        <w:pStyle w:val="TOC1"/>
        <w:rPr>
          <w:rFonts w:asciiTheme="minorHAnsi" w:eastAsiaTheme="minorEastAsia" w:hAnsiTheme="minorHAnsi" w:cstheme="minorBidi"/>
          <w:noProof/>
          <w:sz w:val="22"/>
          <w:szCs w:val="22"/>
          <w:lang w:val="en-US"/>
        </w:rPr>
      </w:pPr>
      <w:hyperlink w:anchor="_Toc73356411" w:history="1">
        <w:r w:rsidR="003A1E34" w:rsidRPr="00E2782B">
          <w:rPr>
            <w:rStyle w:val="Hyperlink"/>
            <w:noProof/>
          </w:rPr>
          <w:t>Note 4</w:t>
        </w:r>
        <w:r w:rsidR="003A1E34">
          <w:rPr>
            <w:rFonts w:asciiTheme="minorHAnsi" w:eastAsiaTheme="minorEastAsia" w:hAnsiTheme="minorHAnsi" w:cstheme="minorBidi"/>
            <w:noProof/>
            <w:sz w:val="22"/>
            <w:szCs w:val="22"/>
            <w:lang w:val="en-US"/>
          </w:rPr>
          <w:tab/>
        </w:r>
        <w:r w:rsidR="003A1E34" w:rsidRPr="00E2782B">
          <w:rPr>
            <w:rStyle w:val="Hyperlink"/>
            <w:noProof/>
          </w:rPr>
          <w:t>Gestion des risques financiers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_Toc73356411 \h </w:instrText>
        </w:r>
        <w:r w:rsidR="003A1E34">
          <w:rPr>
            <w:noProof/>
            <w:webHidden/>
          </w:rPr>
        </w:r>
        <w:r w:rsidR="003A1E34">
          <w:rPr>
            <w:noProof/>
            <w:webHidden/>
          </w:rPr>
          <w:fldChar w:fldCharType="separate"/>
        </w:r>
        <w:r w:rsidR="0007628D">
          <w:rPr>
            <w:noProof/>
            <w:webHidden/>
          </w:rPr>
          <w:t>49</w:t>
        </w:r>
        <w:r w:rsidR="003A1E34">
          <w:rPr>
            <w:noProof/>
            <w:webHidden/>
          </w:rPr>
          <w:fldChar w:fldCharType="end"/>
        </w:r>
      </w:hyperlink>
    </w:p>
    <w:p w14:paraId="06DE170D" w14:textId="4270570D" w:rsidR="003A1E34" w:rsidRDefault="00B774B6">
      <w:pPr>
        <w:pStyle w:val="TOC1"/>
        <w:rPr>
          <w:rFonts w:asciiTheme="minorHAnsi" w:eastAsiaTheme="minorEastAsia" w:hAnsiTheme="minorHAnsi" w:cstheme="minorBidi"/>
          <w:noProof/>
          <w:sz w:val="22"/>
          <w:szCs w:val="22"/>
          <w:lang w:val="en-US"/>
        </w:rPr>
      </w:pPr>
      <w:hyperlink w:anchor="_Toc73356414" w:history="1">
        <w:r w:rsidR="003A1E34" w:rsidRPr="00E2782B">
          <w:rPr>
            <w:rStyle w:val="Hyperlink"/>
            <w:noProof/>
          </w:rPr>
          <w:t>Note 5</w:t>
        </w:r>
        <w:r w:rsidR="003A1E34">
          <w:rPr>
            <w:rFonts w:asciiTheme="minorHAnsi" w:eastAsiaTheme="minorEastAsia" w:hAnsiTheme="minorHAnsi" w:cstheme="minorBidi"/>
            <w:noProof/>
            <w:sz w:val="22"/>
            <w:szCs w:val="22"/>
            <w:lang w:val="en-US"/>
          </w:rPr>
          <w:tab/>
        </w:r>
        <w:r w:rsidR="003A1E34" w:rsidRPr="00E2782B">
          <w:rPr>
            <w:rStyle w:val="Hyperlink"/>
            <w:noProof/>
          </w:rPr>
          <w:t>Jugement et estimations comptables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_Toc73356414 \h </w:instrText>
        </w:r>
        <w:r w:rsidR="003A1E34">
          <w:rPr>
            <w:noProof/>
            <w:webHidden/>
          </w:rPr>
        </w:r>
        <w:r w:rsidR="003A1E34">
          <w:rPr>
            <w:noProof/>
            <w:webHidden/>
          </w:rPr>
          <w:fldChar w:fldCharType="separate"/>
        </w:r>
        <w:r w:rsidR="0007628D">
          <w:rPr>
            <w:noProof/>
            <w:webHidden/>
          </w:rPr>
          <w:t>52</w:t>
        </w:r>
        <w:r w:rsidR="003A1E34">
          <w:rPr>
            <w:noProof/>
            <w:webHidden/>
          </w:rPr>
          <w:fldChar w:fldCharType="end"/>
        </w:r>
      </w:hyperlink>
    </w:p>
    <w:p w14:paraId="1126FF67" w14:textId="1C419239" w:rsidR="003A1E34" w:rsidRDefault="00B774B6">
      <w:pPr>
        <w:pStyle w:val="TOC1"/>
        <w:rPr>
          <w:rFonts w:asciiTheme="minorHAnsi" w:eastAsiaTheme="minorEastAsia" w:hAnsiTheme="minorHAnsi" w:cstheme="minorBidi"/>
          <w:noProof/>
          <w:sz w:val="22"/>
          <w:szCs w:val="22"/>
          <w:lang w:val="en-US"/>
        </w:rPr>
      </w:pPr>
      <w:hyperlink w:anchor="_Toc73356415" w:history="1">
        <w:r w:rsidR="003A1E34" w:rsidRPr="00E2782B">
          <w:rPr>
            <w:rStyle w:val="Hyperlink"/>
            <w:noProof/>
          </w:rPr>
          <w:t>Note 6</w:t>
        </w:r>
        <w:r w:rsidR="003A1E34">
          <w:rPr>
            <w:rFonts w:asciiTheme="minorHAnsi" w:eastAsiaTheme="minorEastAsia" w:hAnsiTheme="minorHAnsi" w:cstheme="minorBidi"/>
            <w:noProof/>
            <w:sz w:val="22"/>
            <w:szCs w:val="22"/>
            <w:lang w:val="en-US"/>
          </w:rPr>
          <w:tab/>
        </w:r>
        <w:r w:rsidR="003A1E34" w:rsidRPr="00E2782B">
          <w:rPr>
            <w:rStyle w:val="Hyperlink"/>
            <w:noProof/>
          </w:rPr>
          <w:t>Trésorerie et équivalents de trésorerie</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_Toc73356415 \h </w:instrText>
        </w:r>
        <w:r w:rsidR="003A1E34">
          <w:rPr>
            <w:noProof/>
            <w:webHidden/>
          </w:rPr>
        </w:r>
        <w:r w:rsidR="003A1E34">
          <w:rPr>
            <w:noProof/>
            <w:webHidden/>
          </w:rPr>
          <w:fldChar w:fldCharType="separate"/>
        </w:r>
        <w:r w:rsidR="0007628D">
          <w:rPr>
            <w:noProof/>
            <w:webHidden/>
          </w:rPr>
          <w:t>53</w:t>
        </w:r>
        <w:r w:rsidR="003A1E34">
          <w:rPr>
            <w:noProof/>
            <w:webHidden/>
          </w:rPr>
          <w:fldChar w:fldCharType="end"/>
        </w:r>
      </w:hyperlink>
    </w:p>
    <w:p w14:paraId="2020D64E" w14:textId="72DA7992" w:rsidR="003A1E34" w:rsidRDefault="00B774B6">
      <w:pPr>
        <w:pStyle w:val="TOC1"/>
        <w:rPr>
          <w:rFonts w:asciiTheme="minorHAnsi" w:eastAsiaTheme="minorEastAsia" w:hAnsiTheme="minorHAnsi" w:cstheme="minorBidi"/>
          <w:noProof/>
          <w:sz w:val="22"/>
          <w:szCs w:val="22"/>
          <w:lang w:val="en-US"/>
        </w:rPr>
      </w:pPr>
      <w:hyperlink w:anchor="_Toc73356416" w:history="1">
        <w:r w:rsidR="003A1E34" w:rsidRPr="00E2782B">
          <w:rPr>
            <w:rStyle w:val="Hyperlink"/>
            <w:noProof/>
          </w:rPr>
          <w:t>Note 7</w:t>
        </w:r>
        <w:r w:rsidR="003A1E34">
          <w:rPr>
            <w:rFonts w:asciiTheme="minorHAnsi" w:eastAsiaTheme="minorEastAsia" w:hAnsiTheme="minorHAnsi" w:cstheme="minorBidi"/>
            <w:noProof/>
            <w:sz w:val="22"/>
            <w:szCs w:val="22"/>
            <w:lang w:val="en-US"/>
          </w:rPr>
          <w:tab/>
        </w:r>
        <w:r w:rsidR="003A1E34" w:rsidRPr="00E2782B">
          <w:rPr>
            <w:rStyle w:val="Hyperlink"/>
            <w:noProof/>
          </w:rPr>
          <w:t>Placements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_Toc73356416 \h </w:instrText>
        </w:r>
        <w:r w:rsidR="003A1E34">
          <w:rPr>
            <w:noProof/>
            <w:webHidden/>
          </w:rPr>
        </w:r>
        <w:r w:rsidR="003A1E34">
          <w:rPr>
            <w:noProof/>
            <w:webHidden/>
          </w:rPr>
          <w:fldChar w:fldCharType="separate"/>
        </w:r>
        <w:r w:rsidR="0007628D">
          <w:rPr>
            <w:noProof/>
            <w:webHidden/>
          </w:rPr>
          <w:t>53</w:t>
        </w:r>
        <w:r w:rsidR="003A1E34">
          <w:rPr>
            <w:noProof/>
            <w:webHidden/>
          </w:rPr>
          <w:fldChar w:fldCharType="end"/>
        </w:r>
      </w:hyperlink>
    </w:p>
    <w:p w14:paraId="26CA378B" w14:textId="3C120C5C" w:rsidR="003A1E34" w:rsidRDefault="00B774B6">
      <w:pPr>
        <w:pStyle w:val="TOC1"/>
        <w:rPr>
          <w:rFonts w:asciiTheme="minorHAnsi" w:eastAsiaTheme="minorEastAsia" w:hAnsiTheme="minorHAnsi" w:cstheme="minorBidi"/>
          <w:noProof/>
          <w:sz w:val="22"/>
          <w:szCs w:val="22"/>
          <w:lang w:val="en-US"/>
        </w:rPr>
      </w:pPr>
      <w:hyperlink w:anchor="_Toc73356417" w:history="1">
        <w:r w:rsidR="003A1E34" w:rsidRPr="00E2782B">
          <w:rPr>
            <w:rStyle w:val="Hyperlink"/>
            <w:noProof/>
          </w:rPr>
          <w:t>Note 8</w:t>
        </w:r>
        <w:r w:rsidR="003A1E34">
          <w:rPr>
            <w:rFonts w:asciiTheme="minorHAnsi" w:eastAsiaTheme="minorEastAsia" w:hAnsiTheme="minorHAnsi" w:cstheme="minorBidi"/>
            <w:noProof/>
            <w:sz w:val="22"/>
            <w:szCs w:val="22"/>
            <w:lang w:val="en-US"/>
          </w:rPr>
          <w:tab/>
        </w:r>
        <w:r w:rsidR="003A1E34" w:rsidRPr="00E2782B">
          <w:rPr>
            <w:rStyle w:val="Hyperlink"/>
            <w:noProof/>
          </w:rPr>
          <w:t>Créances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_Toc73356417 \h </w:instrText>
        </w:r>
        <w:r w:rsidR="003A1E34">
          <w:rPr>
            <w:noProof/>
            <w:webHidden/>
          </w:rPr>
        </w:r>
        <w:r w:rsidR="003A1E34">
          <w:rPr>
            <w:noProof/>
            <w:webHidden/>
          </w:rPr>
          <w:fldChar w:fldCharType="separate"/>
        </w:r>
        <w:r w:rsidR="0007628D">
          <w:rPr>
            <w:noProof/>
            <w:webHidden/>
          </w:rPr>
          <w:t>54</w:t>
        </w:r>
        <w:r w:rsidR="003A1E34">
          <w:rPr>
            <w:noProof/>
            <w:webHidden/>
          </w:rPr>
          <w:fldChar w:fldCharType="end"/>
        </w:r>
      </w:hyperlink>
    </w:p>
    <w:p w14:paraId="36C194BB" w14:textId="45888921" w:rsidR="003A1E34" w:rsidRDefault="00B774B6">
      <w:pPr>
        <w:pStyle w:val="TOC1"/>
        <w:rPr>
          <w:rFonts w:asciiTheme="minorHAnsi" w:eastAsiaTheme="minorEastAsia" w:hAnsiTheme="minorHAnsi" w:cstheme="minorBidi"/>
          <w:noProof/>
          <w:sz w:val="22"/>
          <w:szCs w:val="22"/>
          <w:lang w:val="en-US"/>
        </w:rPr>
      </w:pPr>
      <w:hyperlink w:anchor="_Toc73356418" w:history="1">
        <w:r w:rsidR="003A1E34" w:rsidRPr="00E2782B">
          <w:rPr>
            <w:rStyle w:val="Hyperlink"/>
            <w:noProof/>
          </w:rPr>
          <w:t>Note 9</w:t>
        </w:r>
        <w:r w:rsidR="003A1E34">
          <w:rPr>
            <w:rFonts w:asciiTheme="minorHAnsi" w:eastAsiaTheme="minorEastAsia" w:hAnsiTheme="minorHAnsi" w:cstheme="minorBidi"/>
            <w:noProof/>
            <w:sz w:val="22"/>
            <w:szCs w:val="22"/>
            <w:lang w:val="en-US"/>
          </w:rPr>
          <w:tab/>
        </w:r>
        <w:r w:rsidR="003A1E34" w:rsidRPr="00E2782B">
          <w:rPr>
            <w:rStyle w:val="Hyperlink"/>
            <w:noProof/>
          </w:rPr>
          <w:t>Stocks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_Toc73356418 \h </w:instrText>
        </w:r>
        <w:r w:rsidR="003A1E34">
          <w:rPr>
            <w:noProof/>
            <w:webHidden/>
          </w:rPr>
        </w:r>
        <w:r w:rsidR="003A1E34">
          <w:rPr>
            <w:noProof/>
            <w:webHidden/>
          </w:rPr>
          <w:fldChar w:fldCharType="separate"/>
        </w:r>
        <w:r w:rsidR="0007628D">
          <w:rPr>
            <w:noProof/>
            <w:webHidden/>
          </w:rPr>
          <w:t>55</w:t>
        </w:r>
        <w:r w:rsidR="003A1E34">
          <w:rPr>
            <w:noProof/>
            <w:webHidden/>
          </w:rPr>
          <w:fldChar w:fldCharType="end"/>
        </w:r>
      </w:hyperlink>
    </w:p>
    <w:p w14:paraId="3B739D7B" w14:textId="43DFBA8F" w:rsidR="003A1E34" w:rsidRDefault="00B774B6">
      <w:pPr>
        <w:pStyle w:val="TOC1"/>
        <w:rPr>
          <w:rFonts w:asciiTheme="minorHAnsi" w:eastAsiaTheme="minorEastAsia" w:hAnsiTheme="minorHAnsi" w:cstheme="minorBidi"/>
          <w:noProof/>
          <w:sz w:val="22"/>
          <w:szCs w:val="22"/>
          <w:lang w:val="en-US"/>
        </w:rPr>
      </w:pPr>
      <w:hyperlink w:anchor="_Toc73356419" w:history="1">
        <w:r w:rsidR="003A1E34" w:rsidRPr="00E2782B">
          <w:rPr>
            <w:rStyle w:val="Hyperlink"/>
            <w:noProof/>
          </w:rPr>
          <w:t>Note 10</w:t>
        </w:r>
        <w:r w:rsidR="003A1E34">
          <w:rPr>
            <w:rFonts w:asciiTheme="minorHAnsi" w:eastAsiaTheme="minorEastAsia" w:hAnsiTheme="minorHAnsi" w:cstheme="minorBidi"/>
            <w:noProof/>
            <w:sz w:val="22"/>
            <w:szCs w:val="22"/>
            <w:lang w:val="en-US"/>
          </w:rPr>
          <w:tab/>
        </w:r>
        <w:r w:rsidR="003A1E34" w:rsidRPr="00E2782B">
          <w:rPr>
            <w:rStyle w:val="Hyperlink"/>
            <w:noProof/>
          </w:rPr>
          <w:t>Autres créances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_Toc73356419 \h </w:instrText>
        </w:r>
        <w:r w:rsidR="003A1E34">
          <w:rPr>
            <w:noProof/>
            <w:webHidden/>
          </w:rPr>
        </w:r>
        <w:r w:rsidR="003A1E34">
          <w:rPr>
            <w:noProof/>
            <w:webHidden/>
          </w:rPr>
          <w:fldChar w:fldCharType="separate"/>
        </w:r>
        <w:r w:rsidR="0007628D">
          <w:rPr>
            <w:noProof/>
            <w:webHidden/>
          </w:rPr>
          <w:t>56</w:t>
        </w:r>
        <w:r w:rsidR="003A1E34">
          <w:rPr>
            <w:noProof/>
            <w:webHidden/>
          </w:rPr>
          <w:fldChar w:fldCharType="end"/>
        </w:r>
      </w:hyperlink>
    </w:p>
    <w:p w14:paraId="5D6D3F77" w14:textId="0AED19BF" w:rsidR="003A1E34" w:rsidRDefault="00B774B6">
      <w:pPr>
        <w:pStyle w:val="TOC1"/>
        <w:rPr>
          <w:rFonts w:asciiTheme="minorHAnsi" w:eastAsiaTheme="minorEastAsia" w:hAnsiTheme="minorHAnsi" w:cstheme="minorBidi"/>
          <w:noProof/>
          <w:sz w:val="22"/>
          <w:szCs w:val="22"/>
          <w:lang w:val="en-US"/>
        </w:rPr>
      </w:pPr>
      <w:hyperlink w:anchor="_Toc73356420" w:history="1">
        <w:r w:rsidR="003A1E34" w:rsidRPr="00E2782B">
          <w:rPr>
            <w:rStyle w:val="Hyperlink"/>
            <w:noProof/>
          </w:rPr>
          <w:t>Note 11</w:t>
        </w:r>
        <w:r w:rsidR="003A1E34">
          <w:rPr>
            <w:rFonts w:asciiTheme="minorHAnsi" w:eastAsiaTheme="minorEastAsia" w:hAnsiTheme="minorHAnsi" w:cstheme="minorBidi"/>
            <w:noProof/>
            <w:sz w:val="22"/>
            <w:szCs w:val="22"/>
            <w:lang w:val="en-US"/>
          </w:rPr>
          <w:tab/>
        </w:r>
        <w:r w:rsidR="003A1E34" w:rsidRPr="00E2782B">
          <w:rPr>
            <w:rStyle w:val="Hyperlink"/>
            <w:noProof/>
          </w:rPr>
          <w:t>Immobilisations corporelles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_Toc73356420 \h </w:instrText>
        </w:r>
        <w:r w:rsidR="003A1E34">
          <w:rPr>
            <w:noProof/>
            <w:webHidden/>
          </w:rPr>
        </w:r>
        <w:r w:rsidR="003A1E34">
          <w:rPr>
            <w:noProof/>
            <w:webHidden/>
          </w:rPr>
          <w:fldChar w:fldCharType="separate"/>
        </w:r>
        <w:r w:rsidR="0007628D">
          <w:rPr>
            <w:noProof/>
            <w:webHidden/>
          </w:rPr>
          <w:t>56</w:t>
        </w:r>
        <w:r w:rsidR="003A1E34">
          <w:rPr>
            <w:noProof/>
            <w:webHidden/>
          </w:rPr>
          <w:fldChar w:fldCharType="end"/>
        </w:r>
      </w:hyperlink>
    </w:p>
    <w:p w14:paraId="43289285" w14:textId="2B9DBC9F" w:rsidR="003A1E34" w:rsidRDefault="00B774B6">
      <w:pPr>
        <w:pStyle w:val="TOC1"/>
        <w:rPr>
          <w:rFonts w:asciiTheme="minorHAnsi" w:eastAsiaTheme="minorEastAsia" w:hAnsiTheme="minorHAnsi" w:cstheme="minorBidi"/>
          <w:noProof/>
          <w:sz w:val="22"/>
          <w:szCs w:val="22"/>
          <w:lang w:val="en-US"/>
        </w:rPr>
      </w:pPr>
      <w:hyperlink w:anchor="_Toc73356421" w:history="1">
        <w:r w:rsidR="003A1E34" w:rsidRPr="00E2782B">
          <w:rPr>
            <w:rStyle w:val="Hyperlink"/>
            <w:noProof/>
          </w:rPr>
          <w:t>Note 12</w:t>
        </w:r>
        <w:r w:rsidR="003A1E34">
          <w:rPr>
            <w:rFonts w:asciiTheme="minorHAnsi" w:eastAsiaTheme="minorEastAsia" w:hAnsiTheme="minorHAnsi" w:cstheme="minorBidi"/>
            <w:noProof/>
            <w:sz w:val="22"/>
            <w:szCs w:val="22"/>
            <w:lang w:val="en-US"/>
          </w:rPr>
          <w:tab/>
        </w:r>
        <w:r w:rsidR="003A1E34" w:rsidRPr="00E2782B">
          <w:rPr>
            <w:rStyle w:val="Hyperlink"/>
            <w:noProof/>
          </w:rPr>
          <w:t>Immobilisations incorporelles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_Toc73356421 \h </w:instrText>
        </w:r>
        <w:r w:rsidR="003A1E34">
          <w:rPr>
            <w:noProof/>
            <w:webHidden/>
          </w:rPr>
        </w:r>
        <w:r w:rsidR="003A1E34">
          <w:rPr>
            <w:noProof/>
            <w:webHidden/>
          </w:rPr>
          <w:fldChar w:fldCharType="separate"/>
        </w:r>
        <w:r w:rsidR="0007628D">
          <w:rPr>
            <w:noProof/>
            <w:webHidden/>
          </w:rPr>
          <w:t>58</w:t>
        </w:r>
        <w:r w:rsidR="003A1E34">
          <w:rPr>
            <w:noProof/>
            <w:webHidden/>
          </w:rPr>
          <w:fldChar w:fldCharType="end"/>
        </w:r>
      </w:hyperlink>
    </w:p>
    <w:p w14:paraId="0689CD70" w14:textId="2B3F0EEA" w:rsidR="003A1E34" w:rsidRDefault="00B774B6">
      <w:pPr>
        <w:pStyle w:val="TOC1"/>
        <w:rPr>
          <w:rFonts w:asciiTheme="minorHAnsi" w:eastAsiaTheme="minorEastAsia" w:hAnsiTheme="minorHAnsi" w:cstheme="minorBidi"/>
          <w:noProof/>
          <w:sz w:val="22"/>
          <w:szCs w:val="22"/>
          <w:lang w:val="en-US"/>
        </w:rPr>
      </w:pPr>
      <w:hyperlink w:anchor="_Toc73356422" w:history="1">
        <w:r w:rsidR="003A1E34" w:rsidRPr="00E2782B">
          <w:rPr>
            <w:rStyle w:val="Hyperlink"/>
            <w:noProof/>
          </w:rPr>
          <w:t>Note 13</w:t>
        </w:r>
        <w:r w:rsidR="003A1E34">
          <w:rPr>
            <w:rFonts w:asciiTheme="minorHAnsi" w:eastAsiaTheme="minorEastAsia" w:hAnsiTheme="minorHAnsi" w:cstheme="minorBidi"/>
            <w:noProof/>
            <w:sz w:val="22"/>
            <w:szCs w:val="22"/>
            <w:lang w:val="en-US"/>
          </w:rPr>
          <w:tab/>
        </w:r>
        <w:r w:rsidR="003A1E34" w:rsidRPr="00E2782B">
          <w:rPr>
            <w:rStyle w:val="Hyperlink"/>
            <w:noProof/>
          </w:rPr>
          <w:t>Biens en construction</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_Toc73356422 \h </w:instrText>
        </w:r>
        <w:r w:rsidR="003A1E34">
          <w:rPr>
            <w:noProof/>
            <w:webHidden/>
          </w:rPr>
        </w:r>
        <w:r w:rsidR="003A1E34">
          <w:rPr>
            <w:noProof/>
            <w:webHidden/>
          </w:rPr>
          <w:fldChar w:fldCharType="separate"/>
        </w:r>
        <w:r w:rsidR="0007628D">
          <w:rPr>
            <w:noProof/>
            <w:webHidden/>
          </w:rPr>
          <w:t>58</w:t>
        </w:r>
        <w:r w:rsidR="003A1E34">
          <w:rPr>
            <w:noProof/>
            <w:webHidden/>
          </w:rPr>
          <w:fldChar w:fldCharType="end"/>
        </w:r>
      </w:hyperlink>
    </w:p>
    <w:p w14:paraId="6F9B0259" w14:textId="47427DD0" w:rsidR="003A1E34" w:rsidRDefault="00B774B6">
      <w:pPr>
        <w:pStyle w:val="TOC1"/>
        <w:rPr>
          <w:rFonts w:asciiTheme="minorHAnsi" w:eastAsiaTheme="minorEastAsia" w:hAnsiTheme="minorHAnsi" w:cstheme="minorBidi"/>
          <w:noProof/>
          <w:sz w:val="22"/>
          <w:szCs w:val="22"/>
          <w:lang w:val="en-US"/>
        </w:rPr>
      </w:pPr>
      <w:hyperlink w:anchor="_Toc73356423" w:history="1">
        <w:r w:rsidR="003A1E34" w:rsidRPr="00E2782B">
          <w:rPr>
            <w:rStyle w:val="Hyperlink"/>
            <w:noProof/>
          </w:rPr>
          <w:t>Note 14</w:t>
        </w:r>
        <w:r w:rsidR="003A1E34">
          <w:rPr>
            <w:rFonts w:asciiTheme="minorHAnsi" w:eastAsiaTheme="minorEastAsia" w:hAnsiTheme="minorHAnsi" w:cstheme="minorBidi"/>
            <w:noProof/>
            <w:sz w:val="22"/>
            <w:szCs w:val="22"/>
            <w:lang w:val="en-US"/>
          </w:rPr>
          <w:tab/>
        </w:r>
        <w:r w:rsidR="003A1E34" w:rsidRPr="00E2782B">
          <w:rPr>
            <w:rStyle w:val="Hyperlink"/>
            <w:noProof/>
          </w:rPr>
          <w:t>Fournisseurs et autres créanciers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_Toc73356423 \h </w:instrText>
        </w:r>
        <w:r w:rsidR="003A1E34">
          <w:rPr>
            <w:noProof/>
            <w:webHidden/>
          </w:rPr>
        </w:r>
        <w:r w:rsidR="003A1E34">
          <w:rPr>
            <w:noProof/>
            <w:webHidden/>
          </w:rPr>
          <w:fldChar w:fldCharType="separate"/>
        </w:r>
        <w:r w:rsidR="0007628D">
          <w:rPr>
            <w:noProof/>
            <w:webHidden/>
          </w:rPr>
          <w:t>59</w:t>
        </w:r>
        <w:r w:rsidR="003A1E34">
          <w:rPr>
            <w:noProof/>
            <w:webHidden/>
          </w:rPr>
          <w:fldChar w:fldCharType="end"/>
        </w:r>
      </w:hyperlink>
    </w:p>
    <w:p w14:paraId="28B6072C" w14:textId="26726999" w:rsidR="003A1E34" w:rsidRDefault="00B774B6">
      <w:pPr>
        <w:pStyle w:val="TOC1"/>
        <w:rPr>
          <w:rFonts w:asciiTheme="minorHAnsi" w:eastAsiaTheme="minorEastAsia" w:hAnsiTheme="minorHAnsi" w:cstheme="minorBidi"/>
          <w:noProof/>
          <w:sz w:val="22"/>
          <w:szCs w:val="22"/>
          <w:lang w:val="en-US"/>
        </w:rPr>
      </w:pPr>
      <w:hyperlink w:anchor="_Toc73356424" w:history="1">
        <w:r w:rsidR="003A1E34" w:rsidRPr="00E2782B">
          <w:rPr>
            <w:rStyle w:val="Hyperlink"/>
            <w:noProof/>
          </w:rPr>
          <w:t>Note 15</w:t>
        </w:r>
        <w:r w:rsidR="003A1E34">
          <w:rPr>
            <w:rFonts w:asciiTheme="minorHAnsi" w:eastAsiaTheme="minorEastAsia" w:hAnsiTheme="minorHAnsi" w:cstheme="minorBidi"/>
            <w:noProof/>
            <w:sz w:val="22"/>
            <w:szCs w:val="22"/>
            <w:lang w:val="en-US"/>
          </w:rPr>
          <w:tab/>
        </w:r>
        <w:r w:rsidR="003A1E34" w:rsidRPr="00E2782B">
          <w:rPr>
            <w:rStyle w:val="Hyperlink"/>
            <w:noProof/>
          </w:rPr>
          <w:t>Produits différés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_Toc73356424 \h </w:instrText>
        </w:r>
        <w:r w:rsidR="003A1E34">
          <w:rPr>
            <w:noProof/>
            <w:webHidden/>
          </w:rPr>
        </w:r>
        <w:r w:rsidR="003A1E34">
          <w:rPr>
            <w:noProof/>
            <w:webHidden/>
          </w:rPr>
          <w:fldChar w:fldCharType="separate"/>
        </w:r>
        <w:r w:rsidR="0007628D">
          <w:rPr>
            <w:noProof/>
            <w:webHidden/>
          </w:rPr>
          <w:t>59</w:t>
        </w:r>
        <w:r w:rsidR="003A1E34">
          <w:rPr>
            <w:noProof/>
            <w:webHidden/>
          </w:rPr>
          <w:fldChar w:fldCharType="end"/>
        </w:r>
      </w:hyperlink>
    </w:p>
    <w:p w14:paraId="6A3DD9C1" w14:textId="2404EAD8" w:rsidR="003A1E34" w:rsidRDefault="00B774B6">
      <w:pPr>
        <w:pStyle w:val="TOC1"/>
        <w:rPr>
          <w:rFonts w:asciiTheme="minorHAnsi" w:eastAsiaTheme="minorEastAsia" w:hAnsiTheme="minorHAnsi" w:cstheme="minorBidi"/>
          <w:noProof/>
          <w:sz w:val="22"/>
          <w:szCs w:val="22"/>
          <w:lang w:val="en-US"/>
        </w:rPr>
      </w:pPr>
      <w:hyperlink w:anchor="_Toc73356425" w:history="1">
        <w:r w:rsidR="003A1E34" w:rsidRPr="00E2782B">
          <w:rPr>
            <w:rStyle w:val="Hyperlink"/>
            <w:noProof/>
          </w:rPr>
          <w:t>Note 16</w:t>
        </w:r>
        <w:r w:rsidR="003A1E34">
          <w:rPr>
            <w:rFonts w:asciiTheme="minorHAnsi" w:eastAsiaTheme="minorEastAsia" w:hAnsiTheme="minorHAnsi" w:cstheme="minorBidi"/>
            <w:noProof/>
            <w:sz w:val="22"/>
            <w:szCs w:val="22"/>
            <w:lang w:val="en-US"/>
          </w:rPr>
          <w:tab/>
        </w:r>
        <w:r w:rsidR="003A1E34" w:rsidRPr="00E2782B">
          <w:rPr>
            <w:rStyle w:val="Hyperlink"/>
            <w:noProof/>
          </w:rPr>
          <w:t>Emprunts et autres dettes financières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_Toc73356425 \h </w:instrText>
        </w:r>
        <w:r w:rsidR="003A1E34">
          <w:rPr>
            <w:noProof/>
            <w:webHidden/>
          </w:rPr>
        </w:r>
        <w:r w:rsidR="003A1E34">
          <w:rPr>
            <w:noProof/>
            <w:webHidden/>
          </w:rPr>
          <w:fldChar w:fldCharType="separate"/>
        </w:r>
        <w:r w:rsidR="0007628D">
          <w:rPr>
            <w:noProof/>
            <w:webHidden/>
          </w:rPr>
          <w:t>60</w:t>
        </w:r>
        <w:r w:rsidR="003A1E34">
          <w:rPr>
            <w:noProof/>
            <w:webHidden/>
          </w:rPr>
          <w:fldChar w:fldCharType="end"/>
        </w:r>
      </w:hyperlink>
    </w:p>
    <w:p w14:paraId="61D7B8D9" w14:textId="4B3D90DA" w:rsidR="003A1E34" w:rsidRDefault="00B774B6">
      <w:pPr>
        <w:pStyle w:val="TOC1"/>
        <w:rPr>
          <w:rFonts w:asciiTheme="minorHAnsi" w:eastAsiaTheme="minorEastAsia" w:hAnsiTheme="minorHAnsi" w:cstheme="minorBidi"/>
          <w:noProof/>
          <w:sz w:val="22"/>
          <w:szCs w:val="22"/>
          <w:lang w:val="en-US"/>
        </w:rPr>
      </w:pPr>
      <w:hyperlink w:anchor="_Toc73356426" w:history="1">
        <w:r w:rsidR="003A1E34" w:rsidRPr="00E2782B">
          <w:rPr>
            <w:rStyle w:val="Hyperlink"/>
            <w:noProof/>
          </w:rPr>
          <w:t>Note 17</w:t>
        </w:r>
        <w:r w:rsidR="003A1E34">
          <w:rPr>
            <w:rFonts w:asciiTheme="minorHAnsi" w:eastAsiaTheme="minorEastAsia" w:hAnsiTheme="minorHAnsi" w:cstheme="minorBidi"/>
            <w:noProof/>
            <w:sz w:val="22"/>
            <w:szCs w:val="22"/>
            <w:lang w:val="en-US"/>
          </w:rPr>
          <w:tab/>
        </w:r>
        <w:r w:rsidR="003A1E34" w:rsidRPr="00E2782B">
          <w:rPr>
            <w:rStyle w:val="Hyperlink"/>
            <w:noProof/>
          </w:rPr>
          <w:t>Avantages du personnel</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_Toc73356426 \h </w:instrText>
        </w:r>
        <w:r w:rsidR="003A1E34">
          <w:rPr>
            <w:noProof/>
            <w:webHidden/>
          </w:rPr>
        </w:r>
        <w:r w:rsidR="003A1E34">
          <w:rPr>
            <w:noProof/>
            <w:webHidden/>
          </w:rPr>
          <w:fldChar w:fldCharType="separate"/>
        </w:r>
        <w:r w:rsidR="0007628D">
          <w:rPr>
            <w:noProof/>
            <w:webHidden/>
          </w:rPr>
          <w:t>60</w:t>
        </w:r>
        <w:r w:rsidR="003A1E34">
          <w:rPr>
            <w:noProof/>
            <w:webHidden/>
          </w:rPr>
          <w:fldChar w:fldCharType="end"/>
        </w:r>
      </w:hyperlink>
    </w:p>
    <w:p w14:paraId="3CDBB42E" w14:textId="53A22C9D" w:rsidR="003A1E34" w:rsidRDefault="00B774B6">
      <w:pPr>
        <w:pStyle w:val="TOC1"/>
        <w:rPr>
          <w:rFonts w:asciiTheme="minorHAnsi" w:eastAsiaTheme="minorEastAsia" w:hAnsiTheme="minorHAnsi" w:cstheme="minorBidi"/>
          <w:noProof/>
          <w:sz w:val="22"/>
          <w:szCs w:val="22"/>
          <w:lang w:val="en-US"/>
        </w:rPr>
      </w:pPr>
      <w:hyperlink w:anchor="_Toc73356436" w:history="1">
        <w:r w:rsidR="003A1E34" w:rsidRPr="00E2782B">
          <w:rPr>
            <w:rStyle w:val="Hyperlink"/>
            <w:noProof/>
          </w:rPr>
          <w:t>Note 18</w:t>
        </w:r>
        <w:r w:rsidR="003A1E34">
          <w:rPr>
            <w:rFonts w:asciiTheme="minorHAnsi" w:eastAsiaTheme="minorEastAsia" w:hAnsiTheme="minorHAnsi" w:cstheme="minorBidi"/>
            <w:noProof/>
            <w:sz w:val="22"/>
            <w:szCs w:val="22"/>
            <w:lang w:val="en-US"/>
          </w:rPr>
          <w:tab/>
        </w:r>
        <w:r w:rsidR="003A1E34" w:rsidRPr="00E2782B">
          <w:rPr>
            <w:rStyle w:val="Hyperlink"/>
            <w:noProof/>
          </w:rPr>
          <w:t>Provisions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_Toc73356436 \h </w:instrText>
        </w:r>
        <w:r w:rsidR="003A1E34">
          <w:rPr>
            <w:noProof/>
            <w:webHidden/>
          </w:rPr>
        </w:r>
        <w:r w:rsidR="003A1E34">
          <w:rPr>
            <w:noProof/>
            <w:webHidden/>
          </w:rPr>
          <w:fldChar w:fldCharType="separate"/>
        </w:r>
        <w:r w:rsidR="0007628D">
          <w:rPr>
            <w:noProof/>
            <w:webHidden/>
          </w:rPr>
          <w:t>68</w:t>
        </w:r>
        <w:r w:rsidR="003A1E34">
          <w:rPr>
            <w:noProof/>
            <w:webHidden/>
          </w:rPr>
          <w:fldChar w:fldCharType="end"/>
        </w:r>
      </w:hyperlink>
    </w:p>
    <w:p w14:paraId="539C1284" w14:textId="4A174D11" w:rsidR="003A1E34" w:rsidRDefault="00B774B6">
      <w:pPr>
        <w:pStyle w:val="TOC1"/>
        <w:rPr>
          <w:rFonts w:asciiTheme="minorHAnsi" w:eastAsiaTheme="minorEastAsia" w:hAnsiTheme="minorHAnsi" w:cstheme="minorBidi"/>
          <w:noProof/>
          <w:sz w:val="22"/>
          <w:szCs w:val="22"/>
          <w:lang w:val="en-US"/>
        </w:rPr>
      </w:pPr>
      <w:hyperlink w:anchor="_Toc73356437" w:history="1">
        <w:r w:rsidR="003A1E34" w:rsidRPr="00E2782B">
          <w:rPr>
            <w:rStyle w:val="Hyperlink"/>
            <w:noProof/>
          </w:rPr>
          <w:t>Note 19</w:t>
        </w:r>
        <w:r w:rsidR="003A1E34">
          <w:rPr>
            <w:rFonts w:asciiTheme="minorHAnsi" w:eastAsiaTheme="minorEastAsia" w:hAnsiTheme="minorHAnsi" w:cstheme="minorBidi"/>
            <w:noProof/>
            <w:sz w:val="22"/>
            <w:szCs w:val="22"/>
            <w:lang w:val="en-US"/>
          </w:rPr>
          <w:tab/>
        </w:r>
        <w:r w:rsidR="003A1E34" w:rsidRPr="00E2782B">
          <w:rPr>
            <w:rStyle w:val="Hyperlink"/>
            <w:noProof/>
          </w:rPr>
          <w:t>Autres dettes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_Toc73356437 \h </w:instrText>
        </w:r>
        <w:r w:rsidR="003A1E34">
          <w:rPr>
            <w:noProof/>
            <w:webHidden/>
          </w:rPr>
        </w:r>
        <w:r w:rsidR="003A1E34">
          <w:rPr>
            <w:noProof/>
            <w:webHidden/>
          </w:rPr>
          <w:fldChar w:fldCharType="separate"/>
        </w:r>
        <w:r w:rsidR="0007628D">
          <w:rPr>
            <w:noProof/>
            <w:webHidden/>
          </w:rPr>
          <w:t>69</w:t>
        </w:r>
        <w:r w:rsidR="003A1E34">
          <w:rPr>
            <w:noProof/>
            <w:webHidden/>
          </w:rPr>
          <w:fldChar w:fldCharType="end"/>
        </w:r>
      </w:hyperlink>
    </w:p>
    <w:p w14:paraId="257F2892" w14:textId="1FEB7B9E" w:rsidR="003A1E34" w:rsidRDefault="00B774B6">
      <w:pPr>
        <w:pStyle w:val="TOC1"/>
        <w:rPr>
          <w:rFonts w:asciiTheme="minorHAnsi" w:eastAsiaTheme="minorEastAsia" w:hAnsiTheme="minorHAnsi" w:cstheme="minorBidi"/>
          <w:noProof/>
          <w:sz w:val="22"/>
          <w:szCs w:val="22"/>
          <w:lang w:val="en-US"/>
        </w:rPr>
      </w:pPr>
      <w:hyperlink w:anchor="_Toc73356438" w:history="1">
        <w:r w:rsidR="003A1E34" w:rsidRPr="00E2782B">
          <w:rPr>
            <w:rStyle w:val="Hyperlink"/>
            <w:noProof/>
          </w:rPr>
          <w:t>Note 20</w:t>
        </w:r>
        <w:r w:rsidR="003A1E34">
          <w:rPr>
            <w:rFonts w:asciiTheme="minorHAnsi" w:eastAsiaTheme="minorEastAsia" w:hAnsiTheme="minorHAnsi" w:cstheme="minorBidi"/>
            <w:noProof/>
            <w:sz w:val="22"/>
            <w:szCs w:val="22"/>
            <w:lang w:val="en-US"/>
          </w:rPr>
          <w:tab/>
        </w:r>
        <w:r w:rsidR="003A1E34" w:rsidRPr="00E2782B">
          <w:rPr>
            <w:rStyle w:val="Hyperlink"/>
            <w:noProof/>
          </w:rPr>
          <w:t>Fonds extrabudgétaires affectés et non affectés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_Toc73356438 \h </w:instrText>
        </w:r>
        <w:r w:rsidR="003A1E34">
          <w:rPr>
            <w:noProof/>
            <w:webHidden/>
          </w:rPr>
        </w:r>
        <w:r w:rsidR="003A1E34">
          <w:rPr>
            <w:noProof/>
            <w:webHidden/>
          </w:rPr>
          <w:fldChar w:fldCharType="separate"/>
        </w:r>
        <w:r w:rsidR="0007628D">
          <w:rPr>
            <w:noProof/>
            <w:webHidden/>
          </w:rPr>
          <w:t>69</w:t>
        </w:r>
        <w:r w:rsidR="003A1E34">
          <w:rPr>
            <w:noProof/>
            <w:webHidden/>
          </w:rPr>
          <w:fldChar w:fldCharType="end"/>
        </w:r>
      </w:hyperlink>
    </w:p>
    <w:p w14:paraId="1A4441FB" w14:textId="2876111D" w:rsidR="003A1E34" w:rsidRDefault="00B774B6">
      <w:pPr>
        <w:pStyle w:val="TOC1"/>
        <w:rPr>
          <w:rFonts w:asciiTheme="minorHAnsi" w:eastAsiaTheme="minorEastAsia" w:hAnsiTheme="minorHAnsi" w:cstheme="minorBidi"/>
          <w:noProof/>
          <w:sz w:val="22"/>
          <w:szCs w:val="22"/>
          <w:lang w:val="en-US"/>
        </w:rPr>
      </w:pPr>
      <w:hyperlink w:anchor="_Toc73356439" w:history="1">
        <w:r w:rsidR="003A1E34" w:rsidRPr="00E2782B">
          <w:rPr>
            <w:rStyle w:val="Hyperlink"/>
            <w:noProof/>
          </w:rPr>
          <w:t>Note 21</w:t>
        </w:r>
        <w:r w:rsidR="003A1E34">
          <w:rPr>
            <w:rFonts w:asciiTheme="minorHAnsi" w:eastAsiaTheme="minorEastAsia" w:hAnsiTheme="minorHAnsi" w:cstheme="minorBidi"/>
            <w:noProof/>
            <w:sz w:val="22"/>
            <w:szCs w:val="22"/>
            <w:lang w:val="en-US"/>
          </w:rPr>
          <w:tab/>
        </w:r>
        <w:r w:rsidR="003A1E34" w:rsidRPr="00E2782B">
          <w:rPr>
            <w:rStyle w:val="Hyperlink"/>
            <w:noProof/>
          </w:rPr>
          <w:t>Contributions mises en recouvrement</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_Toc73356439 \h </w:instrText>
        </w:r>
        <w:r w:rsidR="003A1E34">
          <w:rPr>
            <w:noProof/>
            <w:webHidden/>
          </w:rPr>
        </w:r>
        <w:r w:rsidR="003A1E34">
          <w:rPr>
            <w:noProof/>
            <w:webHidden/>
          </w:rPr>
          <w:fldChar w:fldCharType="separate"/>
        </w:r>
        <w:r w:rsidR="0007628D">
          <w:rPr>
            <w:noProof/>
            <w:webHidden/>
          </w:rPr>
          <w:t>70</w:t>
        </w:r>
        <w:r w:rsidR="003A1E34">
          <w:rPr>
            <w:noProof/>
            <w:webHidden/>
          </w:rPr>
          <w:fldChar w:fldCharType="end"/>
        </w:r>
      </w:hyperlink>
    </w:p>
    <w:p w14:paraId="47A404F6" w14:textId="1DEBCCFE" w:rsidR="003A1E34" w:rsidRDefault="00B774B6">
      <w:pPr>
        <w:pStyle w:val="TOC1"/>
        <w:rPr>
          <w:rFonts w:asciiTheme="minorHAnsi" w:eastAsiaTheme="minorEastAsia" w:hAnsiTheme="minorHAnsi" w:cstheme="minorBidi"/>
          <w:noProof/>
          <w:sz w:val="22"/>
          <w:szCs w:val="22"/>
          <w:lang w:val="en-US"/>
        </w:rPr>
      </w:pPr>
      <w:hyperlink w:anchor="_Toc73356440" w:history="1">
        <w:r w:rsidR="003A1E34" w:rsidRPr="00E2782B">
          <w:rPr>
            <w:rStyle w:val="Hyperlink"/>
            <w:noProof/>
          </w:rPr>
          <w:t>Note 22</w:t>
        </w:r>
        <w:r w:rsidR="003A1E34">
          <w:rPr>
            <w:rFonts w:asciiTheme="minorHAnsi" w:eastAsiaTheme="minorEastAsia" w:hAnsiTheme="minorHAnsi" w:cstheme="minorBidi"/>
            <w:noProof/>
            <w:sz w:val="22"/>
            <w:szCs w:val="22"/>
            <w:lang w:val="en-US"/>
          </w:rPr>
          <w:tab/>
        </w:r>
        <w:r w:rsidR="003A1E34" w:rsidRPr="00E2782B">
          <w:rPr>
            <w:rStyle w:val="Hyperlink"/>
            <w:noProof/>
          </w:rPr>
          <w:t>Produits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_Toc73356440 \h </w:instrText>
        </w:r>
        <w:r w:rsidR="003A1E34">
          <w:rPr>
            <w:noProof/>
            <w:webHidden/>
          </w:rPr>
        </w:r>
        <w:r w:rsidR="003A1E34">
          <w:rPr>
            <w:noProof/>
            <w:webHidden/>
          </w:rPr>
          <w:fldChar w:fldCharType="separate"/>
        </w:r>
        <w:r w:rsidR="0007628D">
          <w:rPr>
            <w:noProof/>
            <w:webHidden/>
          </w:rPr>
          <w:t>70</w:t>
        </w:r>
        <w:r w:rsidR="003A1E34">
          <w:rPr>
            <w:noProof/>
            <w:webHidden/>
          </w:rPr>
          <w:fldChar w:fldCharType="end"/>
        </w:r>
      </w:hyperlink>
    </w:p>
    <w:p w14:paraId="7A5F35D8" w14:textId="7436AA66" w:rsidR="003A1E34" w:rsidRDefault="00B774B6">
      <w:pPr>
        <w:pStyle w:val="TOC1"/>
        <w:rPr>
          <w:rFonts w:asciiTheme="minorHAnsi" w:eastAsiaTheme="minorEastAsia" w:hAnsiTheme="minorHAnsi" w:cstheme="minorBidi"/>
          <w:noProof/>
          <w:sz w:val="22"/>
          <w:szCs w:val="22"/>
          <w:lang w:val="en-US"/>
        </w:rPr>
      </w:pPr>
      <w:hyperlink w:anchor="_Toc73356441" w:history="1">
        <w:r w:rsidR="003A1E34" w:rsidRPr="00E2782B">
          <w:rPr>
            <w:rStyle w:val="Hyperlink"/>
            <w:noProof/>
          </w:rPr>
          <w:t>Contributions volontaires</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_Toc73356441 \h </w:instrText>
        </w:r>
        <w:r w:rsidR="003A1E34">
          <w:rPr>
            <w:noProof/>
            <w:webHidden/>
          </w:rPr>
        </w:r>
        <w:r w:rsidR="003A1E34">
          <w:rPr>
            <w:noProof/>
            <w:webHidden/>
          </w:rPr>
          <w:fldChar w:fldCharType="separate"/>
        </w:r>
        <w:r w:rsidR="0007628D">
          <w:rPr>
            <w:noProof/>
            <w:webHidden/>
          </w:rPr>
          <w:t>70</w:t>
        </w:r>
        <w:r w:rsidR="003A1E34">
          <w:rPr>
            <w:noProof/>
            <w:webHidden/>
          </w:rPr>
          <w:fldChar w:fldCharType="end"/>
        </w:r>
      </w:hyperlink>
    </w:p>
    <w:p w14:paraId="31A18F90" w14:textId="1118A6D0" w:rsidR="003A1E34" w:rsidRDefault="00B774B6">
      <w:pPr>
        <w:pStyle w:val="TOC1"/>
        <w:rPr>
          <w:rFonts w:asciiTheme="minorHAnsi" w:eastAsiaTheme="minorEastAsia" w:hAnsiTheme="minorHAnsi" w:cstheme="minorBidi"/>
          <w:noProof/>
          <w:sz w:val="22"/>
          <w:szCs w:val="22"/>
          <w:lang w:val="en-US"/>
        </w:rPr>
      </w:pPr>
      <w:hyperlink w:anchor="_Toc73356442" w:history="1">
        <w:r w:rsidR="003A1E34" w:rsidRPr="00E2782B">
          <w:rPr>
            <w:rStyle w:val="Hyperlink"/>
            <w:noProof/>
          </w:rPr>
          <w:t>Autres produits d'exploitation</w:t>
        </w:r>
        <w:r w:rsidR="003A1E34">
          <w:rPr>
            <w:noProof/>
            <w:webHidden/>
          </w:rPr>
          <w:tab/>
        </w:r>
        <w:r w:rsidR="00CB48F1">
          <w:rPr>
            <w:noProof/>
            <w:webHidden/>
          </w:rPr>
          <w:tab/>
        </w:r>
        <w:r w:rsidR="003A1E34">
          <w:rPr>
            <w:noProof/>
            <w:webHidden/>
          </w:rPr>
          <w:fldChar w:fldCharType="begin"/>
        </w:r>
        <w:r w:rsidR="003A1E34">
          <w:rPr>
            <w:noProof/>
            <w:webHidden/>
          </w:rPr>
          <w:instrText xml:space="preserve"> PAGEREF _Toc73356442 \h </w:instrText>
        </w:r>
        <w:r w:rsidR="003A1E34">
          <w:rPr>
            <w:noProof/>
            <w:webHidden/>
          </w:rPr>
        </w:r>
        <w:r w:rsidR="003A1E34">
          <w:rPr>
            <w:noProof/>
            <w:webHidden/>
          </w:rPr>
          <w:fldChar w:fldCharType="separate"/>
        </w:r>
        <w:r w:rsidR="0007628D">
          <w:rPr>
            <w:noProof/>
            <w:webHidden/>
          </w:rPr>
          <w:t>70</w:t>
        </w:r>
        <w:r w:rsidR="003A1E34">
          <w:rPr>
            <w:noProof/>
            <w:webHidden/>
          </w:rPr>
          <w:fldChar w:fldCharType="end"/>
        </w:r>
      </w:hyperlink>
    </w:p>
    <w:p w14:paraId="69264721" w14:textId="45608CDD" w:rsidR="00127735" w:rsidRPr="00127735" w:rsidRDefault="00127735" w:rsidP="00127735">
      <w:pPr>
        <w:pStyle w:val="toc0"/>
        <w:rPr>
          <w:rStyle w:val="Hyperlink"/>
          <w:noProof/>
          <w:color w:val="auto"/>
        </w:rPr>
      </w:pPr>
      <w:r w:rsidRPr="00127735">
        <w:rPr>
          <w:noProof/>
        </w:rPr>
        <w:lastRenderedPageBreak/>
        <w:tab/>
        <w:t>Page</w:t>
      </w:r>
    </w:p>
    <w:p w14:paraId="1E0D56F7" w14:textId="1866151A" w:rsidR="003A1E34" w:rsidRDefault="00B774B6">
      <w:pPr>
        <w:pStyle w:val="TOC1"/>
        <w:rPr>
          <w:rFonts w:asciiTheme="minorHAnsi" w:eastAsiaTheme="minorEastAsia" w:hAnsiTheme="minorHAnsi" w:cstheme="minorBidi"/>
          <w:noProof/>
          <w:sz w:val="22"/>
          <w:szCs w:val="22"/>
          <w:lang w:val="en-US"/>
        </w:rPr>
      </w:pPr>
      <w:hyperlink w:anchor="_Toc73356443" w:history="1">
        <w:r w:rsidR="003A1E34" w:rsidRPr="00E2782B">
          <w:rPr>
            <w:rStyle w:val="Hyperlink"/>
            <w:noProof/>
          </w:rPr>
          <w:t>Produits financiers</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_Toc73356443 \h </w:instrText>
        </w:r>
        <w:r w:rsidR="003A1E34">
          <w:rPr>
            <w:noProof/>
            <w:webHidden/>
          </w:rPr>
        </w:r>
        <w:r w:rsidR="003A1E34">
          <w:rPr>
            <w:noProof/>
            <w:webHidden/>
          </w:rPr>
          <w:fldChar w:fldCharType="separate"/>
        </w:r>
        <w:r w:rsidR="0007628D">
          <w:rPr>
            <w:noProof/>
            <w:webHidden/>
          </w:rPr>
          <w:t>71</w:t>
        </w:r>
        <w:r w:rsidR="003A1E34">
          <w:rPr>
            <w:noProof/>
            <w:webHidden/>
          </w:rPr>
          <w:fldChar w:fldCharType="end"/>
        </w:r>
      </w:hyperlink>
    </w:p>
    <w:p w14:paraId="00CDF86F" w14:textId="6A98F655" w:rsidR="003A1E34" w:rsidRDefault="00B774B6">
      <w:pPr>
        <w:pStyle w:val="TOC1"/>
        <w:rPr>
          <w:rFonts w:asciiTheme="minorHAnsi" w:eastAsiaTheme="minorEastAsia" w:hAnsiTheme="minorHAnsi" w:cstheme="minorBidi"/>
          <w:noProof/>
          <w:sz w:val="22"/>
          <w:szCs w:val="22"/>
          <w:lang w:val="en-US"/>
        </w:rPr>
      </w:pPr>
      <w:hyperlink w:anchor="_Toc73356444" w:history="1">
        <w:r w:rsidR="003A1E34" w:rsidRPr="00E2782B">
          <w:rPr>
            <w:rStyle w:val="Hyperlink"/>
            <w:noProof/>
          </w:rPr>
          <w:t>Note 23</w:t>
        </w:r>
        <w:r w:rsidR="003A1E34">
          <w:rPr>
            <w:rFonts w:asciiTheme="minorHAnsi" w:eastAsiaTheme="minorEastAsia" w:hAnsiTheme="minorHAnsi" w:cstheme="minorBidi"/>
            <w:noProof/>
            <w:sz w:val="22"/>
            <w:szCs w:val="22"/>
            <w:lang w:val="en-US"/>
          </w:rPr>
          <w:tab/>
        </w:r>
        <w:r w:rsidR="003A1E34" w:rsidRPr="00E2782B">
          <w:rPr>
            <w:rStyle w:val="Hyperlink"/>
            <w:noProof/>
          </w:rPr>
          <w:t>Charges</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_Toc73356444 \h </w:instrText>
        </w:r>
        <w:r w:rsidR="003A1E34">
          <w:rPr>
            <w:noProof/>
            <w:webHidden/>
          </w:rPr>
        </w:r>
        <w:r w:rsidR="003A1E34">
          <w:rPr>
            <w:noProof/>
            <w:webHidden/>
          </w:rPr>
          <w:fldChar w:fldCharType="separate"/>
        </w:r>
        <w:r w:rsidR="0007628D">
          <w:rPr>
            <w:noProof/>
            <w:webHidden/>
          </w:rPr>
          <w:t>71</w:t>
        </w:r>
        <w:r w:rsidR="003A1E34">
          <w:rPr>
            <w:noProof/>
            <w:webHidden/>
          </w:rPr>
          <w:fldChar w:fldCharType="end"/>
        </w:r>
      </w:hyperlink>
    </w:p>
    <w:p w14:paraId="78C05E5D" w14:textId="41FB2415" w:rsidR="003A1E34" w:rsidRDefault="00B774B6">
      <w:pPr>
        <w:pStyle w:val="TOC1"/>
        <w:rPr>
          <w:rFonts w:asciiTheme="minorHAnsi" w:eastAsiaTheme="minorEastAsia" w:hAnsiTheme="minorHAnsi" w:cstheme="minorBidi"/>
          <w:noProof/>
          <w:sz w:val="22"/>
          <w:szCs w:val="22"/>
          <w:lang w:val="en-US"/>
        </w:rPr>
      </w:pPr>
      <w:hyperlink w:anchor="_Toc73356445" w:history="1">
        <w:r w:rsidR="003A1E34" w:rsidRPr="00E2782B">
          <w:rPr>
            <w:rStyle w:val="Hyperlink"/>
            <w:noProof/>
          </w:rPr>
          <w:t>Charges de personnel</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_Toc73356445 \h </w:instrText>
        </w:r>
        <w:r w:rsidR="003A1E34">
          <w:rPr>
            <w:noProof/>
            <w:webHidden/>
          </w:rPr>
        </w:r>
        <w:r w:rsidR="003A1E34">
          <w:rPr>
            <w:noProof/>
            <w:webHidden/>
          </w:rPr>
          <w:fldChar w:fldCharType="separate"/>
        </w:r>
        <w:r w:rsidR="0007628D">
          <w:rPr>
            <w:noProof/>
            <w:webHidden/>
          </w:rPr>
          <w:t>71</w:t>
        </w:r>
        <w:r w:rsidR="003A1E34">
          <w:rPr>
            <w:noProof/>
            <w:webHidden/>
          </w:rPr>
          <w:fldChar w:fldCharType="end"/>
        </w:r>
      </w:hyperlink>
    </w:p>
    <w:p w14:paraId="06F0FDCA" w14:textId="07C08EB7" w:rsidR="003A1E34" w:rsidRDefault="00B774B6">
      <w:pPr>
        <w:pStyle w:val="TOC1"/>
        <w:rPr>
          <w:rFonts w:asciiTheme="minorHAnsi" w:eastAsiaTheme="minorEastAsia" w:hAnsiTheme="minorHAnsi" w:cstheme="minorBidi"/>
          <w:noProof/>
          <w:sz w:val="22"/>
          <w:szCs w:val="22"/>
          <w:lang w:val="en-US"/>
        </w:rPr>
      </w:pPr>
      <w:hyperlink w:anchor="_Toc73356446" w:history="1">
        <w:r w:rsidR="003A1E34" w:rsidRPr="00E2782B">
          <w:rPr>
            <w:rStyle w:val="Hyperlink"/>
            <w:noProof/>
          </w:rPr>
          <w:t>Frais de mission</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_Toc73356446 \h </w:instrText>
        </w:r>
        <w:r w:rsidR="003A1E34">
          <w:rPr>
            <w:noProof/>
            <w:webHidden/>
          </w:rPr>
        </w:r>
        <w:r w:rsidR="003A1E34">
          <w:rPr>
            <w:noProof/>
            <w:webHidden/>
          </w:rPr>
          <w:fldChar w:fldCharType="separate"/>
        </w:r>
        <w:r w:rsidR="0007628D">
          <w:rPr>
            <w:noProof/>
            <w:webHidden/>
          </w:rPr>
          <w:t>72</w:t>
        </w:r>
        <w:r w:rsidR="003A1E34">
          <w:rPr>
            <w:noProof/>
            <w:webHidden/>
          </w:rPr>
          <w:fldChar w:fldCharType="end"/>
        </w:r>
      </w:hyperlink>
    </w:p>
    <w:p w14:paraId="6644F1E4" w14:textId="7C666151" w:rsidR="003A1E34" w:rsidRDefault="00B774B6">
      <w:pPr>
        <w:pStyle w:val="TOC1"/>
        <w:rPr>
          <w:rFonts w:asciiTheme="minorHAnsi" w:eastAsiaTheme="minorEastAsia" w:hAnsiTheme="minorHAnsi" w:cstheme="minorBidi"/>
          <w:noProof/>
          <w:sz w:val="22"/>
          <w:szCs w:val="22"/>
          <w:lang w:val="en-US"/>
        </w:rPr>
      </w:pPr>
      <w:hyperlink w:anchor="_Toc73356447" w:history="1">
        <w:r w:rsidR="003A1E34" w:rsidRPr="00E2782B">
          <w:rPr>
            <w:rStyle w:val="Hyperlink"/>
            <w:noProof/>
          </w:rPr>
          <w:t>Services contractuels</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_Toc73356447 \h </w:instrText>
        </w:r>
        <w:r w:rsidR="003A1E34">
          <w:rPr>
            <w:noProof/>
            <w:webHidden/>
          </w:rPr>
        </w:r>
        <w:r w:rsidR="003A1E34">
          <w:rPr>
            <w:noProof/>
            <w:webHidden/>
          </w:rPr>
          <w:fldChar w:fldCharType="separate"/>
        </w:r>
        <w:r w:rsidR="0007628D">
          <w:rPr>
            <w:noProof/>
            <w:webHidden/>
          </w:rPr>
          <w:t>72</w:t>
        </w:r>
        <w:r w:rsidR="003A1E34">
          <w:rPr>
            <w:noProof/>
            <w:webHidden/>
          </w:rPr>
          <w:fldChar w:fldCharType="end"/>
        </w:r>
      </w:hyperlink>
    </w:p>
    <w:p w14:paraId="7E00AAEA" w14:textId="54749FB8" w:rsidR="003A1E34" w:rsidRDefault="00B774B6">
      <w:pPr>
        <w:pStyle w:val="TOC1"/>
        <w:rPr>
          <w:rFonts w:asciiTheme="minorHAnsi" w:eastAsiaTheme="minorEastAsia" w:hAnsiTheme="minorHAnsi" w:cstheme="minorBidi"/>
          <w:noProof/>
          <w:sz w:val="22"/>
          <w:szCs w:val="22"/>
          <w:lang w:val="en-US"/>
        </w:rPr>
      </w:pPr>
      <w:hyperlink w:anchor="_Toc73356448" w:history="1">
        <w:r w:rsidR="003A1E34" w:rsidRPr="00E2782B">
          <w:rPr>
            <w:rStyle w:val="Hyperlink"/>
            <w:noProof/>
          </w:rPr>
          <w:t>Location et entretien des locaux et équipements</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_Toc73356448 \h </w:instrText>
        </w:r>
        <w:r w:rsidR="003A1E34">
          <w:rPr>
            <w:noProof/>
            <w:webHidden/>
          </w:rPr>
        </w:r>
        <w:r w:rsidR="003A1E34">
          <w:rPr>
            <w:noProof/>
            <w:webHidden/>
          </w:rPr>
          <w:fldChar w:fldCharType="separate"/>
        </w:r>
        <w:r w:rsidR="0007628D">
          <w:rPr>
            <w:noProof/>
            <w:webHidden/>
          </w:rPr>
          <w:t>72</w:t>
        </w:r>
        <w:r w:rsidR="003A1E34">
          <w:rPr>
            <w:noProof/>
            <w:webHidden/>
          </w:rPr>
          <w:fldChar w:fldCharType="end"/>
        </w:r>
      </w:hyperlink>
    </w:p>
    <w:p w14:paraId="7AA9D335" w14:textId="31DC74DE" w:rsidR="003A1E34" w:rsidRDefault="00B774B6">
      <w:pPr>
        <w:pStyle w:val="TOC1"/>
        <w:rPr>
          <w:rFonts w:asciiTheme="minorHAnsi" w:eastAsiaTheme="minorEastAsia" w:hAnsiTheme="minorHAnsi" w:cstheme="minorBidi"/>
          <w:noProof/>
          <w:sz w:val="22"/>
          <w:szCs w:val="22"/>
          <w:lang w:val="en-US"/>
        </w:rPr>
      </w:pPr>
      <w:hyperlink w:anchor="_Toc73356449" w:history="1">
        <w:r w:rsidR="003A1E34" w:rsidRPr="00E2782B">
          <w:rPr>
            <w:rStyle w:val="Hyperlink"/>
            <w:noProof/>
          </w:rPr>
          <w:t>Matériels et fournitures, frais d'expédition et de télécommunications et services</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_Toc73356449 \h </w:instrText>
        </w:r>
        <w:r w:rsidR="003A1E34">
          <w:rPr>
            <w:noProof/>
            <w:webHidden/>
          </w:rPr>
        </w:r>
        <w:r w:rsidR="003A1E34">
          <w:rPr>
            <w:noProof/>
            <w:webHidden/>
          </w:rPr>
          <w:fldChar w:fldCharType="separate"/>
        </w:r>
        <w:r w:rsidR="0007628D">
          <w:rPr>
            <w:noProof/>
            <w:webHidden/>
          </w:rPr>
          <w:t>73</w:t>
        </w:r>
        <w:r w:rsidR="003A1E34">
          <w:rPr>
            <w:noProof/>
            <w:webHidden/>
          </w:rPr>
          <w:fldChar w:fldCharType="end"/>
        </w:r>
      </w:hyperlink>
    </w:p>
    <w:p w14:paraId="6018905D" w14:textId="2E92EBDA" w:rsidR="003A1E34" w:rsidRDefault="00B774B6">
      <w:pPr>
        <w:pStyle w:val="TOC1"/>
        <w:rPr>
          <w:rFonts w:asciiTheme="minorHAnsi" w:eastAsiaTheme="minorEastAsia" w:hAnsiTheme="minorHAnsi" w:cstheme="minorBidi"/>
          <w:noProof/>
          <w:sz w:val="22"/>
          <w:szCs w:val="22"/>
          <w:lang w:val="en-US"/>
        </w:rPr>
      </w:pPr>
      <w:hyperlink w:anchor="_Toc73356450" w:history="1">
        <w:r w:rsidR="003A1E34" w:rsidRPr="00E2782B">
          <w:rPr>
            <w:rStyle w:val="Hyperlink"/>
            <w:noProof/>
          </w:rPr>
          <w:t>Autres charges</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_Toc73356450 \h </w:instrText>
        </w:r>
        <w:r w:rsidR="003A1E34">
          <w:rPr>
            <w:noProof/>
            <w:webHidden/>
          </w:rPr>
        </w:r>
        <w:r w:rsidR="003A1E34">
          <w:rPr>
            <w:noProof/>
            <w:webHidden/>
          </w:rPr>
          <w:fldChar w:fldCharType="separate"/>
        </w:r>
        <w:r w:rsidR="0007628D">
          <w:rPr>
            <w:noProof/>
            <w:webHidden/>
          </w:rPr>
          <w:t>73</w:t>
        </w:r>
        <w:r w:rsidR="003A1E34">
          <w:rPr>
            <w:noProof/>
            <w:webHidden/>
          </w:rPr>
          <w:fldChar w:fldCharType="end"/>
        </w:r>
      </w:hyperlink>
    </w:p>
    <w:p w14:paraId="29672038" w14:textId="41F8E119" w:rsidR="003A1E34" w:rsidRDefault="00B774B6">
      <w:pPr>
        <w:pStyle w:val="TOC1"/>
        <w:rPr>
          <w:rFonts w:asciiTheme="minorHAnsi" w:eastAsiaTheme="minorEastAsia" w:hAnsiTheme="minorHAnsi" w:cstheme="minorBidi"/>
          <w:noProof/>
          <w:sz w:val="22"/>
          <w:szCs w:val="22"/>
          <w:lang w:val="en-US"/>
        </w:rPr>
      </w:pPr>
      <w:hyperlink w:anchor="_Toc73356451" w:history="1">
        <w:r w:rsidR="003A1E34" w:rsidRPr="00E2782B">
          <w:rPr>
            <w:rStyle w:val="Hyperlink"/>
            <w:noProof/>
          </w:rPr>
          <w:t>Charges financières</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_Toc73356451 \h </w:instrText>
        </w:r>
        <w:r w:rsidR="003A1E34">
          <w:rPr>
            <w:noProof/>
            <w:webHidden/>
          </w:rPr>
        </w:r>
        <w:r w:rsidR="003A1E34">
          <w:rPr>
            <w:noProof/>
            <w:webHidden/>
          </w:rPr>
          <w:fldChar w:fldCharType="separate"/>
        </w:r>
        <w:r w:rsidR="0007628D">
          <w:rPr>
            <w:noProof/>
            <w:webHidden/>
          </w:rPr>
          <w:t>73</w:t>
        </w:r>
        <w:r w:rsidR="003A1E34">
          <w:rPr>
            <w:noProof/>
            <w:webHidden/>
          </w:rPr>
          <w:fldChar w:fldCharType="end"/>
        </w:r>
      </w:hyperlink>
    </w:p>
    <w:p w14:paraId="744BD56A" w14:textId="783076FC" w:rsidR="003A1E34" w:rsidRDefault="00B774B6">
      <w:pPr>
        <w:pStyle w:val="TOC1"/>
        <w:rPr>
          <w:rFonts w:asciiTheme="minorHAnsi" w:eastAsiaTheme="minorEastAsia" w:hAnsiTheme="minorHAnsi" w:cstheme="minorBidi"/>
          <w:noProof/>
          <w:sz w:val="22"/>
          <w:szCs w:val="22"/>
          <w:lang w:val="en-US"/>
        </w:rPr>
      </w:pPr>
      <w:hyperlink w:anchor="_Toc73356452" w:history="1">
        <w:r w:rsidR="003A1E34" w:rsidRPr="00E2782B">
          <w:rPr>
            <w:rStyle w:val="Hyperlink"/>
            <w:noProof/>
          </w:rPr>
          <w:t>Note 24</w:t>
        </w:r>
        <w:r w:rsidR="003A1E34">
          <w:rPr>
            <w:rFonts w:asciiTheme="minorHAnsi" w:eastAsiaTheme="minorEastAsia" w:hAnsiTheme="minorHAnsi" w:cstheme="minorBidi"/>
            <w:noProof/>
            <w:sz w:val="22"/>
            <w:szCs w:val="22"/>
            <w:lang w:val="en-US"/>
          </w:rPr>
          <w:tab/>
        </w:r>
        <w:r w:rsidR="003A1E34" w:rsidRPr="00E2782B">
          <w:rPr>
            <w:rStyle w:val="Hyperlink"/>
            <w:noProof/>
          </w:rPr>
          <w:t>Informations sectorielles – État de la performance financière 2020</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_Toc73356452 \h </w:instrText>
        </w:r>
        <w:r w:rsidR="003A1E34">
          <w:rPr>
            <w:noProof/>
            <w:webHidden/>
          </w:rPr>
        </w:r>
        <w:r w:rsidR="003A1E34">
          <w:rPr>
            <w:noProof/>
            <w:webHidden/>
          </w:rPr>
          <w:fldChar w:fldCharType="separate"/>
        </w:r>
        <w:r w:rsidR="0007628D">
          <w:rPr>
            <w:noProof/>
            <w:webHidden/>
          </w:rPr>
          <w:t>74</w:t>
        </w:r>
        <w:r w:rsidR="003A1E34">
          <w:rPr>
            <w:noProof/>
            <w:webHidden/>
          </w:rPr>
          <w:fldChar w:fldCharType="end"/>
        </w:r>
      </w:hyperlink>
    </w:p>
    <w:p w14:paraId="1C4731E1" w14:textId="60AB7EB7" w:rsidR="003A1E34" w:rsidRDefault="00F429E8">
      <w:pPr>
        <w:pStyle w:val="TOC1"/>
        <w:rPr>
          <w:rFonts w:asciiTheme="minorHAnsi" w:eastAsiaTheme="minorEastAsia" w:hAnsiTheme="minorHAnsi" w:cstheme="minorBidi"/>
          <w:noProof/>
          <w:sz w:val="22"/>
          <w:szCs w:val="22"/>
          <w:lang w:val="en-US"/>
        </w:rPr>
      </w:pPr>
      <w:r w:rsidRPr="00F429E8">
        <w:rPr>
          <w:rStyle w:val="Hyperlink"/>
          <w:noProof/>
          <w:u w:val="none"/>
        </w:rPr>
        <w:tab/>
      </w:r>
      <w:hyperlink w:anchor="_Toc73356453" w:history="1">
        <w:r w:rsidR="003A1E34" w:rsidRPr="00E2782B">
          <w:rPr>
            <w:rStyle w:val="Hyperlink"/>
            <w:noProof/>
          </w:rPr>
          <w:t>Informations sectorielles – État de la performance financière 2019</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_Toc73356453 \h </w:instrText>
        </w:r>
        <w:r w:rsidR="003A1E34">
          <w:rPr>
            <w:noProof/>
            <w:webHidden/>
          </w:rPr>
        </w:r>
        <w:r w:rsidR="003A1E34">
          <w:rPr>
            <w:noProof/>
            <w:webHidden/>
          </w:rPr>
          <w:fldChar w:fldCharType="separate"/>
        </w:r>
        <w:r w:rsidR="0007628D">
          <w:rPr>
            <w:noProof/>
            <w:webHidden/>
          </w:rPr>
          <w:t>75</w:t>
        </w:r>
        <w:r w:rsidR="003A1E34">
          <w:rPr>
            <w:noProof/>
            <w:webHidden/>
          </w:rPr>
          <w:fldChar w:fldCharType="end"/>
        </w:r>
      </w:hyperlink>
    </w:p>
    <w:p w14:paraId="72514DA4" w14:textId="32AD1821" w:rsidR="003A1E34" w:rsidRDefault="00B774B6">
      <w:pPr>
        <w:pStyle w:val="TOC1"/>
        <w:rPr>
          <w:rFonts w:asciiTheme="minorHAnsi" w:eastAsiaTheme="minorEastAsia" w:hAnsiTheme="minorHAnsi" w:cstheme="minorBidi"/>
          <w:noProof/>
          <w:sz w:val="22"/>
          <w:szCs w:val="22"/>
          <w:lang w:val="en-US"/>
        </w:rPr>
      </w:pPr>
      <w:hyperlink w:anchor="_Toc73356454" w:history="1">
        <w:r w:rsidR="003A1E34" w:rsidRPr="00E2782B">
          <w:rPr>
            <w:rStyle w:val="Hyperlink"/>
            <w:noProof/>
          </w:rPr>
          <w:t>Note 25</w:t>
        </w:r>
        <w:r w:rsidR="003A1E34">
          <w:rPr>
            <w:rFonts w:asciiTheme="minorHAnsi" w:eastAsiaTheme="minorEastAsia" w:hAnsiTheme="minorHAnsi" w:cstheme="minorBidi"/>
            <w:noProof/>
            <w:sz w:val="22"/>
            <w:szCs w:val="22"/>
            <w:lang w:val="en-US"/>
          </w:rPr>
          <w:tab/>
        </w:r>
        <w:r w:rsidR="003A1E34" w:rsidRPr="00E2782B">
          <w:rPr>
            <w:rStyle w:val="Hyperlink"/>
            <w:noProof/>
          </w:rPr>
          <w:t>Présence régionale</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_Toc73356454 \h </w:instrText>
        </w:r>
        <w:r w:rsidR="003A1E34">
          <w:rPr>
            <w:noProof/>
            <w:webHidden/>
          </w:rPr>
        </w:r>
        <w:r w:rsidR="003A1E34">
          <w:rPr>
            <w:noProof/>
            <w:webHidden/>
          </w:rPr>
          <w:fldChar w:fldCharType="separate"/>
        </w:r>
        <w:r w:rsidR="0007628D">
          <w:rPr>
            <w:noProof/>
            <w:webHidden/>
          </w:rPr>
          <w:t>76</w:t>
        </w:r>
        <w:r w:rsidR="003A1E34">
          <w:rPr>
            <w:noProof/>
            <w:webHidden/>
          </w:rPr>
          <w:fldChar w:fldCharType="end"/>
        </w:r>
      </w:hyperlink>
    </w:p>
    <w:p w14:paraId="341C82AB" w14:textId="212DC593" w:rsidR="003A1E34" w:rsidRDefault="00B774B6">
      <w:pPr>
        <w:pStyle w:val="TOC1"/>
        <w:rPr>
          <w:rFonts w:asciiTheme="minorHAnsi" w:eastAsiaTheme="minorEastAsia" w:hAnsiTheme="minorHAnsi" w:cstheme="minorBidi"/>
          <w:noProof/>
          <w:sz w:val="22"/>
          <w:szCs w:val="22"/>
          <w:lang w:val="en-US"/>
        </w:rPr>
      </w:pPr>
      <w:hyperlink w:anchor="_Toc73356455" w:history="1">
        <w:r w:rsidR="003A1E34" w:rsidRPr="00E2782B">
          <w:rPr>
            <w:rStyle w:val="Hyperlink"/>
            <w:noProof/>
          </w:rPr>
          <w:t>Note 26</w:t>
        </w:r>
        <w:r w:rsidR="003A1E34">
          <w:rPr>
            <w:rFonts w:asciiTheme="minorHAnsi" w:eastAsiaTheme="minorEastAsia" w:hAnsiTheme="minorHAnsi" w:cstheme="minorBidi"/>
            <w:noProof/>
            <w:sz w:val="22"/>
            <w:szCs w:val="22"/>
            <w:lang w:val="en-US"/>
          </w:rPr>
          <w:tab/>
        </w:r>
        <w:r w:rsidR="003A1E34" w:rsidRPr="00E2782B">
          <w:rPr>
            <w:rStyle w:val="Hyperlink"/>
            <w:noProof/>
          </w:rPr>
          <w:t>Rapprochement entre les montants budgétés et les montants effectifs</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_Toc73356455 \h </w:instrText>
        </w:r>
        <w:r w:rsidR="003A1E34">
          <w:rPr>
            <w:noProof/>
            <w:webHidden/>
          </w:rPr>
        </w:r>
        <w:r w:rsidR="003A1E34">
          <w:rPr>
            <w:noProof/>
            <w:webHidden/>
          </w:rPr>
          <w:fldChar w:fldCharType="separate"/>
        </w:r>
        <w:r w:rsidR="0007628D">
          <w:rPr>
            <w:noProof/>
            <w:webHidden/>
          </w:rPr>
          <w:t>76</w:t>
        </w:r>
        <w:r w:rsidR="003A1E34">
          <w:rPr>
            <w:noProof/>
            <w:webHidden/>
          </w:rPr>
          <w:fldChar w:fldCharType="end"/>
        </w:r>
      </w:hyperlink>
    </w:p>
    <w:p w14:paraId="44CD97CA" w14:textId="24B6B0D0" w:rsidR="003A1E34" w:rsidRDefault="00B774B6">
      <w:pPr>
        <w:pStyle w:val="TOC1"/>
        <w:rPr>
          <w:rFonts w:asciiTheme="minorHAnsi" w:eastAsiaTheme="minorEastAsia" w:hAnsiTheme="minorHAnsi" w:cstheme="minorBidi"/>
          <w:noProof/>
          <w:sz w:val="22"/>
          <w:szCs w:val="22"/>
          <w:lang w:val="en-US"/>
        </w:rPr>
      </w:pPr>
      <w:hyperlink w:anchor="_Toc73356456" w:history="1">
        <w:r w:rsidR="003A1E34" w:rsidRPr="00E2782B">
          <w:rPr>
            <w:rStyle w:val="Hyperlink"/>
            <w:noProof/>
          </w:rPr>
          <w:t>Note 27</w:t>
        </w:r>
        <w:r w:rsidR="003A1E34">
          <w:rPr>
            <w:rFonts w:asciiTheme="minorHAnsi" w:eastAsiaTheme="minorEastAsia" w:hAnsiTheme="minorHAnsi" w:cstheme="minorBidi"/>
            <w:noProof/>
            <w:sz w:val="22"/>
            <w:szCs w:val="22"/>
            <w:lang w:val="en-US"/>
          </w:rPr>
          <w:tab/>
        </w:r>
        <w:r w:rsidR="003A1E34" w:rsidRPr="00E2782B">
          <w:rPr>
            <w:rStyle w:val="Hyperlink"/>
            <w:noProof/>
          </w:rPr>
          <w:t>Informations relatives aux parties liées</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_Toc73356456 \h </w:instrText>
        </w:r>
        <w:r w:rsidR="003A1E34">
          <w:rPr>
            <w:noProof/>
            <w:webHidden/>
          </w:rPr>
        </w:r>
        <w:r w:rsidR="003A1E34">
          <w:rPr>
            <w:noProof/>
            <w:webHidden/>
          </w:rPr>
          <w:fldChar w:fldCharType="separate"/>
        </w:r>
        <w:r w:rsidR="0007628D">
          <w:rPr>
            <w:noProof/>
            <w:webHidden/>
          </w:rPr>
          <w:t>78</w:t>
        </w:r>
        <w:r w:rsidR="003A1E34">
          <w:rPr>
            <w:noProof/>
            <w:webHidden/>
          </w:rPr>
          <w:fldChar w:fldCharType="end"/>
        </w:r>
      </w:hyperlink>
    </w:p>
    <w:p w14:paraId="1E44E6AB" w14:textId="3F644A6E" w:rsidR="003A1E34" w:rsidRDefault="00B774B6">
      <w:pPr>
        <w:pStyle w:val="TOC1"/>
        <w:rPr>
          <w:rFonts w:asciiTheme="minorHAnsi" w:eastAsiaTheme="minorEastAsia" w:hAnsiTheme="minorHAnsi" w:cstheme="minorBidi"/>
          <w:noProof/>
          <w:sz w:val="22"/>
          <w:szCs w:val="22"/>
          <w:lang w:val="en-US"/>
        </w:rPr>
      </w:pPr>
      <w:hyperlink w:anchor="_Toc73356457" w:history="1">
        <w:r w:rsidR="003A1E34" w:rsidRPr="00E2782B">
          <w:rPr>
            <w:rStyle w:val="Hyperlink"/>
            <w:noProof/>
          </w:rPr>
          <w:t>Note 28</w:t>
        </w:r>
        <w:r w:rsidR="003A1E34">
          <w:rPr>
            <w:rFonts w:asciiTheme="minorHAnsi" w:eastAsiaTheme="minorEastAsia" w:hAnsiTheme="minorHAnsi" w:cstheme="minorBidi"/>
            <w:noProof/>
            <w:sz w:val="22"/>
            <w:szCs w:val="22"/>
            <w:lang w:val="en-US"/>
          </w:rPr>
          <w:tab/>
        </w:r>
        <w:r w:rsidR="003A1E34" w:rsidRPr="00E2782B">
          <w:rPr>
            <w:rStyle w:val="Hyperlink"/>
            <w:noProof/>
          </w:rPr>
          <w:t>Engagements</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_Toc73356457 \h </w:instrText>
        </w:r>
        <w:r w:rsidR="003A1E34">
          <w:rPr>
            <w:noProof/>
            <w:webHidden/>
          </w:rPr>
        </w:r>
        <w:r w:rsidR="003A1E34">
          <w:rPr>
            <w:noProof/>
            <w:webHidden/>
          </w:rPr>
          <w:fldChar w:fldCharType="separate"/>
        </w:r>
        <w:r w:rsidR="0007628D">
          <w:rPr>
            <w:noProof/>
            <w:webHidden/>
          </w:rPr>
          <w:t>78</w:t>
        </w:r>
        <w:r w:rsidR="003A1E34">
          <w:rPr>
            <w:noProof/>
            <w:webHidden/>
          </w:rPr>
          <w:fldChar w:fldCharType="end"/>
        </w:r>
      </w:hyperlink>
    </w:p>
    <w:p w14:paraId="5451F022" w14:textId="52977836" w:rsidR="003A1E34" w:rsidRDefault="00B774B6">
      <w:pPr>
        <w:pStyle w:val="TOC1"/>
        <w:rPr>
          <w:rFonts w:asciiTheme="minorHAnsi" w:eastAsiaTheme="minorEastAsia" w:hAnsiTheme="minorHAnsi" w:cstheme="minorBidi"/>
          <w:noProof/>
          <w:sz w:val="22"/>
          <w:szCs w:val="22"/>
          <w:lang w:val="en-US"/>
        </w:rPr>
      </w:pPr>
      <w:hyperlink w:anchor="_Toc73356458" w:history="1">
        <w:r w:rsidR="003A1E34" w:rsidRPr="00E2782B">
          <w:rPr>
            <w:rStyle w:val="Hyperlink"/>
            <w:noProof/>
          </w:rPr>
          <w:t>Note 29</w:t>
        </w:r>
        <w:r w:rsidR="003A1E34">
          <w:rPr>
            <w:rFonts w:asciiTheme="minorHAnsi" w:eastAsiaTheme="minorEastAsia" w:hAnsiTheme="minorHAnsi" w:cstheme="minorBidi"/>
            <w:noProof/>
            <w:sz w:val="22"/>
            <w:szCs w:val="22"/>
            <w:lang w:val="en-US"/>
          </w:rPr>
          <w:tab/>
        </w:r>
        <w:r w:rsidR="003A1E34" w:rsidRPr="00E2782B">
          <w:rPr>
            <w:rStyle w:val="Hyperlink"/>
            <w:noProof/>
          </w:rPr>
          <w:t>Événements postérieurs à la date du bilan</w:t>
        </w:r>
        <w:r w:rsidR="003A1E34">
          <w:rPr>
            <w:noProof/>
            <w:webHidden/>
          </w:rPr>
          <w:tab/>
        </w:r>
        <w:r w:rsidR="00127735">
          <w:rPr>
            <w:noProof/>
            <w:webHidden/>
          </w:rPr>
          <w:tab/>
        </w:r>
        <w:r w:rsidR="003A1E34">
          <w:rPr>
            <w:noProof/>
            <w:webHidden/>
          </w:rPr>
          <w:fldChar w:fldCharType="begin"/>
        </w:r>
        <w:r w:rsidR="003A1E34">
          <w:rPr>
            <w:noProof/>
            <w:webHidden/>
          </w:rPr>
          <w:instrText xml:space="preserve"> PAGEREF _Toc73356458 \h </w:instrText>
        </w:r>
        <w:r w:rsidR="003A1E34">
          <w:rPr>
            <w:noProof/>
            <w:webHidden/>
          </w:rPr>
        </w:r>
        <w:r w:rsidR="003A1E34">
          <w:rPr>
            <w:noProof/>
            <w:webHidden/>
          </w:rPr>
          <w:fldChar w:fldCharType="separate"/>
        </w:r>
        <w:r w:rsidR="0007628D">
          <w:rPr>
            <w:noProof/>
            <w:webHidden/>
          </w:rPr>
          <w:t>79</w:t>
        </w:r>
        <w:r w:rsidR="003A1E34">
          <w:rPr>
            <w:noProof/>
            <w:webHidden/>
          </w:rPr>
          <w:fldChar w:fldCharType="end"/>
        </w:r>
      </w:hyperlink>
    </w:p>
    <w:p w14:paraId="04899554" w14:textId="721C44C6" w:rsidR="003A1E34" w:rsidRDefault="003A1E34">
      <w:pPr>
        <w:pStyle w:val="TOC1"/>
        <w:rPr>
          <w:rFonts w:asciiTheme="minorHAnsi" w:eastAsiaTheme="minorEastAsia" w:hAnsiTheme="minorHAnsi" w:cstheme="minorBidi"/>
          <w:noProof/>
          <w:sz w:val="22"/>
          <w:szCs w:val="22"/>
          <w:lang w:val="en-US"/>
        </w:rPr>
      </w:pPr>
    </w:p>
    <w:p w14:paraId="792B351C" w14:textId="6812A259" w:rsidR="00761B6C" w:rsidRPr="00236418" w:rsidRDefault="003A1E34" w:rsidP="003A1E34">
      <w:pPr>
        <w:pStyle w:val="toc0"/>
        <w:jc w:val="both"/>
      </w:pPr>
      <w:r>
        <w:fldChar w:fldCharType="end"/>
      </w:r>
      <w:r w:rsidR="00761B6C" w:rsidRPr="00236418">
        <w:br w:type="page"/>
      </w:r>
    </w:p>
    <w:p w14:paraId="09A17AB9" w14:textId="77777777" w:rsidR="00761B6C" w:rsidRPr="00236418" w:rsidRDefault="00761B6C" w:rsidP="00761B6C">
      <w:pPr>
        <w:pStyle w:val="Heading1"/>
        <w:spacing w:after="120"/>
        <w:jc w:val="center"/>
      </w:pPr>
      <w:bookmarkStart w:id="569" w:name="_Toc358379318"/>
      <w:bookmarkStart w:id="570" w:name="_Toc358379896"/>
      <w:bookmarkStart w:id="571" w:name="_Toc358380436"/>
      <w:bookmarkStart w:id="572" w:name="_Toc452139409"/>
      <w:bookmarkStart w:id="573" w:name="_Toc452139808"/>
      <w:bookmarkStart w:id="574" w:name="_Toc452140675"/>
      <w:bookmarkStart w:id="575" w:name="_Toc511649922"/>
      <w:bookmarkStart w:id="576" w:name="_Toc511651178"/>
      <w:bookmarkStart w:id="577" w:name="_Toc511724043"/>
      <w:bookmarkStart w:id="578" w:name="_Toc511739032"/>
      <w:bookmarkStart w:id="579" w:name="_Toc511740812"/>
      <w:bookmarkStart w:id="580" w:name="_Toc511741201"/>
      <w:bookmarkStart w:id="581" w:name="_Toc9605695"/>
      <w:bookmarkStart w:id="582" w:name="_Toc10450707"/>
      <w:bookmarkStart w:id="583" w:name="_Toc41567339"/>
      <w:bookmarkStart w:id="584" w:name="_Toc41567825"/>
      <w:bookmarkStart w:id="585" w:name="_Toc41814937"/>
      <w:bookmarkStart w:id="586" w:name="_Toc73354426"/>
      <w:bookmarkStart w:id="587" w:name="_Toc73356381"/>
      <w:r w:rsidRPr="00236418">
        <w:lastRenderedPageBreak/>
        <w:t>I – État de la situation financière – Bilan au 31 décembre 20</w:t>
      </w:r>
      <w:r>
        <w:t>20</w:t>
      </w:r>
      <w:r w:rsidRPr="00236418">
        <w:br/>
        <w:t xml:space="preserve">avec chiffres comparatifs au 31 décembre </w:t>
      </w:r>
      <w:bookmarkEnd w:id="569"/>
      <w:bookmarkEnd w:id="570"/>
      <w:bookmarkEnd w:id="571"/>
      <w:bookmarkEnd w:id="572"/>
      <w:bookmarkEnd w:id="573"/>
      <w:bookmarkEnd w:id="574"/>
      <w:bookmarkEnd w:id="575"/>
      <w:bookmarkEnd w:id="576"/>
      <w:bookmarkEnd w:id="577"/>
      <w:bookmarkEnd w:id="578"/>
      <w:bookmarkEnd w:id="579"/>
      <w:bookmarkEnd w:id="580"/>
      <w:r w:rsidRPr="00236418">
        <w:t>201</w:t>
      </w:r>
      <w:bookmarkEnd w:id="581"/>
      <w:bookmarkEnd w:id="582"/>
      <w:bookmarkEnd w:id="583"/>
      <w:bookmarkEnd w:id="584"/>
      <w:bookmarkEnd w:id="585"/>
      <w:r>
        <w:t>9</w:t>
      </w:r>
      <w:bookmarkEnd w:id="586"/>
      <w:bookmarkEnd w:id="587"/>
    </w:p>
    <w:tbl>
      <w:tblPr>
        <w:tblW w:w="8260"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5916"/>
        <w:gridCol w:w="1172"/>
        <w:gridCol w:w="1172"/>
      </w:tblGrid>
      <w:tr w:rsidR="00761B6C" w:rsidRPr="00236418" w14:paraId="1B6DE271" w14:textId="77777777" w:rsidTr="001F5EBE">
        <w:trPr>
          <w:trHeight w:val="510"/>
          <w:tblHeader/>
          <w:jc w:val="center"/>
        </w:trPr>
        <w:tc>
          <w:tcPr>
            <w:tcW w:w="5916" w:type="dxa"/>
            <w:tcBorders>
              <w:bottom w:val="single" w:sz="4" w:space="0" w:color="auto"/>
              <w:right w:val="single" w:sz="4" w:space="0" w:color="auto"/>
            </w:tcBorders>
            <w:vAlign w:val="center"/>
          </w:tcPr>
          <w:p w14:paraId="12EDAEF3" w14:textId="77777777" w:rsidR="00761B6C" w:rsidRPr="001F5EBE" w:rsidRDefault="00761B6C" w:rsidP="00761B6C">
            <w:pPr>
              <w:pStyle w:val="Tablehead"/>
              <w:spacing w:before="20" w:after="20"/>
              <w:jc w:val="left"/>
              <w:rPr>
                <w:rFonts w:asciiTheme="minorHAnsi" w:hAnsiTheme="minorHAnsi" w:cstheme="minorHAnsi"/>
                <w:sz w:val="18"/>
                <w:szCs w:val="18"/>
              </w:rPr>
            </w:pPr>
            <w:r w:rsidRPr="001F5EBE">
              <w:rPr>
                <w:rFonts w:asciiTheme="minorHAnsi" w:hAnsiTheme="minorHAnsi" w:cstheme="minorHAnsi"/>
                <w:bCs/>
                <w:sz w:val="18"/>
                <w:szCs w:val="18"/>
              </w:rPr>
              <w:t>(en milliers de CHF)</w:t>
            </w:r>
          </w:p>
        </w:tc>
        <w:tc>
          <w:tcPr>
            <w:tcW w:w="0" w:type="auto"/>
            <w:tcBorders>
              <w:bottom w:val="single" w:sz="4" w:space="0" w:color="auto"/>
              <w:right w:val="single" w:sz="4" w:space="0" w:color="auto"/>
            </w:tcBorders>
            <w:vAlign w:val="center"/>
          </w:tcPr>
          <w:p w14:paraId="435D6C68" w14:textId="77777777" w:rsidR="00761B6C" w:rsidRPr="001F5EBE" w:rsidRDefault="00761B6C" w:rsidP="00761B6C">
            <w:pPr>
              <w:pStyle w:val="Tablehead"/>
              <w:spacing w:before="20" w:after="20"/>
              <w:ind w:right="130"/>
              <w:jc w:val="right"/>
              <w:rPr>
                <w:rFonts w:asciiTheme="minorHAnsi" w:hAnsiTheme="minorHAnsi" w:cstheme="minorHAnsi"/>
                <w:sz w:val="18"/>
                <w:szCs w:val="18"/>
              </w:rPr>
            </w:pPr>
            <w:r w:rsidRPr="001F5EBE">
              <w:rPr>
                <w:rFonts w:asciiTheme="minorHAnsi" w:hAnsiTheme="minorHAnsi" w:cstheme="minorHAnsi"/>
                <w:sz w:val="18"/>
                <w:szCs w:val="18"/>
              </w:rPr>
              <w:t>31.12.2020</w:t>
            </w:r>
          </w:p>
        </w:tc>
        <w:tc>
          <w:tcPr>
            <w:tcW w:w="0" w:type="auto"/>
            <w:tcBorders>
              <w:left w:val="single" w:sz="4" w:space="0" w:color="auto"/>
              <w:bottom w:val="single" w:sz="4" w:space="0" w:color="auto"/>
              <w:right w:val="single" w:sz="4" w:space="0" w:color="auto"/>
            </w:tcBorders>
            <w:vAlign w:val="center"/>
          </w:tcPr>
          <w:p w14:paraId="72149A3C" w14:textId="77777777" w:rsidR="00761B6C" w:rsidRPr="001F5EBE" w:rsidRDefault="00761B6C" w:rsidP="00761B6C">
            <w:pPr>
              <w:pStyle w:val="Tablehead"/>
              <w:spacing w:before="20" w:after="20"/>
              <w:ind w:right="130"/>
              <w:jc w:val="right"/>
              <w:rPr>
                <w:rFonts w:asciiTheme="minorHAnsi" w:hAnsiTheme="minorHAnsi" w:cstheme="minorHAnsi"/>
                <w:sz w:val="18"/>
                <w:szCs w:val="18"/>
              </w:rPr>
            </w:pPr>
            <w:r w:rsidRPr="001F5EBE">
              <w:rPr>
                <w:rFonts w:asciiTheme="minorHAnsi" w:hAnsiTheme="minorHAnsi" w:cstheme="minorHAnsi"/>
                <w:sz w:val="18"/>
                <w:szCs w:val="18"/>
              </w:rPr>
              <w:t>31.12.2019</w:t>
            </w:r>
          </w:p>
        </w:tc>
      </w:tr>
      <w:tr w:rsidR="00761B6C" w:rsidRPr="00236418" w14:paraId="17859951" w14:textId="77777777" w:rsidTr="001F5EBE">
        <w:trPr>
          <w:trHeight w:val="272"/>
          <w:jc w:val="center"/>
        </w:trPr>
        <w:tc>
          <w:tcPr>
            <w:tcW w:w="5916" w:type="dxa"/>
            <w:tcBorders>
              <w:top w:val="single" w:sz="4" w:space="0" w:color="auto"/>
              <w:bottom w:val="nil"/>
              <w:right w:val="single" w:sz="4" w:space="0" w:color="auto"/>
            </w:tcBorders>
            <w:vAlign w:val="center"/>
          </w:tcPr>
          <w:p w14:paraId="6194B93A" w14:textId="77777777" w:rsidR="00761B6C" w:rsidRPr="001F5EBE" w:rsidRDefault="00761B6C" w:rsidP="001F5EBE">
            <w:pPr>
              <w:pStyle w:val="Tabletext"/>
              <w:spacing w:before="20" w:after="20"/>
              <w:rPr>
                <w:rFonts w:asciiTheme="minorHAnsi" w:hAnsiTheme="minorHAnsi" w:cstheme="minorHAnsi"/>
                <w:b/>
                <w:sz w:val="18"/>
                <w:szCs w:val="18"/>
              </w:rPr>
            </w:pPr>
            <w:r w:rsidRPr="001F5EBE">
              <w:rPr>
                <w:rFonts w:asciiTheme="minorHAnsi" w:hAnsiTheme="minorHAnsi" w:cstheme="minorHAnsi"/>
                <w:b/>
                <w:sz w:val="18"/>
                <w:szCs w:val="18"/>
              </w:rPr>
              <w:t>ACTIF</w:t>
            </w:r>
          </w:p>
        </w:tc>
        <w:tc>
          <w:tcPr>
            <w:tcW w:w="0" w:type="auto"/>
            <w:tcBorders>
              <w:top w:val="single" w:sz="4" w:space="0" w:color="auto"/>
              <w:bottom w:val="nil"/>
              <w:right w:val="single" w:sz="4" w:space="0" w:color="auto"/>
            </w:tcBorders>
          </w:tcPr>
          <w:p w14:paraId="2192DE68" w14:textId="77777777" w:rsidR="00761B6C" w:rsidRPr="001F5EBE" w:rsidRDefault="00761B6C" w:rsidP="001F5EBE">
            <w:pPr>
              <w:pStyle w:val="Tabletext"/>
              <w:spacing w:before="20" w:after="20"/>
              <w:jc w:val="right"/>
              <w:rPr>
                <w:rFonts w:asciiTheme="minorHAnsi" w:hAnsiTheme="minorHAnsi"/>
                <w:b/>
                <w:bCs/>
                <w:sz w:val="18"/>
                <w:szCs w:val="18"/>
                <w:lang w:eastAsia="en-GB"/>
              </w:rPr>
            </w:pPr>
          </w:p>
        </w:tc>
        <w:tc>
          <w:tcPr>
            <w:tcW w:w="0" w:type="auto"/>
            <w:tcBorders>
              <w:top w:val="single" w:sz="4" w:space="0" w:color="auto"/>
              <w:left w:val="single" w:sz="4" w:space="0" w:color="auto"/>
              <w:bottom w:val="nil"/>
              <w:right w:val="single" w:sz="4" w:space="0" w:color="auto"/>
            </w:tcBorders>
          </w:tcPr>
          <w:p w14:paraId="1A6B0AAF"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 </w:t>
            </w:r>
          </w:p>
        </w:tc>
      </w:tr>
      <w:tr w:rsidR="00761B6C" w:rsidRPr="00236418" w14:paraId="3D25549B" w14:textId="77777777" w:rsidTr="001F5EBE">
        <w:trPr>
          <w:jc w:val="center"/>
        </w:trPr>
        <w:tc>
          <w:tcPr>
            <w:tcW w:w="5916" w:type="dxa"/>
            <w:tcBorders>
              <w:top w:val="nil"/>
              <w:bottom w:val="nil"/>
              <w:right w:val="single" w:sz="4" w:space="0" w:color="auto"/>
            </w:tcBorders>
            <w:vAlign w:val="bottom"/>
          </w:tcPr>
          <w:p w14:paraId="7B5785AC"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rPr>
              <w:t>Actifs courants</w:t>
            </w:r>
          </w:p>
        </w:tc>
        <w:tc>
          <w:tcPr>
            <w:tcW w:w="0" w:type="auto"/>
            <w:tcBorders>
              <w:top w:val="nil"/>
              <w:bottom w:val="nil"/>
              <w:right w:val="single" w:sz="4" w:space="0" w:color="auto"/>
            </w:tcBorders>
          </w:tcPr>
          <w:p w14:paraId="67B0221A" w14:textId="77777777" w:rsidR="00761B6C" w:rsidRPr="001F5EBE" w:rsidRDefault="00761B6C" w:rsidP="001F5EBE">
            <w:pPr>
              <w:pStyle w:val="Tabletext"/>
              <w:spacing w:before="20" w:after="20"/>
              <w:jc w:val="right"/>
              <w:rPr>
                <w:rFonts w:asciiTheme="minorHAnsi" w:hAnsiTheme="minorHAnsi"/>
                <w:b/>
                <w:bCs/>
                <w:sz w:val="18"/>
                <w:szCs w:val="18"/>
                <w:lang w:eastAsia="en-GB"/>
              </w:rPr>
            </w:pPr>
          </w:p>
        </w:tc>
        <w:tc>
          <w:tcPr>
            <w:tcW w:w="0" w:type="auto"/>
            <w:tcBorders>
              <w:top w:val="nil"/>
              <w:left w:val="single" w:sz="4" w:space="0" w:color="auto"/>
              <w:bottom w:val="nil"/>
              <w:right w:val="single" w:sz="4" w:space="0" w:color="auto"/>
            </w:tcBorders>
          </w:tcPr>
          <w:p w14:paraId="6B191AC8"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 </w:t>
            </w:r>
          </w:p>
        </w:tc>
      </w:tr>
      <w:tr w:rsidR="00761B6C" w:rsidRPr="00236418" w14:paraId="595DD41F" w14:textId="77777777" w:rsidTr="001F5EBE">
        <w:trPr>
          <w:jc w:val="center"/>
        </w:trPr>
        <w:tc>
          <w:tcPr>
            <w:tcW w:w="5916" w:type="dxa"/>
            <w:tcBorders>
              <w:top w:val="nil"/>
              <w:bottom w:val="nil"/>
              <w:right w:val="single" w:sz="4" w:space="0" w:color="auto"/>
            </w:tcBorders>
          </w:tcPr>
          <w:p w14:paraId="5C2B9227"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Trésorerie et équivalents de trésorerie</w:t>
            </w:r>
          </w:p>
        </w:tc>
        <w:tc>
          <w:tcPr>
            <w:tcW w:w="0" w:type="auto"/>
            <w:tcBorders>
              <w:top w:val="nil"/>
              <w:left w:val="single" w:sz="4" w:space="0" w:color="auto"/>
              <w:bottom w:val="nil"/>
              <w:right w:val="single" w:sz="4" w:space="0" w:color="auto"/>
            </w:tcBorders>
            <w:shd w:val="clear" w:color="auto" w:fill="auto"/>
          </w:tcPr>
          <w:p w14:paraId="0E92C5D3"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99 406</w:t>
            </w:r>
          </w:p>
        </w:tc>
        <w:tc>
          <w:tcPr>
            <w:tcW w:w="0" w:type="auto"/>
            <w:tcBorders>
              <w:top w:val="nil"/>
              <w:left w:val="single" w:sz="4" w:space="0" w:color="auto"/>
              <w:bottom w:val="nil"/>
              <w:right w:val="single" w:sz="4" w:space="0" w:color="auto"/>
            </w:tcBorders>
          </w:tcPr>
          <w:p w14:paraId="2FBBF975"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178 852</w:t>
            </w:r>
          </w:p>
        </w:tc>
      </w:tr>
      <w:tr w:rsidR="00761B6C" w:rsidRPr="00236418" w14:paraId="1197186B" w14:textId="77777777" w:rsidTr="001F5EBE">
        <w:trPr>
          <w:jc w:val="center"/>
        </w:trPr>
        <w:tc>
          <w:tcPr>
            <w:tcW w:w="5916" w:type="dxa"/>
            <w:tcBorders>
              <w:top w:val="nil"/>
              <w:bottom w:val="nil"/>
              <w:right w:val="single" w:sz="4" w:space="0" w:color="auto"/>
            </w:tcBorders>
          </w:tcPr>
          <w:p w14:paraId="7F9F8233"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Placements</w:t>
            </w:r>
          </w:p>
        </w:tc>
        <w:tc>
          <w:tcPr>
            <w:tcW w:w="0" w:type="auto"/>
            <w:tcBorders>
              <w:top w:val="nil"/>
              <w:left w:val="single" w:sz="4" w:space="0" w:color="auto"/>
              <w:bottom w:val="nil"/>
              <w:right w:val="single" w:sz="4" w:space="0" w:color="auto"/>
            </w:tcBorders>
            <w:shd w:val="clear" w:color="auto" w:fill="auto"/>
          </w:tcPr>
          <w:p w14:paraId="2552CFAC"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95 516</w:t>
            </w:r>
          </w:p>
        </w:tc>
        <w:tc>
          <w:tcPr>
            <w:tcW w:w="0" w:type="auto"/>
            <w:tcBorders>
              <w:top w:val="nil"/>
              <w:left w:val="single" w:sz="4" w:space="0" w:color="auto"/>
              <w:bottom w:val="nil"/>
              <w:right w:val="single" w:sz="4" w:space="0" w:color="auto"/>
            </w:tcBorders>
          </w:tcPr>
          <w:p w14:paraId="74F5B7BF"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33 329</w:t>
            </w:r>
          </w:p>
        </w:tc>
      </w:tr>
      <w:tr w:rsidR="00761B6C" w:rsidRPr="00236418" w14:paraId="5529BF7F" w14:textId="77777777" w:rsidTr="001F5EBE">
        <w:trPr>
          <w:jc w:val="center"/>
        </w:trPr>
        <w:tc>
          <w:tcPr>
            <w:tcW w:w="5916" w:type="dxa"/>
            <w:tcBorders>
              <w:top w:val="nil"/>
              <w:bottom w:val="nil"/>
              <w:right w:val="single" w:sz="4" w:space="0" w:color="auto"/>
            </w:tcBorders>
          </w:tcPr>
          <w:p w14:paraId="6C90886D"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Créances avec contrepartie directe</w:t>
            </w:r>
          </w:p>
        </w:tc>
        <w:tc>
          <w:tcPr>
            <w:tcW w:w="0" w:type="auto"/>
            <w:tcBorders>
              <w:top w:val="nil"/>
              <w:left w:val="single" w:sz="4" w:space="0" w:color="auto"/>
              <w:bottom w:val="nil"/>
              <w:right w:val="single" w:sz="4" w:space="0" w:color="auto"/>
            </w:tcBorders>
            <w:shd w:val="clear" w:color="auto" w:fill="auto"/>
          </w:tcPr>
          <w:p w14:paraId="7FCEA957"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8 481</w:t>
            </w:r>
          </w:p>
        </w:tc>
        <w:tc>
          <w:tcPr>
            <w:tcW w:w="0" w:type="auto"/>
            <w:tcBorders>
              <w:top w:val="nil"/>
              <w:left w:val="single" w:sz="4" w:space="0" w:color="auto"/>
              <w:bottom w:val="nil"/>
              <w:right w:val="single" w:sz="4" w:space="0" w:color="auto"/>
            </w:tcBorders>
          </w:tcPr>
          <w:p w14:paraId="3643769A"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6 471</w:t>
            </w:r>
          </w:p>
        </w:tc>
      </w:tr>
      <w:tr w:rsidR="00761B6C" w:rsidRPr="00236418" w14:paraId="6F079447" w14:textId="77777777" w:rsidTr="001F5EBE">
        <w:trPr>
          <w:jc w:val="center"/>
        </w:trPr>
        <w:tc>
          <w:tcPr>
            <w:tcW w:w="5916" w:type="dxa"/>
            <w:tcBorders>
              <w:top w:val="nil"/>
              <w:bottom w:val="nil"/>
              <w:right w:val="single" w:sz="4" w:space="0" w:color="auto"/>
            </w:tcBorders>
          </w:tcPr>
          <w:p w14:paraId="3DA444E7"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 xml:space="preserve">Créances sans contrepartie directe </w:t>
            </w:r>
          </w:p>
        </w:tc>
        <w:tc>
          <w:tcPr>
            <w:tcW w:w="0" w:type="auto"/>
            <w:tcBorders>
              <w:top w:val="nil"/>
              <w:left w:val="single" w:sz="4" w:space="0" w:color="auto"/>
              <w:bottom w:val="nil"/>
              <w:right w:val="single" w:sz="4" w:space="0" w:color="auto"/>
            </w:tcBorders>
            <w:shd w:val="clear" w:color="auto" w:fill="auto"/>
          </w:tcPr>
          <w:p w14:paraId="61F41C9F"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89 306</w:t>
            </w:r>
          </w:p>
        </w:tc>
        <w:tc>
          <w:tcPr>
            <w:tcW w:w="0" w:type="auto"/>
            <w:tcBorders>
              <w:top w:val="nil"/>
              <w:left w:val="single" w:sz="4" w:space="0" w:color="auto"/>
              <w:bottom w:val="nil"/>
              <w:right w:val="single" w:sz="4" w:space="0" w:color="auto"/>
            </w:tcBorders>
          </w:tcPr>
          <w:p w14:paraId="6CFADD45"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88 315</w:t>
            </w:r>
          </w:p>
        </w:tc>
      </w:tr>
      <w:tr w:rsidR="00761B6C" w:rsidRPr="00236418" w14:paraId="47360915" w14:textId="77777777" w:rsidTr="001F5EBE">
        <w:trPr>
          <w:jc w:val="center"/>
        </w:trPr>
        <w:tc>
          <w:tcPr>
            <w:tcW w:w="5916" w:type="dxa"/>
            <w:tcBorders>
              <w:top w:val="nil"/>
              <w:bottom w:val="nil"/>
              <w:right w:val="single" w:sz="4" w:space="0" w:color="auto"/>
            </w:tcBorders>
          </w:tcPr>
          <w:p w14:paraId="10D05D82"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Stocks</w:t>
            </w:r>
          </w:p>
        </w:tc>
        <w:tc>
          <w:tcPr>
            <w:tcW w:w="0" w:type="auto"/>
            <w:tcBorders>
              <w:top w:val="nil"/>
              <w:left w:val="single" w:sz="4" w:space="0" w:color="auto"/>
              <w:bottom w:val="nil"/>
              <w:right w:val="single" w:sz="4" w:space="0" w:color="auto"/>
            </w:tcBorders>
            <w:shd w:val="clear" w:color="auto" w:fill="auto"/>
          </w:tcPr>
          <w:p w14:paraId="24A0057E"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459</w:t>
            </w:r>
          </w:p>
        </w:tc>
        <w:tc>
          <w:tcPr>
            <w:tcW w:w="0" w:type="auto"/>
            <w:tcBorders>
              <w:top w:val="nil"/>
              <w:left w:val="single" w:sz="4" w:space="0" w:color="auto"/>
              <w:bottom w:val="nil"/>
              <w:right w:val="single" w:sz="4" w:space="0" w:color="auto"/>
            </w:tcBorders>
          </w:tcPr>
          <w:p w14:paraId="29FF6E45"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539</w:t>
            </w:r>
          </w:p>
        </w:tc>
      </w:tr>
      <w:tr w:rsidR="00761B6C" w:rsidRPr="00236418" w14:paraId="5025751D" w14:textId="77777777" w:rsidTr="001F5EBE">
        <w:trPr>
          <w:jc w:val="center"/>
        </w:trPr>
        <w:tc>
          <w:tcPr>
            <w:tcW w:w="5916" w:type="dxa"/>
            <w:tcBorders>
              <w:top w:val="nil"/>
              <w:bottom w:val="nil"/>
              <w:right w:val="single" w:sz="4" w:space="0" w:color="auto"/>
            </w:tcBorders>
          </w:tcPr>
          <w:p w14:paraId="7F07576C"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Autres créances</w:t>
            </w:r>
          </w:p>
        </w:tc>
        <w:tc>
          <w:tcPr>
            <w:tcW w:w="0" w:type="auto"/>
            <w:tcBorders>
              <w:top w:val="nil"/>
              <w:left w:val="single" w:sz="4" w:space="0" w:color="auto"/>
              <w:bottom w:val="nil"/>
              <w:right w:val="single" w:sz="4" w:space="0" w:color="auto"/>
            </w:tcBorders>
            <w:shd w:val="clear" w:color="auto" w:fill="auto"/>
          </w:tcPr>
          <w:p w14:paraId="57B1C08C"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color w:val="000000"/>
                <w:sz w:val="18"/>
                <w:szCs w:val="18"/>
              </w:rPr>
              <w:t>9 439</w:t>
            </w:r>
          </w:p>
        </w:tc>
        <w:tc>
          <w:tcPr>
            <w:tcW w:w="0" w:type="auto"/>
            <w:tcBorders>
              <w:top w:val="nil"/>
              <w:left w:val="single" w:sz="4" w:space="0" w:color="auto"/>
              <w:bottom w:val="nil"/>
              <w:right w:val="single" w:sz="4" w:space="0" w:color="auto"/>
            </w:tcBorders>
          </w:tcPr>
          <w:p w14:paraId="59348D81"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8 213</w:t>
            </w:r>
          </w:p>
        </w:tc>
      </w:tr>
      <w:tr w:rsidR="00761B6C" w:rsidRPr="00236418" w14:paraId="6E8DFBB3" w14:textId="77777777" w:rsidTr="001F5EBE">
        <w:trPr>
          <w:jc w:val="center"/>
        </w:trPr>
        <w:tc>
          <w:tcPr>
            <w:tcW w:w="5916" w:type="dxa"/>
            <w:tcBorders>
              <w:top w:val="nil"/>
              <w:bottom w:val="nil"/>
              <w:right w:val="single" w:sz="4" w:space="0" w:color="auto"/>
            </w:tcBorders>
          </w:tcPr>
          <w:p w14:paraId="480ABEEA" w14:textId="77777777" w:rsidR="00761B6C" w:rsidRPr="001F5EBE" w:rsidRDefault="00761B6C" w:rsidP="001F5EBE">
            <w:pPr>
              <w:pStyle w:val="Tabletext"/>
              <w:spacing w:before="20" w:after="20"/>
              <w:rPr>
                <w:rFonts w:asciiTheme="minorHAnsi" w:hAnsiTheme="minorHAnsi" w:cstheme="minorHAnsi"/>
                <w:sz w:val="18"/>
                <w:szCs w:val="18"/>
              </w:rPr>
            </w:pPr>
            <w:r w:rsidRPr="001F5EBE">
              <w:rPr>
                <w:rFonts w:asciiTheme="minorHAnsi" w:hAnsiTheme="minorHAnsi" w:cstheme="minorHAnsi"/>
                <w:sz w:val="18"/>
                <w:szCs w:val="18"/>
              </w:rPr>
              <w:t>UNSMIS</w:t>
            </w:r>
          </w:p>
        </w:tc>
        <w:tc>
          <w:tcPr>
            <w:tcW w:w="0" w:type="auto"/>
            <w:tcBorders>
              <w:top w:val="nil"/>
              <w:left w:val="single" w:sz="4" w:space="0" w:color="auto"/>
              <w:bottom w:val="nil"/>
              <w:right w:val="single" w:sz="4" w:space="0" w:color="auto"/>
            </w:tcBorders>
            <w:shd w:val="clear" w:color="auto" w:fill="auto"/>
          </w:tcPr>
          <w:p w14:paraId="5F4AE7A1"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color w:val="000000"/>
                <w:sz w:val="18"/>
                <w:szCs w:val="18"/>
              </w:rPr>
              <w:t>–</w:t>
            </w:r>
          </w:p>
        </w:tc>
        <w:tc>
          <w:tcPr>
            <w:tcW w:w="0" w:type="auto"/>
            <w:tcBorders>
              <w:top w:val="nil"/>
              <w:left w:val="single" w:sz="4" w:space="0" w:color="auto"/>
              <w:bottom w:val="nil"/>
              <w:right w:val="single" w:sz="4" w:space="0" w:color="auto"/>
            </w:tcBorders>
          </w:tcPr>
          <w:p w14:paraId="57A4F669"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sz w:val="18"/>
                <w:szCs w:val="18"/>
                <w:lang w:eastAsia="en-GB"/>
              </w:rPr>
              <w:t>21 154</w:t>
            </w:r>
          </w:p>
        </w:tc>
      </w:tr>
      <w:tr w:rsidR="00761B6C" w:rsidRPr="00236418" w14:paraId="35DFF455" w14:textId="77777777" w:rsidTr="001F5EBE">
        <w:trPr>
          <w:jc w:val="center"/>
        </w:trPr>
        <w:tc>
          <w:tcPr>
            <w:tcW w:w="5916" w:type="dxa"/>
            <w:tcBorders>
              <w:top w:val="nil"/>
              <w:left w:val="single" w:sz="4" w:space="0" w:color="auto"/>
              <w:bottom w:val="nil"/>
              <w:right w:val="single" w:sz="4" w:space="0" w:color="auto"/>
            </w:tcBorders>
          </w:tcPr>
          <w:p w14:paraId="57FDEEE6"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rPr>
              <w:t>Total des actifs courants</w:t>
            </w:r>
          </w:p>
        </w:tc>
        <w:tc>
          <w:tcPr>
            <w:tcW w:w="0" w:type="auto"/>
            <w:tcBorders>
              <w:top w:val="nil"/>
              <w:left w:val="single" w:sz="4" w:space="0" w:color="auto"/>
              <w:bottom w:val="nil"/>
              <w:right w:val="single" w:sz="4" w:space="0" w:color="auto"/>
            </w:tcBorders>
            <w:shd w:val="clear" w:color="auto" w:fill="auto"/>
          </w:tcPr>
          <w:p w14:paraId="43C2C48C"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b/>
                <w:bCs/>
                <w:color w:val="000000"/>
                <w:sz w:val="18"/>
                <w:szCs w:val="18"/>
              </w:rPr>
              <w:t>302 607</w:t>
            </w:r>
          </w:p>
        </w:tc>
        <w:tc>
          <w:tcPr>
            <w:tcW w:w="0" w:type="auto"/>
            <w:tcBorders>
              <w:top w:val="nil"/>
              <w:left w:val="single" w:sz="4" w:space="0" w:color="auto"/>
              <w:bottom w:val="nil"/>
              <w:right w:val="single" w:sz="4" w:space="0" w:color="auto"/>
            </w:tcBorders>
          </w:tcPr>
          <w:p w14:paraId="21FB0448"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336 873</w:t>
            </w:r>
          </w:p>
        </w:tc>
      </w:tr>
      <w:tr w:rsidR="00761B6C" w:rsidRPr="00236418" w14:paraId="5A41EB2F" w14:textId="77777777" w:rsidTr="001F5EBE">
        <w:trPr>
          <w:trHeight w:val="201"/>
          <w:jc w:val="center"/>
        </w:trPr>
        <w:tc>
          <w:tcPr>
            <w:tcW w:w="5916" w:type="dxa"/>
            <w:tcBorders>
              <w:top w:val="nil"/>
              <w:bottom w:val="nil"/>
              <w:right w:val="single" w:sz="4" w:space="0" w:color="auto"/>
            </w:tcBorders>
            <w:vAlign w:val="bottom"/>
          </w:tcPr>
          <w:p w14:paraId="6BAD20DE" w14:textId="77777777" w:rsidR="00761B6C" w:rsidRPr="001F5EBE" w:rsidRDefault="00761B6C" w:rsidP="001F5EBE">
            <w:pPr>
              <w:pStyle w:val="Tabletext"/>
              <w:spacing w:before="20" w:after="20"/>
              <w:rPr>
                <w:rFonts w:asciiTheme="minorHAnsi" w:hAnsiTheme="minorHAnsi" w:cstheme="minorHAnsi"/>
                <w:b/>
                <w:sz w:val="18"/>
                <w:szCs w:val="18"/>
              </w:rPr>
            </w:pPr>
          </w:p>
        </w:tc>
        <w:tc>
          <w:tcPr>
            <w:tcW w:w="0" w:type="auto"/>
            <w:tcBorders>
              <w:top w:val="nil"/>
              <w:left w:val="single" w:sz="4" w:space="0" w:color="auto"/>
              <w:bottom w:val="nil"/>
              <w:right w:val="single" w:sz="4" w:space="0" w:color="auto"/>
            </w:tcBorders>
            <w:shd w:val="clear" w:color="auto" w:fill="auto"/>
          </w:tcPr>
          <w:p w14:paraId="6BD2C321" w14:textId="77777777" w:rsidR="00761B6C" w:rsidRPr="001F5EBE" w:rsidRDefault="00761B6C" w:rsidP="001F5EBE">
            <w:pPr>
              <w:pStyle w:val="Tabletext"/>
              <w:spacing w:before="20" w:after="20"/>
              <w:rPr>
                <w:rFonts w:asciiTheme="minorHAnsi" w:hAnsiTheme="minorHAnsi"/>
                <w:b/>
                <w:bCs/>
                <w:sz w:val="18"/>
                <w:szCs w:val="18"/>
                <w:lang w:eastAsia="en-GB"/>
              </w:rPr>
            </w:pPr>
            <w:r w:rsidRPr="001F5EBE">
              <w:rPr>
                <w:rFonts w:asciiTheme="minorHAnsi" w:hAnsiTheme="minorHAnsi" w:cs="Calibri"/>
                <w:b/>
                <w:bCs/>
                <w:color w:val="000000"/>
                <w:sz w:val="18"/>
                <w:szCs w:val="18"/>
              </w:rPr>
              <w:t> </w:t>
            </w:r>
          </w:p>
        </w:tc>
        <w:tc>
          <w:tcPr>
            <w:tcW w:w="0" w:type="auto"/>
            <w:tcBorders>
              <w:top w:val="nil"/>
              <w:left w:val="single" w:sz="4" w:space="0" w:color="auto"/>
              <w:bottom w:val="nil"/>
              <w:right w:val="single" w:sz="4" w:space="0" w:color="auto"/>
            </w:tcBorders>
          </w:tcPr>
          <w:p w14:paraId="0F94CB24" w14:textId="77777777" w:rsidR="00761B6C" w:rsidRPr="001F5EBE" w:rsidRDefault="00761B6C" w:rsidP="001F5EBE">
            <w:pPr>
              <w:pStyle w:val="Tabletext"/>
              <w:spacing w:before="20" w:after="20"/>
              <w:rPr>
                <w:rFonts w:asciiTheme="minorHAnsi" w:hAnsiTheme="minorHAnsi" w:cstheme="minorHAnsi"/>
                <w:b/>
                <w:bCs/>
                <w:sz w:val="18"/>
                <w:szCs w:val="18"/>
                <w:lang w:eastAsia="zh-CN"/>
              </w:rPr>
            </w:pPr>
            <w:r w:rsidRPr="001F5EBE">
              <w:rPr>
                <w:rFonts w:asciiTheme="minorHAnsi" w:hAnsiTheme="minorHAnsi"/>
                <w:b/>
                <w:bCs/>
                <w:sz w:val="18"/>
                <w:szCs w:val="18"/>
                <w:lang w:eastAsia="en-GB"/>
              </w:rPr>
              <w:t> </w:t>
            </w:r>
          </w:p>
        </w:tc>
      </w:tr>
      <w:tr w:rsidR="00761B6C" w:rsidRPr="00236418" w14:paraId="1F2BD64F" w14:textId="77777777" w:rsidTr="001F5EBE">
        <w:trPr>
          <w:trHeight w:val="127"/>
          <w:jc w:val="center"/>
        </w:trPr>
        <w:tc>
          <w:tcPr>
            <w:tcW w:w="5916" w:type="dxa"/>
            <w:tcBorders>
              <w:top w:val="nil"/>
              <w:bottom w:val="nil"/>
              <w:right w:val="single" w:sz="4" w:space="0" w:color="auto"/>
            </w:tcBorders>
            <w:vAlign w:val="bottom"/>
          </w:tcPr>
          <w:p w14:paraId="2DE85260"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rPr>
              <w:t>Actifs non courants</w:t>
            </w:r>
          </w:p>
        </w:tc>
        <w:tc>
          <w:tcPr>
            <w:tcW w:w="0" w:type="auto"/>
            <w:tcBorders>
              <w:top w:val="nil"/>
              <w:left w:val="single" w:sz="4" w:space="0" w:color="auto"/>
              <w:bottom w:val="nil"/>
              <w:right w:val="single" w:sz="4" w:space="0" w:color="auto"/>
            </w:tcBorders>
            <w:shd w:val="clear" w:color="auto" w:fill="auto"/>
          </w:tcPr>
          <w:p w14:paraId="44AD00B8"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3C017680"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 </w:t>
            </w:r>
          </w:p>
        </w:tc>
      </w:tr>
      <w:tr w:rsidR="00761B6C" w:rsidRPr="00236418" w14:paraId="50C733A1" w14:textId="77777777" w:rsidTr="001F5EBE">
        <w:trPr>
          <w:trHeight w:val="127"/>
          <w:jc w:val="center"/>
        </w:trPr>
        <w:tc>
          <w:tcPr>
            <w:tcW w:w="5916" w:type="dxa"/>
            <w:tcBorders>
              <w:top w:val="nil"/>
              <w:bottom w:val="nil"/>
              <w:right w:val="single" w:sz="4" w:space="0" w:color="auto"/>
            </w:tcBorders>
            <w:vAlign w:val="bottom"/>
          </w:tcPr>
          <w:p w14:paraId="6FC944F3" w14:textId="77777777" w:rsidR="00761B6C" w:rsidRPr="001F5EBE" w:rsidRDefault="00761B6C" w:rsidP="001F5EBE">
            <w:pPr>
              <w:pStyle w:val="Tabletext"/>
              <w:spacing w:before="20" w:after="20"/>
              <w:rPr>
                <w:rFonts w:asciiTheme="minorHAnsi" w:hAnsiTheme="minorHAnsi" w:cstheme="minorHAnsi"/>
                <w:b/>
                <w:sz w:val="18"/>
                <w:szCs w:val="18"/>
              </w:rPr>
            </w:pPr>
            <w:r w:rsidRPr="001F5EBE">
              <w:rPr>
                <w:rFonts w:asciiTheme="minorHAnsi" w:hAnsiTheme="minorHAnsi" w:cstheme="minorHAnsi"/>
                <w:sz w:val="18"/>
                <w:szCs w:val="18"/>
              </w:rPr>
              <w:t>Créances sans contrepartie directe</w:t>
            </w:r>
          </w:p>
        </w:tc>
        <w:tc>
          <w:tcPr>
            <w:tcW w:w="0" w:type="auto"/>
            <w:tcBorders>
              <w:top w:val="nil"/>
              <w:left w:val="single" w:sz="4" w:space="0" w:color="auto"/>
              <w:bottom w:val="nil"/>
              <w:right w:val="single" w:sz="4" w:space="0" w:color="auto"/>
            </w:tcBorders>
            <w:shd w:val="clear" w:color="auto" w:fill="auto"/>
          </w:tcPr>
          <w:p w14:paraId="17671D95"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cs="Calibri"/>
                <w:color w:val="000000"/>
                <w:sz w:val="18"/>
                <w:szCs w:val="18"/>
              </w:rPr>
              <w:t>–</w:t>
            </w:r>
          </w:p>
        </w:tc>
        <w:tc>
          <w:tcPr>
            <w:tcW w:w="0" w:type="auto"/>
            <w:tcBorders>
              <w:top w:val="nil"/>
              <w:left w:val="single" w:sz="4" w:space="0" w:color="auto"/>
              <w:bottom w:val="nil"/>
              <w:right w:val="single" w:sz="4" w:space="0" w:color="auto"/>
            </w:tcBorders>
          </w:tcPr>
          <w:p w14:paraId="69E6A7FB"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cstheme="minorHAnsi"/>
                <w:sz w:val="18"/>
                <w:szCs w:val="18"/>
                <w:lang w:eastAsia="zh-CN"/>
              </w:rPr>
              <w:t>–</w:t>
            </w:r>
          </w:p>
        </w:tc>
      </w:tr>
      <w:tr w:rsidR="00761B6C" w:rsidRPr="00236418" w14:paraId="1AFD3350" w14:textId="77777777" w:rsidTr="001F5EBE">
        <w:trPr>
          <w:jc w:val="center"/>
        </w:trPr>
        <w:tc>
          <w:tcPr>
            <w:tcW w:w="5916" w:type="dxa"/>
            <w:tcBorders>
              <w:top w:val="nil"/>
              <w:bottom w:val="nil"/>
              <w:right w:val="single" w:sz="4" w:space="0" w:color="auto"/>
            </w:tcBorders>
          </w:tcPr>
          <w:p w14:paraId="05149377"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Immobilisations corporelles</w:t>
            </w:r>
          </w:p>
        </w:tc>
        <w:tc>
          <w:tcPr>
            <w:tcW w:w="0" w:type="auto"/>
            <w:tcBorders>
              <w:top w:val="nil"/>
              <w:left w:val="single" w:sz="4" w:space="0" w:color="auto"/>
              <w:bottom w:val="nil"/>
              <w:right w:val="single" w:sz="4" w:space="0" w:color="auto"/>
            </w:tcBorders>
            <w:shd w:val="clear" w:color="auto" w:fill="auto"/>
          </w:tcPr>
          <w:p w14:paraId="0169E5E5"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color w:val="000000"/>
                <w:sz w:val="18"/>
                <w:szCs w:val="18"/>
              </w:rPr>
              <w:t>78 040</w:t>
            </w:r>
          </w:p>
        </w:tc>
        <w:tc>
          <w:tcPr>
            <w:tcW w:w="0" w:type="auto"/>
            <w:tcBorders>
              <w:top w:val="nil"/>
              <w:left w:val="single" w:sz="4" w:space="0" w:color="auto"/>
              <w:bottom w:val="nil"/>
              <w:right w:val="single" w:sz="4" w:space="0" w:color="auto"/>
            </w:tcBorders>
          </w:tcPr>
          <w:p w14:paraId="56A5355E"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92 675</w:t>
            </w:r>
          </w:p>
        </w:tc>
      </w:tr>
      <w:tr w:rsidR="00761B6C" w:rsidRPr="00236418" w14:paraId="23F7FB95" w14:textId="77777777" w:rsidTr="001F5EBE">
        <w:trPr>
          <w:jc w:val="center"/>
        </w:trPr>
        <w:tc>
          <w:tcPr>
            <w:tcW w:w="5916" w:type="dxa"/>
            <w:tcBorders>
              <w:top w:val="nil"/>
              <w:bottom w:val="nil"/>
              <w:right w:val="single" w:sz="4" w:space="0" w:color="auto"/>
            </w:tcBorders>
          </w:tcPr>
          <w:p w14:paraId="7EA65309"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Immobilisations incorporelles</w:t>
            </w:r>
          </w:p>
        </w:tc>
        <w:tc>
          <w:tcPr>
            <w:tcW w:w="0" w:type="auto"/>
            <w:tcBorders>
              <w:top w:val="nil"/>
              <w:left w:val="single" w:sz="4" w:space="0" w:color="auto"/>
              <w:bottom w:val="nil"/>
              <w:right w:val="single" w:sz="4" w:space="0" w:color="auto"/>
            </w:tcBorders>
            <w:shd w:val="clear" w:color="auto" w:fill="auto"/>
          </w:tcPr>
          <w:p w14:paraId="4DCC6B57"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color w:val="000000"/>
                <w:sz w:val="18"/>
                <w:szCs w:val="18"/>
              </w:rPr>
              <w:t>1 443</w:t>
            </w:r>
          </w:p>
        </w:tc>
        <w:tc>
          <w:tcPr>
            <w:tcW w:w="0" w:type="auto"/>
            <w:tcBorders>
              <w:top w:val="nil"/>
              <w:left w:val="single" w:sz="4" w:space="0" w:color="auto"/>
              <w:bottom w:val="nil"/>
              <w:right w:val="single" w:sz="4" w:space="0" w:color="auto"/>
            </w:tcBorders>
          </w:tcPr>
          <w:p w14:paraId="363ED82D"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1 886</w:t>
            </w:r>
          </w:p>
        </w:tc>
      </w:tr>
      <w:tr w:rsidR="00761B6C" w:rsidRPr="00236418" w14:paraId="4B9B3B27" w14:textId="77777777" w:rsidTr="001F5EBE">
        <w:trPr>
          <w:jc w:val="center"/>
        </w:trPr>
        <w:tc>
          <w:tcPr>
            <w:tcW w:w="5916" w:type="dxa"/>
            <w:tcBorders>
              <w:top w:val="nil"/>
              <w:bottom w:val="nil"/>
              <w:right w:val="single" w:sz="4" w:space="0" w:color="auto"/>
            </w:tcBorders>
          </w:tcPr>
          <w:p w14:paraId="7B7B56AC" w14:textId="77777777" w:rsidR="00761B6C" w:rsidRPr="001F5EBE" w:rsidRDefault="00761B6C" w:rsidP="001F5EBE">
            <w:pPr>
              <w:pStyle w:val="Tabletext"/>
              <w:spacing w:before="20" w:after="20"/>
              <w:rPr>
                <w:rFonts w:asciiTheme="minorHAnsi" w:hAnsiTheme="minorHAnsi" w:cstheme="minorHAnsi"/>
                <w:sz w:val="18"/>
                <w:szCs w:val="18"/>
              </w:rPr>
            </w:pPr>
            <w:r w:rsidRPr="001F5EBE">
              <w:rPr>
                <w:rFonts w:asciiTheme="minorHAnsi" w:hAnsiTheme="minorHAnsi" w:cstheme="minorHAnsi"/>
                <w:sz w:val="18"/>
                <w:szCs w:val="18"/>
              </w:rPr>
              <w:t>Biens en construction</w:t>
            </w:r>
          </w:p>
        </w:tc>
        <w:tc>
          <w:tcPr>
            <w:tcW w:w="0" w:type="auto"/>
            <w:tcBorders>
              <w:top w:val="nil"/>
              <w:left w:val="single" w:sz="4" w:space="0" w:color="auto"/>
              <w:bottom w:val="nil"/>
              <w:right w:val="single" w:sz="4" w:space="0" w:color="auto"/>
            </w:tcBorders>
            <w:shd w:val="clear" w:color="auto" w:fill="auto"/>
          </w:tcPr>
          <w:p w14:paraId="45B8F2A1"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color w:val="000000"/>
                <w:sz w:val="18"/>
                <w:szCs w:val="18"/>
              </w:rPr>
              <w:t>9 443</w:t>
            </w:r>
          </w:p>
        </w:tc>
        <w:tc>
          <w:tcPr>
            <w:tcW w:w="0" w:type="auto"/>
            <w:tcBorders>
              <w:top w:val="nil"/>
              <w:left w:val="single" w:sz="4" w:space="0" w:color="auto"/>
              <w:bottom w:val="nil"/>
              <w:right w:val="single" w:sz="4" w:space="0" w:color="auto"/>
            </w:tcBorders>
          </w:tcPr>
          <w:p w14:paraId="6340E4ED"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5 190</w:t>
            </w:r>
          </w:p>
        </w:tc>
      </w:tr>
      <w:tr w:rsidR="00761B6C" w:rsidRPr="00236418" w14:paraId="30671E06" w14:textId="77777777" w:rsidTr="001F5EBE">
        <w:trPr>
          <w:jc w:val="center"/>
        </w:trPr>
        <w:tc>
          <w:tcPr>
            <w:tcW w:w="5916" w:type="dxa"/>
            <w:tcBorders>
              <w:top w:val="nil"/>
              <w:bottom w:val="nil"/>
              <w:right w:val="single" w:sz="4" w:space="0" w:color="auto"/>
            </w:tcBorders>
          </w:tcPr>
          <w:p w14:paraId="1D3925F4" w14:textId="77777777" w:rsidR="00761B6C" w:rsidRPr="001F5EBE" w:rsidRDefault="00761B6C" w:rsidP="001F5EBE">
            <w:pPr>
              <w:pStyle w:val="Tabletext"/>
              <w:spacing w:before="20" w:after="20"/>
              <w:rPr>
                <w:rFonts w:asciiTheme="minorHAnsi" w:hAnsiTheme="minorHAnsi" w:cstheme="minorHAnsi"/>
                <w:sz w:val="18"/>
                <w:szCs w:val="18"/>
              </w:rPr>
            </w:pPr>
            <w:r w:rsidRPr="001F5EBE">
              <w:rPr>
                <w:rFonts w:asciiTheme="minorHAnsi" w:hAnsiTheme="minorHAnsi" w:cstheme="minorHAnsi"/>
                <w:sz w:val="18"/>
                <w:szCs w:val="18"/>
              </w:rPr>
              <w:t>UNSMIS</w:t>
            </w:r>
          </w:p>
        </w:tc>
        <w:tc>
          <w:tcPr>
            <w:tcW w:w="0" w:type="auto"/>
            <w:tcBorders>
              <w:top w:val="nil"/>
              <w:left w:val="single" w:sz="4" w:space="0" w:color="auto"/>
              <w:bottom w:val="nil"/>
              <w:right w:val="single" w:sz="4" w:space="0" w:color="auto"/>
            </w:tcBorders>
            <w:shd w:val="clear" w:color="auto" w:fill="auto"/>
          </w:tcPr>
          <w:p w14:paraId="3471D2DD"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color w:val="000000"/>
                <w:sz w:val="18"/>
                <w:szCs w:val="18"/>
              </w:rPr>
              <w:t>17 441</w:t>
            </w:r>
          </w:p>
        </w:tc>
        <w:tc>
          <w:tcPr>
            <w:tcW w:w="0" w:type="auto"/>
            <w:tcBorders>
              <w:top w:val="nil"/>
              <w:left w:val="single" w:sz="4" w:space="0" w:color="auto"/>
              <w:bottom w:val="nil"/>
              <w:right w:val="single" w:sz="4" w:space="0" w:color="auto"/>
            </w:tcBorders>
          </w:tcPr>
          <w:p w14:paraId="0DB33E3B"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sz w:val="18"/>
                <w:szCs w:val="18"/>
                <w:lang w:eastAsia="en-GB"/>
              </w:rPr>
              <w:t>20 877</w:t>
            </w:r>
          </w:p>
        </w:tc>
      </w:tr>
      <w:tr w:rsidR="00761B6C" w:rsidRPr="00236418" w14:paraId="0DDA1593" w14:textId="77777777" w:rsidTr="001F5EBE">
        <w:trPr>
          <w:jc w:val="center"/>
        </w:trPr>
        <w:tc>
          <w:tcPr>
            <w:tcW w:w="5916" w:type="dxa"/>
            <w:tcBorders>
              <w:top w:val="nil"/>
              <w:bottom w:val="nil"/>
              <w:right w:val="single" w:sz="4" w:space="0" w:color="auto"/>
            </w:tcBorders>
          </w:tcPr>
          <w:p w14:paraId="7EF795AE"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rPr>
              <w:t>Total des actifs non courants</w:t>
            </w:r>
          </w:p>
        </w:tc>
        <w:tc>
          <w:tcPr>
            <w:tcW w:w="0" w:type="auto"/>
            <w:tcBorders>
              <w:top w:val="nil"/>
              <w:left w:val="single" w:sz="4" w:space="0" w:color="auto"/>
              <w:bottom w:val="nil"/>
              <w:right w:val="single" w:sz="4" w:space="0" w:color="auto"/>
            </w:tcBorders>
            <w:shd w:val="clear" w:color="auto" w:fill="auto"/>
          </w:tcPr>
          <w:p w14:paraId="7B363BAE"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b/>
                <w:bCs/>
                <w:color w:val="000000"/>
                <w:sz w:val="18"/>
                <w:szCs w:val="18"/>
              </w:rPr>
              <w:t>106 367</w:t>
            </w:r>
          </w:p>
        </w:tc>
        <w:tc>
          <w:tcPr>
            <w:tcW w:w="0" w:type="auto"/>
            <w:tcBorders>
              <w:top w:val="nil"/>
              <w:left w:val="single" w:sz="4" w:space="0" w:color="auto"/>
              <w:bottom w:val="nil"/>
              <w:right w:val="single" w:sz="4" w:space="0" w:color="auto"/>
            </w:tcBorders>
          </w:tcPr>
          <w:p w14:paraId="6A9C6BA2"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120 628</w:t>
            </w:r>
          </w:p>
        </w:tc>
      </w:tr>
      <w:tr w:rsidR="00761B6C" w:rsidRPr="00236418" w14:paraId="1B4403F4" w14:textId="77777777" w:rsidTr="001F5EBE">
        <w:trPr>
          <w:jc w:val="center"/>
        </w:trPr>
        <w:tc>
          <w:tcPr>
            <w:tcW w:w="5916" w:type="dxa"/>
            <w:tcBorders>
              <w:top w:val="nil"/>
              <w:bottom w:val="single" w:sz="4" w:space="0" w:color="auto"/>
              <w:right w:val="single" w:sz="4" w:space="0" w:color="auto"/>
            </w:tcBorders>
          </w:tcPr>
          <w:p w14:paraId="027A5537" w14:textId="77777777" w:rsidR="00761B6C" w:rsidRPr="001F5EBE" w:rsidRDefault="00761B6C" w:rsidP="001F5EBE">
            <w:pPr>
              <w:pStyle w:val="Tabletext"/>
              <w:spacing w:before="20" w:after="20"/>
              <w:rPr>
                <w:rFonts w:asciiTheme="minorHAnsi" w:hAnsiTheme="minorHAnsi" w:cstheme="minorHAnsi"/>
                <w:b/>
                <w:sz w:val="18"/>
                <w:szCs w:val="18"/>
              </w:rPr>
            </w:pPr>
          </w:p>
        </w:tc>
        <w:tc>
          <w:tcPr>
            <w:tcW w:w="0" w:type="auto"/>
            <w:tcBorders>
              <w:top w:val="nil"/>
              <w:left w:val="single" w:sz="4" w:space="0" w:color="auto"/>
              <w:bottom w:val="nil"/>
              <w:right w:val="single" w:sz="4" w:space="0" w:color="auto"/>
            </w:tcBorders>
            <w:shd w:val="clear" w:color="auto" w:fill="auto"/>
          </w:tcPr>
          <w:p w14:paraId="2A23C3EC" w14:textId="77777777" w:rsidR="00761B6C" w:rsidRPr="001F5EBE" w:rsidRDefault="00761B6C" w:rsidP="001F5EBE">
            <w:pPr>
              <w:pStyle w:val="Tabletext"/>
              <w:spacing w:before="20" w:after="20"/>
              <w:rPr>
                <w:rFonts w:asciiTheme="minorHAnsi" w:hAnsiTheme="minorHAnsi"/>
                <w:b/>
                <w:bCs/>
                <w:sz w:val="18"/>
                <w:szCs w:val="18"/>
                <w:lang w:eastAsia="en-GB"/>
              </w:rPr>
            </w:pPr>
            <w:r w:rsidRPr="001F5EBE">
              <w:rPr>
                <w:rFonts w:asciiTheme="minorHAnsi" w:hAnsiTheme="minorHAnsi" w:cs="Calibri"/>
                <w:b/>
                <w:bCs/>
                <w:color w:val="000000"/>
                <w:sz w:val="18"/>
                <w:szCs w:val="18"/>
              </w:rPr>
              <w:t> </w:t>
            </w:r>
          </w:p>
        </w:tc>
        <w:tc>
          <w:tcPr>
            <w:tcW w:w="0" w:type="auto"/>
            <w:tcBorders>
              <w:top w:val="nil"/>
              <w:left w:val="single" w:sz="4" w:space="0" w:color="auto"/>
              <w:bottom w:val="single" w:sz="4" w:space="0" w:color="auto"/>
              <w:right w:val="single" w:sz="4" w:space="0" w:color="auto"/>
            </w:tcBorders>
          </w:tcPr>
          <w:p w14:paraId="391FFD45" w14:textId="77777777" w:rsidR="00761B6C" w:rsidRPr="001F5EBE" w:rsidRDefault="00761B6C" w:rsidP="001F5EBE">
            <w:pPr>
              <w:pStyle w:val="Tabletext"/>
              <w:spacing w:before="20" w:after="20"/>
              <w:rPr>
                <w:rFonts w:asciiTheme="minorHAnsi" w:hAnsiTheme="minorHAnsi"/>
                <w:b/>
                <w:bCs/>
                <w:sz w:val="18"/>
                <w:szCs w:val="18"/>
                <w:lang w:eastAsia="en-GB"/>
              </w:rPr>
            </w:pPr>
          </w:p>
        </w:tc>
      </w:tr>
      <w:tr w:rsidR="00761B6C" w:rsidRPr="00236418" w14:paraId="24434DFE" w14:textId="77777777" w:rsidTr="001F5EBE">
        <w:trPr>
          <w:jc w:val="center"/>
        </w:trPr>
        <w:tc>
          <w:tcPr>
            <w:tcW w:w="5916" w:type="dxa"/>
            <w:tcBorders>
              <w:top w:val="single" w:sz="4" w:space="0" w:color="auto"/>
              <w:bottom w:val="single" w:sz="4" w:space="0" w:color="auto"/>
              <w:right w:val="single" w:sz="4" w:space="0" w:color="auto"/>
            </w:tcBorders>
          </w:tcPr>
          <w:p w14:paraId="1B5870D9"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rPr>
              <w:t>TOTAL DE L'ACTIF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EDFA11"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b/>
                <w:bCs/>
                <w:color w:val="000000"/>
                <w:sz w:val="18"/>
                <w:szCs w:val="18"/>
              </w:rPr>
              <w:t>408 974</w:t>
            </w:r>
          </w:p>
        </w:tc>
        <w:tc>
          <w:tcPr>
            <w:tcW w:w="0" w:type="auto"/>
            <w:tcBorders>
              <w:top w:val="single" w:sz="4" w:space="0" w:color="auto"/>
              <w:left w:val="single" w:sz="4" w:space="0" w:color="auto"/>
              <w:bottom w:val="single" w:sz="4" w:space="0" w:color="auto"/>
              <w:right w:val="single" w:sz="4" w:space="0" w:color="auto"/>
            </w:tcBorders>
            <w:vAlign w:val="center"/>
          </w:tcPr>
          <w:p w14:paraId="069F31BA"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457 501</w:t>
            </w:r>
          </w:p>
        </w:tc>
      </w:tr>
      <w:tr w:rsidR="00761B6C" w:rsidRPr="00236418" w14:paraId="410FCC91" w14:textId="77777777" w:rsidTr="001F5EBE">
        <w:trPr>
          <w:jc w:val="center"/>
        </w:trPr>
        <w:tc>
          <w:tcPr>
            <w:tcW w:w="5916" w:type="dxa"/>
            <w:tcBorders>
              <w:top w:val="nil"/>
              <w:bottom w:val="nil"/>
              <w:right w:val="single" w:sz="4" w:space="0" w:color="auto"/>
            </w:tcBorders>
          </w:tcPr>
          <w:p w14:paraId="4513BD33"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rPr>
              <w:t>PASSIF</w:t>
            </w:r>
          </w:p>
        </w:tc>
        <w:tc>
          <w:tcPr>
            <w:tcW w:w="0" w:type="auto"/>
            <w:tcBorders>
              <w:top w:val="nil"/>
              <w:left w:val="single" w:sz="4" w:space="0" w:color="auto"/>
              <w:bottom w:val="nil"/>
              <w:right w:val="single" w:sz="4" w:space="0" w:color="auto"/>
            </w:tcBorders>
            <w:shd w:val="clear" w:color="auto" w:fill="auto"/>
          </w:tcPr>
          <w:p w14:paraId="214E22A6"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4D93FAF8"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 </w:t>
            </w:r>
          </w:p>
        </w:tc>
      </w:tr>
      <w:tr w:rsidR="00761B6C" w:rsidRPr="00236418" w14:paraId="7E2BF6B1" w14:textId="77777777" w:rsidTr="001F5EBE">
        <w:trPr>
          <w:trHeight w:val="272"/>
          <w:jc w:val="center"/>
        </w:trPr>
        <w:tc>
          <w:tcPr>
            <w:tcW w:w="5916" w:type="dxa"/>
            <w:tcBorders>
              <w:top w:val="nil"/>
              <w:bottom w:val="nil"/>
              <w:right w:val="single" w:sz="4" w:space="0" w:color="auto"/>
            </w:tcBorders>
            <w:vAlign w:val="bottom"/>
          </w:tcPr>
          <w:p w14:paraId="1627B3AA"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rPr>
              <w:t>Passifs courants</w:t>
            </w:r>
          </w:p>
        </w:tc>
        <w:tc>
          <w:tcPr>
            <w:tcW w:w="0" w:type="auto"/>
            <w:tcBorders>
              <w:top w:val="nil"/>
              <w:left w:val="single" w:sz="4" w:space="0" w:color="auto"/>
              <w:bottom w:val="nil"/>
              <w:right w:val="single" w:sz="4" w:space="0" w:color="auto"/>
            </w:tcBorders>
            <w:shd w:val="clear" w:color="auto" w:fill="auto"/>
          </w:tcPr>
          <w:p w14:paraId="0C244432"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6658F7EC"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sz w:val="18"/>
                <w:szCs w:val="18"/>
                <w:lang w:eastAsia="en-GB"/>
              </w:rPr>
              <w:t> </w:t>
            </w:r>
          </w:p>
        </w:tc>
      </w:tr>
      <w:tr w:rsidR="00761B6C" w:rsidRPr="00236418" w14:paraId="0F860CC5" w14:textId="77777777" w:rsidTr="001F5EBE">
        <w:trPr>
          <w:jc w:val="center"/>
        </w:trPr>
        <w:tc>
          <w:tcPr>
            <w:tcW w:w="5916" w:type="dxa"/>
            <w:tcBorders>
              <w:top w:val="nil"/>
              <w:bottom w:val="nil"/>
              <w:right w:val="single" w:sz="4" w:space="0" w:color="auto"/>
            </w:tcBorders>
          </w:tcPr>
          <w:p w14:paraId="77A3DBF5"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Fournisseurs et autres créanciers</w:t>
            </w:r>
          </w:p>
        </w:tc>
        <w:tc>
          <w:tcPr>
            <w:tcW w:w="0" w:type="auto"/>
            <w:tcBorders>
              <w:top w:val="nil"/>
              <w:left w:val="single" w:sz="4" w:space="0" w:color="auto"/>
              <w:bottom w:val="nil"/>
              <w:right w:val="single" w:sz="4" w:space="0" w:color="auto"/>
            </w:tcBorders>
            <w:shd w:val="clear" w:color="auto" w:fill="auto"/>
          </w:tcPr>
          <w:p w14:paraId="643A495A"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6 015</w:t>
            </w:r>
          </w:p>
        </w:tc>
        <w:tc>
          <w:tcPr>
            <w:tcW w:w="0" w:type="auto"/>
            <w:tcBorders>
              <w:top w:val="nil"/>
              <w:left w:val="single" w:sz="4" w:space="0" w:color="auto"/>
              <w:bottom w:val="nil"/>
              <w:right w:val="single" w:sz="4" w:space="0" w:color="auto"/>
            </w:tcBorders>
          </w:tcPr>
          <w:p w14:paraId="2B1CEB92"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8 508</w:t>
            </w:r>
          </w:p>
        </w:tc>
      </w:tr>
      <w:tr w:rsidR="00761B6C" w:rsidRPr="00236418" w14:paraId="7DE5BCD0" w14:textId="77777777" w:rsidTr="001F5EBE">
        <w:trPr>
          <w:jc w:val="center"/>
        </w:trPr>
        <w:tc>
          <w:tcPr>
            <w:tcW w:w="5916" w:type="dxa"/>
            <w:tcBorders>
              <w:top w:val="nil"/>
              <w:bottom w:val="nil"/>
              <w:right w:val="single" w:sz="4" w:space="0" w:color="auto"/>
            </w:tcBorders>
          </w:tcPr>
          <w:p w14:paraId="24A4950B" w14:textId="77777777" w:rsidR="00761B6C" w:rsidRPr="001F5EBE" w:rsidRDefault="00761B6C" w:rsidP="001F5EBE">
            <w:pPr>
              <w:pStyle w:val="Sectiontitle"/>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Produits différés</w:t>
            </w:r>
          </w:p>
        </w:tc>
        <w:tc>
          <w:tcPr>
            <w:tcW w:w="0" w:type="auto"/>
            <w:tcBorders>
              <w:top w:val="nil"/>
              <w:left w:val="single" w:sz="4" w:space="0" w:color="auto"/>
              <w:bottom w:val="nil"/>
              <w:right w:val="single" w:sz="4" w:space="0" w:color="auto"/>
            </w:tcBorders>
            <w:shd w:val="clear" w:color="auto" w:fill="auto"/>
          </w:tcPr>
          <w:p w14:paraId="58F698AB"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132 566</w:t>
            </w:r>
          </w:p>
        </w:tc>
        <w:tc>
          <w:tcPr>
            <w:tcW w:w="0" w:type="auto"/>
            <w:tcBorders>
              <w:top w:val="nil"/>
              <w:left w:val="single" w:sz="4" w:space="0" w:color="auto"/>
              <w:bottom w:val="nil"/>
              <w:right w:val="single" w:sz="4" w:space="0" w:color="auto"/>
            </w:tcBorders>
          </w:tcPr>
          <w:p w14:paraId="074BB184"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135 642</w:t>
            </w:r>
          </w:p>
        </w:tc>
      </w:tr>
      <w:tr w:rsidR="00761B6C" w:rsidRPr="00236418" w14:paraId="5C381611" w14:textId="77777777" w:rsidTr="001F5EBE">
        <w:trPr>
          <w:jc w:val="center"/>
        </w:trPr>
        <w:tc>
          <w:tcPr>
            <w:tcW w:w="5916" w:type="dxa"/>
            <w:tcBorders>
              <w:top w:val="nil"/>
              <w:bottom w:val="nil"/>
              <w:right w:val="single" w:sz="4" w:space="0" w:color="auto"/>
            </w:tcBorders>
          </w:tcPr>
          <w:p w14:paraId="718969AD" w14:textId="77777777" w:rsidR="00761B6C" w:rsidRPr="001F5EBE" w:rsidRDefault="00761B6C" w:rsidP="001F5EBE">
            <w:pPr>
              <w:pStyle w:val="Sectiontitle"/>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Emprunts et dettes financières</w:t>
            </w:r>
          </w:p>
        </w:tc>
        <w:tc>
          <w:tcPr>
            <w:tcW w:w="0" w:type="auto"/>
            <w:tcBorders>
              <w:top w:val="nil"/>
              <w:left w:val="single" w:sz="4" w:space="0" w:color="auto"/>
              <w:bottom w:val="nil"/>
              <w:right w:val="single" w:sz="4" w:space="0" w:color="auto"/>
            </w:tcBorders>
            <w:shd w:val="clear" w:color="auto" w:fill="auto"/>
          </w:tcPr>
          <w:p w14:paraId="3FA80443"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1 391</w:t>
            </w:r>
          </w:p>
        </w:tc>
        <w:tc>
          <w:tcPr>
            <w:tcW w:w="0" w:type="auto"/>
            <w:tcBorders>
              <w:top w:val="nil"/>
              <w:left w:val="single" w:sz="4" w:space="0" w:color="auto"/>
              <w:bottom w:val="nil"/>
              <w:right w:val="single" w:sz="4" w:space="0" w:color="auto"/>
            </w:tcBorders>
          </w:tcPr>
          <w:p w14:paraId="2BB86644"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1 493</w:t>
            </w:r>
          </w:p>
        </w:tc>
      </w:tr>
      <w:tr w:rsidR="00761B6C" w:rsidRPr="00236418" w14:paraId="00248215" w14:textId="77777777" w:rsidTr="001F5EBE">
        <w:trPr>
          <w:jc w:val="center"/>
        </w:trPr>
        <w:tc>
          <w:tcPr>
            <w:tcW w:w="5916" w:type="dxa"/>
            <w:tcBorders>
              <w:top w:val="nil"/>
              <w:bottom w:val="nil"/>
              <w:right w:val="single" w:sz="4" w:space="0" w:color="auto"/>
            </w:tcBorders>
          </w:tcPr>
          <w:p w14:paraId="6EB3826F" w14:textId="77777777" w:rsidR="00761B6C" w:rsidRPr="001F5EBE" w:rsidRDefault="00761B6C" w:rsidP="001F5EBE">
            <w:pPr>
              <w:pStyle w:val="Sectiontitle"/>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Avantages du personnel</w:t>
            </w:r>
          </w:p>
        </w:tc>
        <w:tc>
          <w:tcPr>
            <w:tcW w:w="0" w:type="auto"/>
            <w:tcBorders>
              <w:top w:val="nil"/>
              <w:left w:val="single" w:sz="4" w:space="0" w:color="auto"/>
              <w:bottom w:val="nil"/>
              <w:right w:val="single" w:sz="4" w:space="0" w:color="auto"/>
            </w:tcBorders>
            <w:shd w:val="clear" w:color="auto" w:fill="auto"/>
          </w:tcPr>
          <w:p w14:paraId="779FCA9E"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10</w:t>
            </w:r>
          </w:p>
        </w:tc>
        <w:tc>
          <w:tcPr>
            <w:tcW w:w="0" w:type="auto"/>
            <w:tcBorders>
              <w:top w:val="nil"/>
              <w:left w:val="single" w:sz="4" w:space="0" w:color="auto"/>
              <w:bottom w:val="nil"/>
              <w:right w:val="single" w:sz="4" w:space="0" w:color="auto"/>
            </w:tcBorders>
          </w:tcPr>
          <w:p w14:paraId="482CF7A0"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178</w:t>
            </w:r>
          </w:p>
        </w:tc>
      </w:tr>
      <w:tr w:rsidR="00761B6C" w:rsidRPr="00236418" w14:paraId="0428E31B" w14:textId="77777777" w:rsidTr="001F5EBE">
        <w:trPr>
          <w:jc w:val="center"/>
        </w:trPr>
        <w:tc>
          <w:tcPr>
            <w:tcW w:w="5916" w:type="dxa"/>
            <w:tcBorders>
              <w:top w:val="nil"/>
              <w:bottom w:val="nil"/>
              <w:right w:val="single" w:sz="4" w:space="0" w:color="auto"/>
            </w:tcBorders>
          </w:tcPr>
          <w:p w14:paraId="139F01A6"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Provisions</w:t>
            </w:r>
          </w:p>
        </w:tc>
        <w:tc>
          <w:tcPr>
            <w:tcW w:w="0" w:type="auto"/>
            <w:tcBorders>
              <w:top w:val="nil"/>
              <w:left w:val="single" w:sz="4" w:space="0" w:color="auto"/>
              <w:bottom w:val="nil"/>
              <w:right w:val="single" w:sz="4" w:space="0" w:color="auto"/>
            </w:tcBorders>
            <w:shd w:val="clear" w:color="auto" w:fill="auto"/>
          </w:tcPr>
          <w:p w14:paraId="560F029D"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1 105</w:t>
            </w:r>
          </w:p>
        </w:tc>
        <w:tc>
          <w:tcPr>
            <w:tcW w:w="0" w:type="auto"/>
            <w:tcBorders>
              <w:top w:val="nil"/>
              <w:left w:val="single" w:sz="4" w:space="0" w:color="auto"/>
              <w:bottom w:val="nil"/>
              <w:right w:val="single" w:sz="4" w:space="0" w:color="auto"/>
            </w:tcBorders>
          </w:tcPr>
          <w:p w14:paraId="18E429EB"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727</w:t>
            </w:r>
          </w:p>
        </w:tc>
      </w:tr>
      <w:tr w:rsidR="00761B6C" w:rsidRPr="00236418" w14:paraId="585E83B0" w14:textId="77777777" w:rsidTr="001F5EBE">
        <w:trPr>
          <w:jc w:val="center"/>
        </w:trPr>
        <w:tc>
          <w:tcPr>
            <w:tcW w:w="5916" w:type="dxa"/>
            <w:tcBorders>
              <w:top w:val="nil"/>
              <w:bottom w:val="nil"/>
              <w:right w:val="single" w:sz="4" w:space="0" w:color="auto"/>
            </w:tcBorders>
          </w:tcPr>
          <w:p w14:paraId="2F9D4845" w14:textId="77777777" w:rsidR="00761B6C" w:rsidRPr="001F5EBE" w:rsidRDefault="00761B6C" w:rsidP="001F5EBE">
            <w:pPr>
              <w:pStyle w:val="Sectiontitle"/>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Autres dettes</w:t>
            </w:r>
          </w:p>
        </w:tc>
        <w:tc>
          <w:tcPr>
            <w:tcW w:w="0" w:type="auto"/>
            <w:tcBorders>
              <w:top w:val="nil"/>
              <w:left w:val="single" w:sz="4" w:space="0" w:color="auto"/>
              <w:bottom w:val="nil"/>
              <w:right w:val="single" w:sz="4" w:space="0" w:color="auto"/>
            </w:tcBorders>
            <w:shd w:val="clear" w:color="auto" w:fill="auto"/>
          </w:tcPr>
          <w:p w14:paraId="3FEA4127"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color w:val="000000"/>
                <w:sz w:val="18"/>
                <w:szCs w:val="18"/>
              </w:rPr>
              <w:t>4 999</w:t>
            </w:r>
          </w:p>
        </w:tc>
        <w:tc>
          <w:tcPr>
            <w:tcW w:w="0" w:type="auto"/>
            <w:tcBorders>
              <w:top w:val="nil"/>
              <w:left w:val="single" w:sz="4" w:space="0" w:color="auto"/>
              <w:bottom w:val="nil"/>
              <w:right w:val="single" w:sz="4" w:space="0" w:color="auto"/>
            </w:tcBorders>
          </w:tcPr>
          <w:p w14:paraId="18D256F4"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4 931</w:t>
            </w:r>
          </w:p>
        </w:tc>
      </w:tr>
      <w:tr w:rsidR="00761B6C" w:rsidRPr="00236418" w14:paraId="79C845F0" w14:textId="77777777" w:rsidTr="001F5EBE">
        <w:trPr>
          <w:jc w:val="center"/>
        </w:trPr>
        <w:tc>
          <w:tcPr>
            <w:tcW w:w="5916" w:type="dxa"/>
            <w:tcBorders>
              <w:top w:val="nil"/>
              <w:bottom w:val="nil"/>
              <w:right w:val="single" w:sz="4" w:space="0" w:color="auto"/>
            </w:tcBorders>
          </w:tcPr>
          <w:p w14:paraId="3CEEE7DB" w14:textId="77777777" w:rsidR="00761B6C" w:rsidRPr="001F5EBE" w:rsidRDefault="00761B6C" w:rsidP="001F5EBE">
            <w:pPr>
              <w:pStyle w:val="Sectiontitle"/>
              <w:spacing w:before="20" w:after="20"/>
              <w:rPr>
                <w:rFonts w:asciiTheme="minorHAnsi" w:hAnsiTheme="minorHAnsi" w:cstheme="minorHAnsi"/>
                <w:sz w:val="18"/>
                <w:szCs w:val="18"/>
              </w:rPr>
            </w:pPr>
            <w:r w:rsidRPr="001F5EBE">
              <w:rPr>
                <w:rFonts w:asciiTheme="minorHAnsi" w:hAnsiTheme="minorHAnsi" w:cstheme="minorHAnsi"/>
                <w:sz w:val="18"/>
                <w:szCs w:val="18"/>
              </w:rPr>
              <w:t>UNSMIS</w:t>
            </w:r>
          </w:p>
        </w:tc>
        <w:tc>
          <w:tcPr>
            <w:tcW w:w="0" w:type="auto"/>
            <w:tcBorders>
              <w:top w:val="nil"/>
              <w:left w:val="single" w:sz="4" w:space="0" w:color="auto"/>
              <w:bottom w:val="nil"/>
              <w:right w:val="single" w:sz="4" w:space="0" w:color="auto"/>
            </w:tcBorders>
            <w:shd w:val="clear" w:color="auto" w:fill="auto"/>
          </w:tcPr>
          <w:p w14:paraId="34418C22"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color w:val="000000"/>
                <w:sz w:val="18"/>
                <w:szCs w:val="18"/>
              </w:rPr>
              <w:t>1 493</w:t>
            </w:r>
          </w:p>
        </w:tc>
        <w:tc>
          <w:tcPr>
            <w:tcW w:w="0" w:type="auto"/>
            <w:tcBorders>
              <w:top w:val="nil"/>
              <w:left w:val="single" w:sz="4" w:space="0" w:color="auto"/>
              <w:bottom w:val="nil"/>
              <w:right w:val="single" w:sz="4" w:space="0" w:color="auto"/>
            </w:tcBorders>
          </w:tcPr>
          <w:p w14:paraId="51A9CA72"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sz w:val="18"/>
                <w:szCs w:val="18"/>
                <w:lang w:eastAsia="en-GB"/>
              </w:rPr>
              <w:t>21 154</w:t>
            </w:r>
          </w:p>
        </w:tc>
      </w:tr>
      <w:tr w:rsidR="00761B6C" w:rsidRPr="00236418" w14:paraId="0B972CF1" w14:textId="77777777" w:rsidTr="001F5EBE">
        <w:trPr>
          <w:jc w:val="center"/>
        </w:trPr>
        <w:tc>
          <w:tcPr>
            <w:tcW w:w="5916" w:type="dxa"/>
            <w:tcBorders>
              <w:top w:val="nil"/>
              <w:bottom w:val="nil"/>
              <w:right w:val="single" w:sz="4" w:space="0" w:color="auto"/>
            </w:tcBorders>
          </w:tcPr>
          <w:p w14:paraId="132FEFD1"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lang w:eastAsia="fr-FR"/>
              </w:rPr>
              <w:t>Total des passifs courants</w:t>
            </w:r>
          </w:p>
        </w:tc>
        <w:tc>
          <w:tcPr>
            <w:tcW w:w="0" w:type="auto"/>
            <w:tcBorders>
              <w:top w:val="nil"/>
              <w:left w:val="single" w:sz="4" w:space="0" w:color="auto"/>
              <w:bottom w:val="nil"/>
              <w:right w:val="single" w:sz="4" w:space="0" w:color="auto"/>
            </w:tcBorders>
            <w:shd w:val="clear" w:color="auto" w:fill="auto"/>
          </w:tcPr>
          <w:p w14:paraId="310FE07F"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b/>
                <w:bCs/>
                <w:color w:val="000000"/>
                <w:sz w:val="18"/>
                <w:szCs w:val="18"/>
              </w:rPr>
              <w:t>147 579</w:t>
            </w:r>
          </w:p>
        </w:tc>
        <w:tc>
          <w:tcPr>
            <w:tcW w:w="0" w:type="auto"/>
            <w:tcBorders>
              <w:top w:val="nil"/>
              <w:left w:val="single" w:sz="4" w:space="0" w:color="auto"/>
              <w:bottom w:val="nil"/>
              <w:right w:val="single" w:sz="4" w:space="0" w:color="auto"/>
            </w:tcBorders>
          </w:tcPr>
          <w:p w14:paraId="49242B1F"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172 633</w:t>
            </w:r>
          </w:p>
        </w:tc>
      </w:tr>
      <w:tr w:rsidR="00761B6C" w:rsidRPr="00236418" w14:paraId="4476EAFC" w14:textId="77777777" w:rsidTr="001F5EBE">
        <w:trPr>
          <w:jc w:val="center"/>
        </w:trPr>
        <w:tc>
          <w:tcPr>
            <w:tcW w:w="5916" w:type="dxa"/>
            <w:tcBorders>
              <w:top w:val="nil"/>
              <w:bottom w:val="nil"/>
              <w:right w:val="single" w:sz="4" w:space="0" w:color="auto"/>
            </w:tcBorders>
          </w:tcPr>
          <w:p w14:paraId="41A3C383" w14:textId="77777777" w:rsidR="00761B6C" w:rsidRPr="001F5EBE" w:rsidRDefault="00761B6C" w:rsidP="001F5EBE">
            <w:pPr>
              <w:pStyle w:val="Tabletext"/>
              <w:spacing w:before="20" w:after="20"/>
              <w:rPr>
                <w:rFonts w:asciiTheme="minorHAnsi" w:hAnsiTheme="minorHAnsi" w:cstheme="minorHAnsi"/>
                <w:b/>
                <w:sz w:val="18"/>
                <w:szCs w:val="18"/>
                <w:lang w:eastAsia="fr-FR"/>
              </w:rPr>
            </w:pPr>
          </w:p>
        </w:tc>
        <w:tc>
          <w:tcPr>
            <w:tcW w:w="0" w:type="auto"/>
            <w:tcBorders>
              <w:top w:val="nil"/>
              <w:left w:val="single" w:sz="4" w:space="0" w:color="auto"/>
              <w:bottom w:val="nil"/>
              <w:right w:val="single" w:sz="4" w:space="0" w:color="auto"/>
            </w:tcBorders>
            <w:shd w:val="clear" w:color="auto" w:fill="auto"/>
          </w:tcPr>
          <w:p w14:paraId="429047A4"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b/>
                <w:bCs/>
                <w:color w:val="000000"/>
                <w:sz w:val="18"/>
                <w:szCs w:val="18"/>
              </w:rPr>
              <w:t> </w:t>
            </w:r>
          </w:p>
        </w:tc>
        <w:tc>
          <w:tcPr>
            <w:tcW w:w="0" w:type="auto"/>
            <w:tcBorders>
              <w:top w:val="nil"/>
              <w:left w:val="single" w:sz="4" w:space="0" w:color="auto"/>
              <w:bottom w:val="nil"/>
              <w:right w:val="single" w:sz="4" w:space="0" w:color="auto"/>
            </w:tcBorders>
          </w:tcPr>
          <w:p w14:paraId="34192A42"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 </w:t>
            </w:r>
          </w:p>
        </w:tc>
      </w:tr>
      <w:tr w:rsidR="00761B6C" w:rsidRPr="00236418" w14:paraId="2E5E5EBF" w14:textId="77777777" w:rsidTr="001F5EBE">
        <w:trPr>
          <w:trHeight w:val="272"/>
          <w:jc w:val="center"/>
        </w:trPr>
        <w:tc>
          <w:tcPr>
            <w:tcW w:w="5916" w:type="dxa"/>
            <w:tcBorders>
              <w:top w:val="nil"/>
              <w:bottom w:val="nil"/>
              <w:right w:val="single" w:sz="4" w:space="0" w:color="auto"/>
            </w:tcBorders>
            <w:vAlign w:val="bottom"/>
          </w:tcPr>
          <w:p w14:paraId="2121AA8D"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rPr>
              <w:t>Passifs non courants</w:t>
            </w:r>
          </w:p>
        </w:tc>
        <w:tc>
          <w:tcPr>
            <w:tcW w:w="0" w:type="auto"/>
            <w:tcBorders>
              <w:top w:val="nil"/>
              <w:left w:val="single" w:sz="4" w:space="0" w:color="auto"/>
              <w:bottom w:val="nil"/>
              <w:right w:val="single" w:sz="4" w:space="0" w:color="auto"/>
            </w:tcBorders>
            <w:shd w:val="clear" w:color="auto" w:fill="auto"/>
          </w:tcPr>
          <w:p w14:paraId="2398B75F"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34BF6A50"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 </w:t>
            </w:r>
          </w:p>
        </w:tc>
      </w:tr>
      <w:tr w:rsidR="00761B6C" w:rsidRPr="00236418" w14:paraId="2E8452F1" w14:textId="77777777" w:rsidTr="001F5EBE">
        <w:trPr>
          <w:jc w:val="center"/>
        </w:trPr>
        <w:tc>
          <w:tcPr>
            <w:tcW w:w="5916" w:type="dxa"/>
            <w:tcBorders>
              <w:top w:val="nil"/>
              <w:bottom w:val="nil"/>
              <w:right w:val="single" w:sz="4" w:space="0" w:color="auto"/>
            </w:tcBorders>
          </w:tcPr>
          <w:p w14:paraId="75659D80"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Emprunts</w:t>
            </w:r>
          </w:p>
        </w:tc>
        <w:tc>
          <w:tcPr>
            <w:tcW w:w="0" w:type="auto"/>
            <w:tcBorders>
              <w:top w:val="nil"/>
              <w:left w:val="single" w:sz="4" w:space="0" w:color="auto"/>
              <w:bottom w:val="nil"/>
              <w:right w:val="single" w:sz="4" w:space="0" w:color="auto"/>
            </w:tcBorders>
            <w:shd w:val="clear" w:color="auto" w:fill="auto"/>
          </w:tcPr>
          <w:p w14:paraId="565828B7"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45 718</w:t>
            </w:r>
          </w:p>
        </w:tc>
        <w:tc>
          <w:tcPr>
            <w:tcW w:w="0" w:type="auto"/>
            <w:tcBorders>
              <w:top w:val="nil"/>
              <w:left w:val="single" w:sz="4" w:space="0" w:color="auto"/>
              <w:bottom w:val="nil"/>
              <w:right w:val="single" w:sz="4" w:space="0" w:color="auto"/>
            </w:tcBorders>
          </w:tcPr>
          <w:p w14:paraId="0F1EE002"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43 456</w:t>
            </w:r>
          </w:p>
        </w:tc>
      </w:tr>
      <w:tr w:rsidR="00761B6C" w:rsidRPr="00236418" w14:paraId="4866DCD7" w14:textId="77777777" w:rsidTr="001F5EBE">
        <w:trPr>
          <w:jc w:val="center"/>
        </w:trPr>
        <w:tc>
          <w:tcPr>
            <w:tcW w:w="5916" w:type="dxa"/>
            <w:tcBorders>
              <w:top w:val="nil"/>
              <w:bottom w:val="nil"/>
              <w:right w:val="single" w:sz="4" w:space="0" w:color="auto"/>
            </w:tcBorders>
          </w:tcPr>
          <w:p w14:paraId="256EB375" w14:textId="77777777" w:rsidR="00761B6C" w:rsidRPr="001F5EBE" w:rsidRDefault="00761B6C" w:rsidP="001F5EBE">
            <w:pPr>
              <w:pStyle w:val="Sectiontitle"/>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Avantages du personnel</w:t>
            </w:r>
          </w:p>
        </w:tc>
        <w:tc>
          <w:tcPr>
            <w:tcW w:w="0" w:type="auto"/>
            <w:tcBorders>
              <w:top w:val="nil"/>
              <w:left w:val="single" w:sz="4" w:space="0" w:color="auto"/>
              <w:bottom w:val="nil"/>
              <w:right w:val="single" w:sz="4" w:space="0" w:color="auto"/>
            </w:tcBorders>
            <w:shd w:val="clear" w:color="auto" w:fill="auto"/>
          </w:tcPr>
          <w:p w14:paraId="22E7430F"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656 021</w:t>
            </w:r>
          </w:p>
        </w:tc>
        <w:tc>
          <w:tcPr>
            <w:tcW w:w="0" w:type="auto"/>
            <w:tcBorders>
              <w:top w:val="nil"/>
              <w:left w:val="single" w:sz="4" w:space="0" w:color="auto"/>
              <w:bottom w:val="nil"/>
              <w:right w:val="single" w:sz="4" w:space="0" w:color="auto"/>
            </w:tcBorders>
          </w:tcPr>
          <w:p w14:paraId="1D0448BB"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634 857</w:t>
            </w:r>
          </w:p>
        </w:tc>
      </w:tr>
      <w:tr w:rsidR="00761B6C" w:rsidRPr="00236418" w14:paraId="465042E9" w14:textId="77777777" w:rsidTr="001F5EBE">
        <w:trPr>
          <w:jc w:val="center"/>
        </w:trPr>
        <w:tc>
          <w:tcPr>
            <w:tcW w:w="5916" w:type="dxa"/>
            <w:tcBorders>
              <w:top w:val="nil"/>
              <w:bottom w:val="single" w:sz="4" w:space="0" w:color="auto"/>
              <w:right w:val="single" w:sz="4" w:space="0" w:color="auto"/>
            </w:tcBorders>
          </w:tcPr>
          <w:p w14:paraId="2D32F2B5" w14:textId="77777777" w:rsidR="00761B6C" w:rsidRPr="001F5EBE" w:rsidRDefault="00761B6C" w:rsidP="001F5EBE">
            <w:pPr>
              <w:pStyle w:val="Sectiontitle"/>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Fonds de tiers affectés</w:t>
            </w:r>
          </w:p>
        </w:tc>
        <w:tc>
          <w:tcPr>
            <w:tcW w:w="0" w:type="auto"/>
            <w:tcBorders>
              <w:top w:val="nil"/>
              <w:left w:val="single" w:sz="4" w:space="0" w:color="auto"/>
              <w:bottom w:val="single" w:sz="4" w:space="0" w:color="auto"/>
              <w:right w:val="single" w:sz="4" w:space="0" w:color="auto"/>
            </w:tcBorders>
            <w:shd w:val="clear" w:color="auto" w:fill="auto"/>
          </w:tcPr>
          <w:p w14:paraId="1695D1FD"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38 430</w:t>
            </w:r>
          </w:p>
        </w:tc>
        <w:tc>
          <w:tcPr>
            <w:tcW w:w="0" w:type="auto"/>
            <w:tcBorders>
              <w:top w:val="nil"/>
              <w:left w:val="single" w:sz="4" w:space="0" w:color="auto"/>
              <w:bottom w:val="single" w:sz="4" w:space="0" w:color="auto"/>
              <w:right w:val="single" w:sz="4" w:space="0" w:color="auto"/>
            </w:tcBorders>
          </w:tcPr>
          <w:p w14:paraId="0CA58E49" w14:textId="07E919F8"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35 140</w:t>
            </w:r>
          </w:p>
        </w:tc>
      </w:tr>
      <w:tr w:rsidR="00761B6C" w:rsidRPr="00236418" w14:paraId="0B4D5DCC" w14:textId="77777777" w:rsidTr="001F5EBE">
        <w:trPr>
          <w:jc w:val="center"/>
        </w:trPr>
        <w:tc>
          <w:tcPr>
            <w:tcW w:w="5916" w:type="dxa"/>
            <w:tcBorders>
              <w:top w:val="single" w:sz="4" w:space="0" w:color="auto"/>
              <w:bottom w:val="nil"/>
              <w:right w:val="single" w:sz="4" w:space="0" w:color="auto"/>
            </w:tcBorders>
          </w:tcPr>
          <w:p w14:paraId="1023CDEC" w14:textId="77777777" w:rsidR="00761B6C" w:rsidRPr="001F5EBE" w:rsidRDefault="00761B6C" w:rsidP="001F5EBE">
            <w:pPr>
              <w:pStyle w:val="Sectiontitle"/>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Fonds de tiers en cours d'affectation</w:t>
            </w:r>
          </w:p>
        </w:tc>
        <w:tc>
          <w:tcPr>
            <w:tcW w:w="0" w:type="auto"/>
            <w:tcBorders>
              <w:top w:val="single" w:sz="4" w:space="0" w:color="auto"/>
              <w:left w:val="single" w:sz="4" w:space="0" w:color="auto"/>
              <w:bottom w:val="nil"/>
              <w:right w:val="single" w:sz="4" w:space="0" w:color="auto"/>
            </w:tcBorders>
            <w:shd w:val="clear" w:color="auto" w:fill="auto"/>
          </w:tcPr>
          <w:p w14:paraId="489F9214"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4 353</w:t>
            </w:r>
          </w:p>
        </w:tc>
        <w:tc>
          <w:tcPr>
            <w:tcW w:w="0" w:type="auto"/>
            <w:tcBorders>
              <w:top w:val="single" w:sz="4" w:space="0" w:color="auto"/>
              <w:left w:val="single" w:sz="4" w:space="0" w:color="auto"/>
              <w:bottom w:val="nil"/>
              <w:right w:val="single" w:sz="4" w:space="0" w:color="auto"/>
            </w:tcBorders>
          </w:tcPr>
          <w:p w14:paraId="2CB3DDB6"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3 184</w:t>
            </w:r>
          </w:p>
        </w:tc>
      </w:tr>
      <w:tr w:rsidR="00761B6C" w:rsidRPr="00236418" w14:paraId="354437BD" w14:textId="77777777" w:rsidTr="001F5EBE">
        <w:trPr>
          <w:jc w:val="center"/>
        </w:trPr>
        <w:tc>
          <w:tcPr>
            <w:tcW w:w="5916" w:type="dxa"/>
            <w:tcBorders>
              <w:top w:val="nil"/>
              <w:bottom w:val="nil"/>
              <w:right w:val="single" w:sz="4" w:space="0" w:color="auto"/>
            </w:tcBorders>
          </w:tcPr>
          <w:p w14:paraId="321403F2" w14:textId="77777777" w:rsidR="00761B6C" w:rsidRPr="001F5EBE" w:rsidRDefault="00761B6C" w:rsidP="001F5EBE">
            <w:pPr>
              <w:pStyle w:val="Sectiontitle"/>
              <w:spacing w:before="20" w:after="20"/>
              <w:rPr>
                <w:rFonts w:asciiTheme="minorHAnsi" w:hAnsiTheme="minorHAnsi" w:cstheme="minorHAnsi"/>
                <w:sz w:val="18"/>
                <w:szCs w:val="18"/>
              </w:rPr>
            </w:pPr>
            <w:r w:rsidRPr="001F5EBE">
              <w:rPr>
                <w:rFonts w:asciiTheme="minorHAnsi" w:hAnsiTheme="minorHAnsi" w:cstheme="minorHAnsi"/>
                <w:sz w:val="18"/>
                <w:szCs w:val="18"/>
              </w:rPr>
              <w:t>UNSMIS</w:t>
            </w:r>
          </w:p>
        </w:tc>
        <w:tc>
          <w:tcPr>
            <w:tcW w:w="0" w:type="auto"/>
            <w:tcBorders>
              <w:top w:val="nil"/>
              <w:left w:val="single" w:sz="4" w:space="0" w:color="auto"/>
              <w:bottom w:val="nil"/>
              <w:right w:val="single" w:sz="4" w:space="0" w:color="auto"/>
            </w:tcBorders>
            <w:shd w:val="clear" w:color="auto" w:fill="auto"/>
          </w:tcPr>
          <w:p w14:paraId="44E83487"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17 441</w:t>
            </w:r>
          </w:p>
        </w:tc>
        <w:tc>
          <w:tcPr>
            <w:tcW w:w="0" w:type="auto"/>
            <w:tcBorders>
              <w:top w:val="nil"/>
              <w:left w:val="single" w:sz="4" w:space="0" w:color="auto"/>
              <w:bottom w:val="nil"/>
              <w:right w:val="single" w:sz="4" w:space="0" w:color="auto"/>
            </w:tcBorders>
          </w:tcPr>
          <w:p w14:paraId="1B34022D"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sz w:val="18"/>
                <w:szCs w:val="18"/>
                <w:lang w:eastAsia="en-GB"/>
              </w:rPr>
              <w:t>20 877</w:t>
            </w:r>
          </w:p>
        </w:tc>
      </w:tr>
      <w:tr w:rsidR="00761B6C" w:rsidRPr="00236418" w14:paraId="5463BEA1" w14:textId="77777777" w:rsidTr="001F5EBE">
        <w:trPr>
          <w:jc w:val="center"/>
        </w:trPr>
        <w:tc>
          <w:tcPr>
            <w:tcW w:w="5916" w:type="dxa"/>
            <w:tcBorders>
              <w:top w:val="nil"/>
              <w:bottom w:val="nil"/>
              <w:right w:val="single" w:sz="4" w:space="0" w:color="auto"/>
            </w:tcBorders>
          </w:tcPr>
          <w:p w14:paraId="151B1AC4"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lang w:eastAsia="fr-FR"/>
              </w:rPr>
              <w:t>Total des passifs non courants</w:t>
            </w:r>
          </w:p>
        </w:tc>
        <w:tc>
          <w:tcPr>
            <w:tcW w:w="0" w:type="auto"/>
            <w:tcBorders>
              <w:top w:val="nil"/>
              <w:left w:val="single" w:sz="4" w:space="0" w:color="auto"/>
              <w:bottom w:val="nil"/>
              <w:right w:val="single" w:sz="4" w:space="0" w:color="auto"/>
            </w:tcBorders>
            <w:shd w:val="clear" w:color="auto" w:fill="auto"/>
          </w:tcPr>
          <w:p w14:paraId="4BDE8128"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b/>
                <w:bCs/>
                <w:color w:val="000000"/>
                <w:sz w:val="18"/>
                <w:szCs w:val="18"/>
              </w:rPr>
              <w:t>761 963</w:t>
            </w:r>
          </w:p>
        </w:tc>
        <w:tc>
          <w:tcPr>
            <w:tcW w:w="0" w:type="auto"/>
            <w:tcBorders>
              <w:top w:val="nil"/>
              <w:left w:val="single" w:sz="4" w:space="0" w:color="auto"/>
              <w:bottom w:val="nil"/>
              <w:right w:val="single" w:sz="4" w:space="0" w:color="auto"/>
            </w:tcBorders>
          </w:tcPr>
          <w:p w14:paraId="320DBEF6"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737 514</w:t>
            </w:r>
          </w:p>
        </w:tc>
      </w:tr>
      <w:tr w:rsidR="00761B6C" w:rsidRPr="00236418" w14:paraId="5DF215FA" w14:textId="77777777" w:rsidTr="001F5EBE">
        <w:trPr>
          <w:jc w:val="center"/>
        </w:trPr>
        <w:tc>
          <w:tcPr>
            <w:tcW w:w="5916" w:type="dxa"/>
            <w:tcBorders>
              <w:top w:val="nil"/>
              <w:bottom w:val="nil"/>
              <w:right w:val="single" w:sz="4" w:space="0" w:color="auto"/>
            </w:tcBorders>
          </w:tcPr>
          <w:p w14:paraId="11950979" w14:textId="77777777" w:rsidR="00761B6C" w:rsidRPr="001F5EBE" w:rsidRDefault="00761B6C" w:rsidP="001F5EBE">
            <w:pPr>
              <w:pStyle w:val="Tabletext"/>
              <w:spacing w:before="20" w:after="20"/>
              <w:rPr>
                <w:rFonts w:asciiTheme="minorHAnsi" w:hAnsiTheme="minorHAnsi" w:cstheme="minorHAnsi"/>
                <w:b/>
                <w:sz w:val="18"/>
                <w:szCs w:val="18"/>
                <w:lang w:eastAsia="fr-FR"/>
              </w:rPr>
            </w:pPr>
          </w:p>
        </w:tc>
        <w:tc>
          <w:tcPr>
            <w:tcW w:w="0" w:type="auto"/>
            <w:tcBorders>
              <w:top w:val="nil"/>
              <w:left w:val="single" w:sz="4" w:space="0" w:color="auto"/>
              <w:bottom w:val="nil"/>
              <w:right w:val="single" w:sz="4" w:space="0" w:color="auto"/>
            </w:tcBorders>
            <w:shd w:val="clear" w:color="auto" w:fill="auto"/>
          </w:tcPr>
          <w:p w14:paraId="1D99186A"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b/>
                <w:bCs/>
                <w:color w:val="000000"/>
                <w:sz w:val="18"/>
                <w:szCs w:val="18"/>
              </w:rPr>
              <w:t> </w:t>
            </w:r>
          </w:p>
        </w:tc>
        <w:tc>
          <w:tcPr>
            <w:tcW w:w="0" w:type="auto"/>
            <w:tcBorders>
              <w:top w:val="nil"/>
              <w:left w:val="single" w:sz="4" w:space="0" w:color="auto"/>
              <w:bottom w:val="nil"/>
              <w:right w:val="single" w:sz="4" w:space="0" w:color="auto"/>
            </w:tcBorders>
          </w:tcPr>
          <w:p w14:paraId="154A497E"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 </w:t>
            </w:r>
          </w:p>
        </w:tc>
      </w:tr>
      <w:tr w:rsidR="00761B6C" w:rsidRPr="00236418" w14:paraId="29BB88EB" w14:textId="77777777" w:rsidTr="001F5EBE">
        <w:trPr>
          <w:jc w:val="center"/>
        </w:trPr>
        <w:tc>
          <w:tcPr>
            <w:tcW w:w="5916" w:type="dxa"/>
            <w:tcBorders>
              <w:bottom w:val="single" w:sz="4" w:space="0" w:color="auto"/>
              <w:right w:val="single" w:sz="4" w:space="0" w:color="auto"/>
            </w:tcBorders>
          </w:tcPr>
          <w:p w14:paraId="2B42024C"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lang w:eastAsia="fr-FR"/>
              </w:rPr>
              <w:t>TOTAL DU PASSIF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ED55C"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b/>
                <w:bCs/>
                <w:color w:val="000000"/>
                <w:sz w:val="18"/>
                <w:szCs w:val="18"/>
              </w:rPr>
              <w:t>909 543</w:t>
            </w:r>
          </w:p>
        </w:tc>
        <w:tc>
          <w:tcPr>
            <w:tcW w:w="0" w:type="auto"/>
            <w:tcBorders>
              <w:left w:val="single" w:sz="4" w:space="0" w:color="auto"/>
              <w:bottom w:val="single" w:sz="4" w:space="0" w:color="auto"/>
              <w:right w:val="single" w:sz="4" w:space="0" w:color="auto"/>
            </w:tcBorders>
            <w:vAlign w:val="center"/>
          </w:tcPr>
          <w:p w14:paraId="372BE34B"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cstheme="minorHAnsi"/>
                <w:b/>
                <w:bCs/>
                <w:sz w:val="18"/>
                <w:szCs w:val="18"/>
                <w:lang w:eastAsia="zh-CN"/>
              </w:rPr>
              <w:t>910 147</w:t>
            </w:r>
          </w:p>
        </w:tc>
      </w:tr>
      <w:tr w:rsidR="00761B6C" w:rsidRPr="00236418" w14:paraId="3D041C33" w14:textId="77777777" w:rsidTr="001F5EBE">
        <w:trPr>
          <w:jc w:val="center"/>
        </w:trPr>
        <w:tc>
          <w:tcPr>
            <w:tcW w:w="5916" w:type="dxa"/>
            <w:tcBorders>
              <w:top w:val="nil"/>
              <w:bottom w:val="nil"/>
              <w:right w:val="single" w:sz="4" w:space="0" w:color="auto"/>
            </w:tcBorders>
          </w:tcPr>
          <w:p w14:paraId="1A805C97"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rPr>
              <w:t>ACTIF NET</w:t>
            </w:r>
          </w:p>
        </w:tc>
        <w:tc>
          <w:tcPr>
            <w:tcW w:w="0" w:type="auto"/>
            <w:tcBorders>
              <w:top w:val="nil"/>
              <w:left w:val="single" w:sz="4" w:space="0" w:color="auto"/>
              <w:bottom w:val="nil"/>
              <w:right w:val="single" w:sz="4" w:space="0" w:color="auto"/>
            </w:tcBorders>
            <w:shd w:val="clear" w:color="auto" w:fill="auto"/>
          </w:tcPr>
          <w:p w14:paraId="496CCFB1"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6E689409"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 </w:t>
            </w:r>
          </w:p>
        </w:tc>
      </w:tr>
      <w:tr w:rsidR="00761B6C" w:rsidRPr="00236418" w14:paraId="7216609D" w14:textId="77777777" w:rsidTr="001F5EBE">
        <w:trPr>
          <w:jc w:val="center"/>
        </w:trPr>
        <w:tc>
          <w:tcPr>
            <w:tcW w:w="5916" w:type="dxa"/>
            <w:tcBorders>
              <w:top w:val="nil"/>
              <w:bottom w:val="nil"/>
              <w:right w:val="single" w:sz="4" w:space="0" w:color="auto"/>
            </w:tcBorders>
          </w:tcPr>
          <w:p w14:paraId="61BA9EFA" w14:textId="77777777" w:rsidR="00761B6C" w:rsidRPr="001F5EBE" w:rsidRDefault="00761B6C" w:rsidP="001F5EBE">
            <w:pPr>
              <w:pStyle w:val="Tabletext"/>
              <w:spacing w:before="20" w:after="20"/>
              <w:rPr>
                <w:rFonts w:asciiTheme="minorHAnsi" w:hAnsiTheme="minorHAnsi" w:cstheme="minorHAnsi"/>
                <w:b/>
                <w:sz w:val="18"/>
                <w:szCs w:val="18"/>
              </w:rPr>
            </w:pPr>
            <w:r w:rsidRPr="001F5EBE">
              <w:rPr>
                <w:rFonts w:asciiTheme="minorHAnsi" w:hAnsiTheme="minorHAnsi" w:cstheme="minorHAnsi"/>
                <w:color w:val="000000"/>
                <w:sz w:val="18"/>
                <w:szCs w:val="18"/>
                <w:lang w:eastAsia="zh-CN"/>
              </w:rPr>
              <w:t>Capital de l'organisation</w:t>
            </w:r>
          </w:p>
        </w:tc>
        <w:tc>
          <w:tcPr>
            <w:tcW w:w="0" w:type="auto"/>
            <w:tcBorders>
              <w:top w:val="nil"/>
              <w:left w:val="single" w:sz="4" w:space="0" w:color="auto"/>
              <w:bottom w:val="nil"/>
              <w:right w:val="single" w:sz="4" w:space="0" w:color="auto"/>
            </w:tcBorders>
            <w:shd w:val="clear" w:color="auto" w:fill="auto"/>
          </w:tcPr>
          <w:p w14:paraId="4F71BD7A"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597ED74C"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 </w:t>
            </w:r>
          </w:p>
        </w:tc>
      </w:tr>
      <w:tr w:rsidR="00761B6C" w:rsidRPr="00236418" w14:paraId="12CAE6B3" w14:textId="77777777" w:rsidTr="001F5EBE">
        <w:trPr>
          <w:trHeight w:val="141"/>
          <w:jc w:val="center"/>
        </w:trPr>
        <w:tc>
          <w:tcPr>
            <w:tcW w:w="5916" w:type="dxa"/>
            <w:tcBorders>
              <w:top w:val="nil"/>
              <w:bottom w:val="nil"/>
              <w:right w:val="single" w:sz="4" w:space="0" w:color="auto"/>
            </w:tcBorders>
          </w:tcPr>
          <w:p w14:paraId="5F85575A" w14:textId="5B43DD7E" w:rsidR="00761B6C" w:rsidRPr="001F5EBE" w:rsidRDefault="00761B6C" w:rsidP="001F5EBE">
            <w:pPr>
              <w:pStyle w:val="Sectiontitle"/>
              <w:spacing w:before="20" w:after="20"/>
              <w:rPr>
                <w:rFonts w:asciiTheme="minorHAnsi" w:hAnsiTheme="minorHAnsi" w:cstheme="minorHAnsi"/>
                <w:sz w:val="18"/>
                <w:szCs w:val="18"/>
              </w:rPr>
            </w:pPr>
            <w:r w:rsidRPr="001F5EBE">
              <w:rPr>
                <w:rFonts w:asciiTheme="minorHAnsi" w:hAnsiTheme="minorHAnsi" w:cstheme="minorHAnsi"/>
                <w:sz w:val="18"/>
                <w:szCs w:val="18"/>
              </w:rPr>
              <w:t>Fonds de réserve avant réaffectation de</w:t>
            </w:r>
            <w:r w:rsidR="001F5EBE">
              <w:rPr>
                <w:rFonts w:asciiTheme="minorHAnsi" w:hAnsiTheme="minorHAnsi" w:cstheme="minorHAnsi"/>
                <w:sz w:val="18"/>
                <w:szCs w:val="18"/>
              </w:rPr>
              <w:t xml:space="preserve"> </w:t>
            </w:r>
            <w:r w:rsidRPr="001F5EBE">
              <w:rPr>
                <w:rFonts w:asciiTheme="minorHAnsi" w:hAnsiTheme="minorHAnsi" w:cstheme="minorHAnsi"/>
                <w:sz w:val="18"/>
                <w:szCs w:val="18"/>
              </w:rPr>
              <w:t>l'excédent/du déficit de l'exercice</w:t>
            </w:r>
          </w:p>
        </w:tc>
        <w:tc>
          <w:tcPr>
            <w:tcW w:w="0" w:type="auto"/>
            <w:tcBorders>
              <w:top w:val="nil"/>
              <w:left w:val="single" w:sz="4" w:space="0" w:color="auto"/>
              <w:bottom w:val="nil"/>
              <w:right w:val="single" w:sz="4" w:space="0" w:color="auto"/>
            </w:tcBorders>
            <w:shd w:val="clear" w:color="auto" w:fill="auto"/>
          </w:tcPr>
          <w:p w14:paraId="1974FC54"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25 802</w:t>
            </w:r>
          </w:p>
        </w:tc>
        <w:tc>
          <w:tcPr>
            <w:tcW w:w="0" w:type="auto"/>
            <w:tcBorders>
              <w:top w:val="nil"/>
              <w:left w:val="single" w:sz="4" w:space="0" w:color="auto"/>
              <w:bottom w:val="nil"/>
              <w:right w:val="single" w:sz="4" w:space="0" w:color="auto"/>
            </w:tcBorders>
          </w:tcPr>
          <w:p w14:paraId="3800D3D2"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24 905</w:t>
            </w:r>
          </w:p>
        </w:tc>
      </w:tr>
      <w:tr w:rsidR="00761B6C" w:rsidRPr="00236418" w14:paraId="10570505" w14:textId="77777777" w:rsidTr="001F5EBE">
        <w:trPr>
          <w:jc w:val="center"/>
        </w:trPr>
        <w:tc>
          <w:tcPr>
            <w:tcW w:w="5916" w:type="dxa"/>
            <w:tcBorders>
              <w:top w:val="nil"/>
              <w:bottom w:val="nil"/>
              <w:right w:val="single" w:sz="4" w:space="0" w:color="auto"/>
            </w:tcBorders>
          </w:tcPr>
          <w:p w14:paraId="0D01187A" w14:textId="77777777" w:rsidR="00761B6C" w:rsidRPr="001F5EBE" w:rsidRDefault="00761B6C" w:rsidP="001F5EBE">
            <w:pPr>
              <w:pStyle w:val="Sectiontitle"/>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lang w:eastAsia="fr-FR"/>
              </w:rPr>
              <w:t>Fonds extrabudgétaires</w:t>
            </w:r>
          </w:p>
        </w:tc>
        <w:tc>
          <w:tcPr>
            <w:tcW w:w="0" w:type="auto"/>
            <w:tcBorders>
              <w:top w:val="nil"/>
              <w:left w:val="single" w:sz="4" w:space="0" w:color="auto"/>
              <w:bottom w:val="nil"/>
              <w:right w:val="single" w:sz="4" w:space="0" w:color="auto"/>
            </w:tcBorders>
            <w:shd w:val="clear" w:color="auto" w:fill="auto"/>
          </w:tcPr>
          <w:p w14:paraId="7E14C3AD"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68 637</w:t>
            </w:r>
          </w:p>
        </w:tc>
        <w:tc>
          <w:tcPr>
            <w:tcW w:w="0" w:type="auto"/>
            <w:tcBorders>
              <w:top w:val="nil"/>
              <w:left w:val="single" w:sz="4" w:space="0" w:color="auto"/>
              <w:bottom w:val="nil"/>
              <w:right w:val="single" w:sz="4" w:space="0" w:color="auto"/>
            </w:tcBorders>
          </w:tcPr>
          <w:p w14:paraId="7DA3CF5C"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81 041</w:t>
            </w:r>
          </w:p>
        </w:tc>
      </w:tr>
      <w:tr w:rsidR="00761B6C" w:rsidRPr="00236418" w14:paraId="44AD3698" w14:textId="77777777" w:rsidTr="001F5EBE">
        <w:trPr>
          <w:jc w:val="center"/>
        </w:trPr>
        <w:tc>
          <w:tcPr>
            <w:tcW w:w="5916" w:type="dxa"/>
            <w:tcBorders>
              <w:top w:val="nil"/>
              <w:bottom w:val="nil"/>
              <w:right w:val="single" w:sz="4" w:space="0" w:color="auto"/>
            </w:tcBorders>
          </w:tcPr>
          <w:p w14:paraId="75684962"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lang w:eastAsia="fr-FR"/>
              </w:rPr>
              <w:t>Pertes actuarielles de l'ASHI</w:t>
            </w:r>
          </w:p>
        </w:tc>
        <w:tc>
          <w:tcPr>
            <w:tcW w:w="0" w:type="auto"/>
            <w:tcBorders>
              <w:top w:val="nil"/>
              <w:left w:val="single" w:sz="4" w:space="0" w:color="auto"/>
              <w:bottom w:val="nil"/>
              <w:right w:val="single" w:sz="4" w:space="0" w:color="auto"/>
            </w:tcBorders>
            <w:shd w:val="clear" w:color="auto" w:fill="auto"/>
          </w:tcPr>
          <w:p w14:paraId="3CD43A20"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–263 101</w:t>
            </w:r>
          </w:p>
        </w:tc>
        <w:tc>
          <w:tcPr>
            <w:tcW w:w="0" w:type="auto"/>
            <w:tcBorders>
              <w:top w:val="nil"/>
              <w:left w:val="single" w:sz="4" w:space="0" w:color="auto"/>
              <w:bottom w:val="nil"/>
              <w:right w:val="single" w:sz="4" w:space="0" w:color="auto"/>
            </w:tcBorders>
          </w:tcPr>
          <w:p w14:paraId="34C6AB7A"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–278 315</w:t>
            </w:r>
          </w:p>
        </w:tc>
      </w:tr>
      <w:tr w:rsidR="00761B6C" w:rsidRPr="00236418" w14:paraId="52076124" w14:textId="77777777" w:rsidTr="001F5EBE">
        <w:trPr>
          <w:jc w:val="center"/>
        </w:trPr>
        <w:tc>
          <w:tcPr>
            <w:tcW w:w="5916" w:type="dxa"/>
            <w:tcBorders>
              <w:top w:val="nil"/>
              <w:bottom w:val="nil"/>
              <w:right w:val="single" w:sz="4" w:space="0" w:color="auto"/>
            </w:tcBorders>
          </w:tcPr>
          <w:p w14:paraId="441445CD"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Soldes cumulés</w:t>
            </w:r>
          </w:p>
        </w:tc>
        <w:tc>
          <w:tcPr>
            <w:tcW w:w="0" w:type="auto"/>
            <w:tcBorders>
              <w:top w:val="nil"/>
              <w:left w:val="single" w:sz="4" w:space="0" w:color="auto"/>
              <w:bottom w:val="nil"/>
              <w:right w:val="single" w:sz="4" w:space="0" w:color="auto"/>
            </w:tcBorders>
            <w:shd w:val="clear" w:color="auto" w:fill="auto"/>
          </w:tcPr>
          <w:p w14:paraId="58C6A87B"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sz w:val="18"/>
                <w:szCs w:val="18"/>
              </w:rPr>
              <w:t>–284 649</w:t>
            </w:r>
          </w:p>
        </w:tc>
        <w:tc>
          <w:tcPr>
            <w:tcW w:w="0" w:type="auto"/>
            <w:tcBorders>
              <w:top w:val="nil"/>
              <w:left w:val="single" w:sz="4" w:space="0" w:color="auto"/>
              <w:bottom w:val="nil"/>
              <w:right w:val="single" w:sz="4" w:space="0" w:color="auto"/>
            </w:tcBorders>
          </w:tcPr>
          <w:p w14:paraId="583A5CCF"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–222 814</w:t>
            </w:r>
          </w:p>
        </w:tc>
      </w:tr>
      <w:tr w:rsidR="00761B6C" w:rsidRPr="00236418" w14:paraId="0111D41B" w14:textId="77777777" w:rsidTr="001F5EBE">
        <w:trPr>
          <w:jc w:val="center"/>
        </w:trPr>
        <w:tc>
          <w:tcPr>
            <w:tcW w:w="5916" w:type="dxa"/>
            <w:tcBorders>
              <w:top w:val="nil"/>
              <w:bottom w:val="nil"/>
              <w:right w:val="single" w:sz="4" w:space="0" w:color="auto"/>
            </w:tcBorders>
          </w:tcPr>
          <w:p w14:paraId="00268A28" w14:textId="77777777" w:rsidR="00761B6C" w:rsidRPr="001F5EBE" w:rsidRDefault="00761B6C" w:rsidP="001F5EBE">
            <w:pPr>
              <w:pStyle w:val="Tabletext"/>
              <w:spacing w:before="20" w:after="20"/>
              <w:rPr>
                <w:rFonts w:asciiTheme="minorHAnsi" w:hAnsiTheme="minorHAnsi" w:cstheme="minorHAnsi"/>
                <w:sz w:val="18"/>
                <w:szCs w:val="18"/>
                <w:lang w:eastAsia="fr-FR"/>
              </w:rPr>
            </w:pPr>
            <w:r w:rsidRPr="001F5EBE">
              <w:rPr>
                <w:rFonts w:asciiTheme="minorHAnsi" w:hAnsiTheme="minorHAnsi" w:cstheme="minorHAnsi"/>
                <w:sz w:val="18"/>
                <w:szCs w:val="18"/>
              </w:rPr>
              <w:t>Excédent/déficit de l'exercice</w:t>
            </w:r>
          </w:p>
        </w:tc>
        <w:tc>
          <w:tcPr>
            <w:tcW w:w="0" w:type="auto"/>
            <w:tcBorders>
              <w:top w:val="nil"/>
              <w:left w:val="single" w:sz="4" w:space="0" w:color="auto"/>
              <w:bottom w:val="nil"/>
              <w:right w:val="single" w:sz="4" w:space="0" w:color="auto"/>
            </w:tcBorders>
            <w:shd w:val="clear" w:color="auto" w:fill="auto"/>
          </w:tcPr>
          <w:p w14:paraId="618EDF78" w14:textId="77777777" w:rsidR="00761B6C" w:rsidRPr="001F5EBE" w:rsidRDefault="00761B6C" w:rsidP="001F5EBE">
            <w:pPr>
              <w:pStyle w:val="Tabletext"/>
              <w:spacing w:before="20" w:after="20"/>
              <w:jc w:val="right"/>
              <w:rPr>
                <w:rFonts w:asciiTheme="minorHAnsi" w:hAnsiTheme="minorHAnsi"/>
                <w:sz w:val="18"/>
                <w:szCs w:val="18"/>
                <w:lang w:eastAsia="en-GB"/>
              </w:rPr>
            </w:pPr>
            <w:r w:rsidRPr="001F5EBE">
              <w:rPr>
                <w:rFonts w:asciiTheme="minorHAnsi" w:hAnsiTheme="minorHAnsi" w:cs="Calibri"/>
                <w:color w:val="000000"/>
                <w:sz w:val="18"/>
                <w:szCs w:val="18"/>
              </w:rPr>
              <w:t>–47 259</w:t>
            </w:r>
          </w:p>
        </w:tc>
        <w:tc>
          <w:tcPr>
            <w:tcW w:w="0" w:type="auto"/>
            <w:tcBorders>
              <w:top w:val="nil"/>
              <w:left w:val="single" w:sz="4" w:space="0" w:color="auto"/>
              <w:bottom w:val="nil"/>
              <w:right w:val="single" w:sz="4" w:space="0" w:color="auto"/>
            </w:tcBorders>
          </w:tcPr>
          <w:p w14:paraId="411FEE9D" w14:textId="77777777" w:rsidR="00761B6C" w:rsidRPr="001F5EBE" w:rsidRDefault="00761B6C" w:rsidP="001F5EBE">
            <w:pPr>
              <w:pStyle w:val="Tabletext"/>
              <w:spacing w:before="20" w:after="20"/>
              <w:jc w:val="right"/>
              <w:rPr>
                <w:rFonts w:asciiTheme="minorHAnsi" w:hAnsiTheme="minorHAnsi" w:cstheme="minorHAnsi"/>
                <w:sz w:val="18"/>
                <w:szCs w:val="18"/>
                <w:lang w:eastAsia="zh-CN"/>
              </w:rPr>
            </w:pPr>
            <w:r w:rsidRPr="001F5EBE">
              <w:rPr>
                <w:rFonts w:asciiTheme="minorHAnsi" w:hAnsiTheme="minorHAnsi"/>
                <w:sz w:val="18"/>
                <w:szCs w:val="18"/>
                <w:lang w:eastAsia="en-GB"/>
              </w:rPr>
              <w:t>–57 463</w:t>
            </w:r>
          </w:p>
        </w:tc>
      </w:tr>
      <w:tr w:rsidR="00761B6C" w:rsidRPr="00236418" w14:paraId="05D2F713" w14:textId="77777777" w:rsidTr="001F5EBE">
        <w:trPr>
          <w:trHeight w:val="266"/>
          <w:jc w:val="center"/>
        </w:trPr>
        <w:tc>
          <w:tcPr>
            <w:tcW w:w="5916" w:type="dxa"/>
            <w:tcBorders>
              <w:right w:val="single" w:sz="4" w:space="0" w:color="auto"/>
            </w:tcBorders>
            <w:vAlign w:val="center"/>
          </w:tcPr>
          <w:p w14:paraId="2402C5D5" w14:textId="77777777" w:rsidR="00761B6C" w:rsidRPr="001F5EBE" w:rsidRDefault="00761B6C" w:rsidP="001F5EBE">
            <w:pPr>
              <w:pStyle w:val="Tabletext"/>
              <w:spacing w:before="20" w:after="20"/>
              <w:rPr>
                <w:rFonts w:asciiTheme="minorHAnsi" w:hAnsiTheme="minorHAnsi" w:cstheme="minorHAnsi"/>
                <w:b/>
                <w:sz w:val="18"/>
                <w:szCs w:val="18"/>
                <w:lang w:eastAsia="fr-FR"/>
              </w:rPr>
            </w:pPr>
            <w:r w:rsidRPr="001F5EBE">
              <w:rPr>
                <w:rFonts w:asciiTheme="minorHAnsi" w:hAnsiTheme="minorHAnsi" w:cstheme="minorHAnsi"/>
                <w:b/>
                <w:sz w:val="18"/>
                <w:szCs w:val="18"/>
                <w:lang w:eastAsia="fr-FR"/>
              </w:rPr>
              <w:t>TOTAL DE L'ACTIF NET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6C54CC" w14:textId="77777777" w:rsidR="00761B6C" w:rsidRPr="001F5EBE" w:rsidRDefault="00761B6C" w:rsidP="001F5EBE">
            <w:pPr>
              <w:pStyle w:val="Tabletext"/>
              <w:spacing w:before="20" w:after="20"/>
              <w:jc w:val="right"/>
              <w:rPr>
                <w:rFonts w:asciiTheme="minorHAnsi" w:hAnsiTheme="minorHAnsi"/>
                <w:b/>
                <w:bCs/>
                <w:sz w:val="18"/>
                <w:szCs w:val="18"/>
                <w:lang w:eastAsia="en-GB"/>
              </w:rPr>
            </w:pPr>
            <w:r w:rsidRPr="001F5EBE">
              <w:rPr>
                <w:rFonts w:asciiTheme="minorHAnsi" w:hAnsiTheme="minorHAnsi" w:cs="Calibri"/>
                <w:b/>
                <w:bCs/>
                <w:color w:val="000000"/>
                <w:sz w:val="18"/>
                <w:szCs w:val="18"/>
              </w:rPr>
              <w:t>–500 570</w:t>
            </w:r>
          </w:p>
        </w:tc>
        <w:tc>
          <w:tcPr>
            <w:tcW w:w="0" w:type="auto"/>
            <w:tcBorders>
              <w:left w:val="single" w:sz="4" w:space="0" w:color="auto"/>
              <w:right w:val="single" w:sz="4" w:space="0" w:color="auto"/>
            </w:tcBorders>
            <w:vAlign w:val="center"/>
          </w:tcPr>
          <w:p w14:paraId="6BFDE1F9" w14:textId="77777777" w:rsidR="00761B6C" w:rsidRPr="001F5EBE" w:rsidRDefault="00761B6C" w:rsidP="001F5EBE">
            <w:pPr>
              <w:pStyle w:val="Tabletext"/>
              <w:spacing w:before="20" w:after="20"/>
              <w:jc w:val="right"/>
              <w:rPr>
                <w:rFonts w:asciiTheme="minorHAnsi" w:hAnsiTheme="minorHAnsi" w:cstheme="minorHAnsi"/>
                <w:b/>
                <w:bCs/>
                <w:sz w:val="18"/>
                <w:szCs w:val="18"/>
                <w:lang w:eastAsia="zh-CN"/>
              </w:rPr>
            </w:pPr>
            <w:r w:rsidRPr="001F5EBE">
              <w:rPr>
                <w:rFonts w:asciiTheme="minorHAnsi" w:hAnsiTheme="minorHAnsi"/>
                <w:b/>
                <w:bCs/>
                <w:sz w:val="18"/>
                <w:szCs w:val="18"/>
                <w:lang w:eastAsia="en-GB"/>
              </w:rPr>
              <w:t>–452 646</w:t>
            </w:r>
          </w:p>
        </w:tc>
      </w:tr>
    </w:tbl>
    <w:p w14:paraId="57CAC577" w14:textId="77777777" w:rsidR="00761B6C" w:rsidRPr="00236418" w:rsidRDefault="00761B6C" w:rsidP="001F5EBE">
      <w:pPr>
        <w:pStyle w:val="Heading1"/>
        <w:spacing w:after="240"/>
        <w:jc w:val="center"/>
      </w:pPr>
      <w:bookmarkStart w:id="588" w:name="_Toc329178758"/>
      <w:bookmarkStart w:id="589" w:name="_Toc329181731"/>
      <w:bookmarkStart w:id="590" w:name="_Toc329202542"/>
      <w:bookmarkStart w:id="591" w:name="_Toc329204975"/>
      <w:bookmarkStart w:id="592" w:name="_Toc329206812"/>
      <w:bookmarkStart w:id="593" w:name="_Toc358379319"/>
      <w:bookmarkStart w:id="594" w:name="_Toc358379897"/>
      <w:bookmarkStart w:id="595" w:name="_Toc358380437"/>
      <w:bookmarkStart w:id="596" w:name="_Toc452139410"/>
      <w:bookmarkStart w:id="597" w:name="_Toc452139809"/>
      <w:bookmarkStart w:id="598" w:name="_Toc452140676"/>
      <w:bookmarkStart w:id="599" w:name="_Toc511649923"/>
      <w:bookmarkStart w:id="600" w:name="_Toc511651179"/>
      <w:bookmarkStart w:id="601" w:name="_Toc511724044"/>
      <w:bookmarkStart w:id="602" w:name="_Toc511739033"/>
      <w:bookmarkStart w:id="603" w:name="_Toc511740813"/>
      <w:bookmarkStart w:id="604" w:name="_Toc511741202"/>
      <w:bookmarkStart w:id="605" w:name="_Toc10450708"/>
      <w:bookmarkStart w:id="606" w:name="_Toc41567340"/>
      <w:bookmarkStart w:id="607" w:name="_Toc41567826"/>
      <w:bookmarkStart w:id="608" w:name="_Toc41814938"/>
      <w:bookmarkStart w:id="609" w:name="_Toc73354427"/>
      <w:bookmarkStart w:id="610" w:name="_Toc73356382"/>
      <w:r w:rsidRPr="00236418">
        <w:lastRenderedPageBreak/>
        <w:t>II – État de la performance financière pour l</w:t>
      </w:r>
      <w:r>
        <w:t>'</w:t>
      </w:r>
      <w:r w:rsidRPr="00236418">
        <w:t>exercice clos le 31 décembre 20</w:t>
      </w:r>
      <w:r>
        <w:t>20</w:t>
      </w:r>
      <w:r w:rsidRPr="00236418">
        <w:br/>
        <w:t xml:space="preserve">avec chiffres comparatifs au 31 décembre </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236418">
        <w:t>201</w:t>
      </w:r>
      <w:bookmarkEnd w:id="605"/>
      <w:bookmarkEnd w:id="606"/>
      <w:bookmarkEnd w:id="607"/>
      <w:bookmarkEnd w:id="608"/>
      <w:r>
        <w:t>9</w:t>
      </w:r>
      <w:bookmarkEnd w:id="609"/>
      <w:bookmarkEnd w:id="610"/>
    </w:p>
    <w:tbl>
      <w:tblPr>
        <w:tblW w:w="7630"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092"/>
        <w:gridCol w:w="1769"/>
        <w:gridCol w:w="1769"/>
      </w:tblGrid>
      <w:tr w:rsidR="00761B6C" w:rsidRPr="001F5EBE" w14:paraId="2C9880A3" w14:textId="77777777" w:rsidTr="00761B6C">
        <w:trPr>
          <w:jc w:val="center"/>
        </w:trPr>
        <w:tc>
          <w:tcPr>
            <w:tcW w:w="4092" w:type="dxa"/>
            <w:tcBorders>
              <w:bottom w:val="single" w:sz="4" w:space="0" w:color="auto"/>
              <w:right w:val="single" w:sz="4" w:space="0" w:color="auto"/>
            </w:tcBorders>
          </w:tcPr>
          <w:p w14:paraId="190647B7" w14:textId="77777777" w:rsidR="00761B6C" w:rsidRPr="001F5EBE" w:rsidRDefault="00761B6C" w:rsidP="00761B6C">
            <w:pPr>
              <w:pStyle w:val="Tablehead"/>
              <w:jc w:val="left"/>
              <w:rPr>
                <w:rFonts w:asciiTheme="minorHAnsi" w:hAnsiTheme="minorHAnsi" w:cstheme="minorHAnsi"/>
                <w:sz w:val="20"/>
                <w:lang w:eastAsia="zh-CN"/>
              </w:rPr>
            </w:pPr>
            <w:r w:rsidRPr="001F5EBE">
              <w:rPr>
                <w:rFonts w:asciiTheme="minorHAnsi" w:hAnsiTheme="minorHAnsi" w:cstheme="minorHAnsi"/>
                <w:sz w:val="20"/>
                <w:lang w:eastAsia="zh-CN"/>
              </w:rPr>
              <w:t>(en milliers de francs suisses)</w:t>
            </w:r>
          </w:p>
        </w:tc>
        <w:tc>
          <w:tcPr>
            <w:tcW w:w="1769" w:type="dxa"/>
            <w:tcBorders>
              <w:bottom w:val="single" w:sz="4" w:space="0" w:color="auto"/>
              <w:right w:val="single" w:sz="4" w:space="0" w:color="auto"/>
            </w:tcBorders>
          </w:tcPr>
          <w:p w14:paraId="20F9F706" w14:textId="77777777" w:rsidR="00761B6C" w:rsidRPr="001F5EBE" w:rsidRDefault="00761B6C" w:rsidP="00761B6C">
            <w:pPr>
              <w:pStyle w:val="Tablehead"/>
              <w:rPr>
                <w:rFonts w:asciiTheme="minorHAnsi" w:hAnsiTheme="minorHAnsi" w:cstheme="minorHAnsi"/>
                <w:bCs/>
                <w:sz w:val="20"/>
                <w:lang w:eastAsia="zh-CN"/>
              </w:rPr>
            </w:pPr>
            <w:r w:rsidRPr="001F5EBE">
              <w:rPr>
                <w:rFonts w:asciiTheme="minorHAnsi" w:hAnsiTheme="minorHAnsi" w:cs="Calibri"/>
                <w:bCs/>
                <w:color w:val="000000"/>
                <w:sz w:val="20"/>
                <w:lang w:eastAsia="en-GB"/>
              </w:rPr>
              <w:t>31.12.2020</w:t>
            </w:r>
          </w:p>
        </w:tc>
        <w:tc>
          <w:tcPr>
            <w:tcW w:w="1769" w:type="dxa"/>
            <w:tcBorders>
              <w:bottom w:val="single" w:sz="4" w:space="0" w:color="auto"/>
              <w:right w:val="single" w:sz="4" w:space="0" w:color="auto"/>
            </w:tcBorders>
          </w:tcPr>
          <w:p w14:paraId="308655DB" w14:textId="77777777" w:rsidR="00761B6C" w:rsidRPr="001F5EBE" w:rsidRDefault="00761B6C" w:rsidP="00761B6C">
            <w:pPr>
              <w:pStyle w:val="Tablehead"/>
              <w:rPr>
                <w:rFonts w:asciiTheme="minorHAnsi" w:hAnsiTheme="minorHAnsi" w:cstheme="minorHAnsi"/>
                <w:bCs/>
                <w:sz w:val="20"/>
                <w:lang w:eastAsia="zh-CN"/>
              </w:rPr>
            </w:pPr>
            <w:r w:rsidRPr="001F5EBE">
              <w:rPr>
                <w:rFonts w:asciiTheme="minorHAnsi" w:hAnsiTheme="minorHAnsi" w:cs="Calibri"/>
                <w:bCs/>
                <w:color w:val="000000"/>
                <w:sz w:val="20"/>
                <w:lang w:eastAsia="en-GB"/>
              </w:rPr>
              <w:t>31.12.2019</w:t>
            </w:r>
          </w:p>
        </w:tc>
      </w:tr>
      <w:tr w:rsidR="00761B6C" w:rsidRPr="001F5EBE" w14:paraId="2877E30A" w14:textId="77777777" w:rsidTr="00761B6C">
        <w:trPr>
          <w:jc w:val="center"/>
        </w:trPr>
        <w:tc>
          <w:tcPr>
            <w:tcW w:w="4092" w:type="dxa"/>
            <w:tcBorders>
              <w:top w:val="single" w:sz="4" w:space="0" w:color="auto"/>
              <w:bottom w:val="nil"/>
              <w:right w:val="single" w:sz="4" w:space="0" w:color="auto"/>
            </w:tcBorders>
          </w:tcPr>
          <w:p w14:paraId="718BAB07" w14:textId="77777777" w:rsidR="00761B6C" w:rsidRPr="001F5EBE" w:rsidRDefault="00761B6C" w:rsidP="001F5EBE">
            <w:pPr>
              <w:pStyle w:val="Tabletext"/>
              <w:spacing w:before="20" w:after="20"/>
              <w:rPr>
                <w:rFonts w:asciiTheme="minorHAnsi" w:hAnsiTheme="minorHAnsi" w:cstheme="minorHAnsi"/>
                <w:b/>
                <w:bCs/>
                <w:sz w:val="20"/>
                <w:lang w:eastAsia="fr-FR"/>
              </w:rPr>
            </w:pPr>
          </w:p>
        </w:tc>
        <w:tc>
          <w:tcPr>
            <w:tcW w:w="1769" w:type="dxa"/>
            <w:tcBorders>
              <w:top w:val="single" w:sz="4" w:space="0" w:color="auto"/>
              <w:bottom w:val="nil"/>
              <w:right w:val="single" w:sz="4" w:space="0" w:color="auto"/>
            </w:tcBorders>
            <w:vAlign w:val="center"/>
          </w:tcPr>
          <w:p w14:paraId="162D2621"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c>
          <w:tcPr>
            <w:tcW w:w="1769" w:type="dxa"/>
            <w:tcBorders>
              <w:top w:val="single" w:sz="4" w:space="0" w:color="auto"/>
              <w:bottom w:val="nil"/>
              <w:right w:val="single" w:sz="4" w:space="0" w:color="auto"/>
            </w:tcBorders>
            <w:vAlign w:val="center"/>
          </w:tcPr>
          <w:p w14:paraId="5D1C79C2"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r>
      <w:tr w:rsidR="00761B6C" w:rsidRPr="001F5EBE" w14:paraId="68EE3250" w14:textId="77777777" w:rsidTr="00761B6C">
        <w:trPr>
          <w:jc w:val="center"/>
        </w:trPr>
        <w:tc>
          <w:tcPr>
            <w:tcW w:w="4092" w:type="dxa"/>
            <w:tcBorders>
              <w:top w:val="nil"/>
              <w:bottom w:val="nil"/>
              <w:right w:val="single" w:sz="4" w:space="0" w:color="auto"/>
            </w:tcBorders>
          </w:tcPr>
          <w:p w14:paraId="1A4DCF20" w14:textId="77777777" w:rsidR="00761B6C" w:rsidRPr="001F5EBE" w:rsidRDefault="00761B6C" w:rsidP="001F5EBE">
            <w:pPr>
              <w:pStyle w:val="Tablehead"/>
              <w:spacing w:before="20" w:after="20"/>
              <w:jc w:val="left"/>
              <w:rPr>
                <w:rFonts w:asciiTheme="minorHAnsi" w:hAnsiTheme="minorHAnsi" w:cstheme="minorHAnsi"/>
                <w:sz w:val="20"/>
                <w:lang w:eastAsia="fr-FR"/>
              </w:rPr>
            </w:pPr>
            <w:r w:rsidRPr="001F5EBE">
              <w:rPr>
                <w:rFonts w:asciiTheme="minorHAnsi" w:hAnsiTheme="minorHAnsi" w:cstheme="minorHAnsi"/>
                <w:sz w:val="20"/>
                <w:lang w:eastAsia="zh-CN"/>
              </w:rPr>
              <w:t>PRODUITS</w:t>
            </w:r>
          </w:p>
        </w:tc>
        <w:tc>
          <w:tcPr>
            <w:tcW w:w="1769" w:type="dxa"/>
            <w:tcBorders>
              <w:top w:val="nil"/>
              <w:bottom w:val="nil"/>
              <w:right w:val="single" w:sz="4" w:space="0" w:color="auto"/>
            </w:tcBorders>
            <w:vAlign w:val="center"/>
          </w:tcPr>
          <w:p w14:paraId="360FC5F5"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c>
          <w:tcPr>
            <w:tcW w:w="1769" w:type="dxa"/>
            <w:tcBorders>
              <w:top w:val="nil"/>
              <w:bottom w:val="nil"/>
              <w:right w:val="single" w:sz="4" w:space="0" w:color="auto"/>
            </w:tcBorders>
            <w:vAlign w:val="center"/>
          </w:tcPr>
          <w:p w14:paraId="162A1ED9"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r>
      <w:tr w:rsidR="00761B6C" w:rsidRPr="001F5EBE" w14:paraId="5C0D75B7" w14:textId="77777777" w:rsidTr="00761B6C">
        <w:trPr>
          <w:jc w:val="center"/>
        </w:trPr>
        <w:tc>
          <w:tcPr>
            <w:tcW w:w="4092" w:type="dxa"/>
            <w:tcBorders>
              <w:top w:val="nil"/>
              <w:bottom w:val="nil"/>
              <w:right w:val="single" w:sz="4" w:space="0" w:color="auto"/>
            </w:tcBorders>
          </w:tcPr>
          <w:p w14:paraId="150D0BD8" w14:textId="77777777" w:rsidR="00761B6C" w:rsidRPr="001F5EBE" w:rsidRDefault="00761B6C" w:rsidP="001F5EBE">
            <w:pPr>
              <w:pStyle w:val="Tabletext"/>
              <w:spacing w:before="20" w:after="20"/>
              <w:rPr>
                <w:rFonts w:asciiTheme="minorHAnsi" w:hAnsiTheme="minorHAnsi" w:cstheme="minorHAnsi"/>
                <w:sz w:val="20"/>
                <w:lang w:eastAsia="fr-FR"/>
              </w:rPr>
            </w:pPr>
          </w:p>
        </w:tc>
        <w:tc>
          <w:tcPr>
            <w:tcW w:w="1769" w:type="dxa"/>
            <w:tcBorders>
              <w:top w:val="nil"/>
              <w:bottom w:val="nil"/>
              <w:right w:val="single" w:sz="4" w:space="0" w:color="auto"/>
            </w:tcBorders>
            <w:vAlign w:val="center"/>
          </w:tcPr>
          <w:p w14:paraId="308C1CB6"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c>
          <w:tcPr>
            <w:tcW w:w="1769" w:type="dxa"/>
            <w:tcBorders>
              <w:top w:val="nil"/>
              <w:bottom w:val="nil"/>
              <w:right w:val="single" w:sz="4" w:space="0" w:color="auto"/>
            </w:tcBorders>
            <w:vAlign w:val="center"/>
          </w:tcPr>
          <w:p w14:paraId="0A363149"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r>
      <w:tr w:rsidR="00761B6C" w:rsidRPr="001F5EBE" w14:paraId="58B92834" w14:textId="77777777" w:rsidTr="00761B6C">
        <w:trPr>
          <w:jc w:val="center"/>
        </w:trPr>
        <w:tc>
          <w:tcPr>
            <w:tcW w:w="4092" w:type="dxa"/>
            <w:tcBorders>
              <w:top w:val="nil"/>
              <w:bottom w:val="nil"/>
              <w:right w:val="single" w:sz="4" w:space="0" w:color="auto"/>
            </w:tcBorders>
          </w:tcPr>
          <w:p w14:paraId="0B69D02A"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Contributions mises en recouvrement</w:t>
            </w:r>
          </w:p>
        </w:tc>
        <w:tc>
          <w:tcPr>
            <w:tcW w:w="1769" w:type="dxa"/>
            <w:tcBorders>
              <w:top w:val="nil"/>
              <w:bottom w:val="nil"/>
              <w:right w:val="single" w:sz="4" w:space="0" w:color="auto"/>
            </w:tcBorders>
            <w:vAlign w:val="center"/>
          </w:tcPr>
          <w:p w14:paraId="75639733"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125 741</w:t>
            </w:r>
          </w:p>
        </w:tc>
        <w:tc>
          <w:tcPr>
            <w:tcW w:w="1769" w:type="dxa"/>
            <w:tcBorders>
              <w:top w:val="nil"/>
              <w:bottom w:val="nil"/>
              <w:right w:val="single" w:sz="4" w:space="0" w:color="auto"/>
            </w:tcBorders>
            <w:vAlign w:val="center"/>
          </w:tcPr>
          <w:p w14:paraId="08AC655C"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126 485</w:t>
            </w:r>
          </w:p>
        </w:tc>
      </w:tr>
      <w:tr w:rsidR="00761B6C" w:rsidRPr="001F5EBE" w14:paraId="58FA616D" w14:textId="77777777" w:rsidTr="00761B6C">
        <w:trPr>
          <w:jc w:val="center"/>
        </w:trPr>
        <w:tc>
          <w:tcPr>
            <w:tcW w:w="4092" w:type="dxa"/>
            <w:tcBorders>
              <w:top w:val="nil"/>
              <w:bottom w:val="nil"/>
              <w:right w:val="single" w:sz="4" w:space="0" w:color="auto"/>
            </w:tcBorders>
          </w:tcPr>
          <w:p w14:paraId="52482C0E"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Contributions volontaires</w:t>
            </w:r>
          </w:p>
        </w:tc>
        <w:tc>
          <w:tcPr>
            <w:tcW w:w="1769" w:type="dxa"/>
            <w:tcBorders>
              <w:top w:val="nil"/>
              <w:bottom w:val="nil"/>
              <w:right w:val="single" w:sz="4" w:space="0" w:color="auto"/>
            </w:tcBorders>
            <w:vAlign w:val="center"/>
          </w:tcPr>
          <w:p w14:paraId="35CEF4C5"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8 300</w:t>
            </w:r>
          </w:p>
        </w:tc>
        <w:tc>
          <w:tcPr>
            <w:tcW w:w="1769" w:type="dxa"/>
            <w:tcBorders>
              <w:top w:val="nil"/>
              <w:bottom w:val="nil"/>
              <w:right w:val="single" w:sz="4" w:space="0" w:color="auto"/>
            </w:tcBorders>
            <w:vAlign w:val="center"/>
          </w:tcPr>
          <w:p w14:paraId="5F9101AE"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10 456</w:t>
            </w:r>
          </w:p>
        </w:tc>
      </w:tr>
      <w:tr w:rsidR="00761B6C" w:rsidRPr="001F5EBE" w14:paraId="0C9C7971" w14:textId="77777777" w:rsidTr="00761B6C">
        <w:trPr>
          <w:jc w:val="center"/>
        </w:trPr>
        <w:tc>
          <w:tcPr>
            <w:tcW w:w="4092" w:type="dxa"/>
            <w:tcBorders>
              <w:top w:val="nil"/>
              <w:bottom w:val="nil"/>
              <w:right w:val="single" w:sz="4" w:space="0" w:color="auto"/>
            </w:tcBorders>
          </w:tcPr>
          <w:p w14:paraId="18787E0C"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Autres produits d'exploitation</w:t>
            </w:r>
          </w:p>
        </w:tc>
        <w:tc>
          <w:tcPr>
            <w:tcW w:w="1769" w:type="dxa"/>
            <w:tcBorders>
              <w:top w:val="nil"/>
              <w:bottom w:val="nil"/>
              <w:right w:val="single" w:sz="4" w:space="0" w:color="auto"/>
            </w:tcBorders>
            <w:vAlign w:val="center"/>
          </w:tcPr>
          <w:p w14:paraId="618857F7"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40 213</w:t>
            </w:r>
          </w:p>
        </w:tc>
        <w:tc>
          <w:tcPr>
            <w:tcW w:w="1769" w:type="dxa"/>
            <w:tcBorders>
              <w:top w:val="nil"/>
              <w:bottom w:val="nil"/>
              <w:right w:val="single" w:sz="4" w:space="0" w:color="auto"/>
            </w:tcBorders>
            <w:vAlign w:val="center"/>
          </w:tcPr>
          <w:p w14:paraId="46A3951E"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39 366</w:t>
            </w:r>
          </w:p>
        </w:tc>
      </w:tr>
      <w:tr w:rsidR="00761B6C" w:rsidRPr="001F5EBE" w14:paraId="14AB5F87" w14:textId="77777777" w:rsidTr="00761B6C">
        <w:trPr>
          <w:jc w:val="center"/>
        </w:trPr>
        <w:tc>
          <w:tcPr>
            <w:tcW w:w="4092" w:type="dxa"/>
            <w:tcBorders>
              <w:top w:val="nil"/>
              <w:bottom w:val="nil"/>
              <w:right w:val="single" w:sz="4" w:space="0" w:color="auto"/>
            </w:tcBorders>
          </w:tcPr>
          <w:p w14:paraId="69EB99D9"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Contributions en nature</w:t>
            </w:r>
          </w:p>
        </w:tc>
        <w:tc>
          <w:tcPr>
            <w:tcW w:w="1769" w:type="dxa"/>
            <w:tcBorders>
              <w:top w:val="nil"/>
              <w:bottom w:val="nil"/>
              <w:right w:val="single" w:sz="4" w:space="0" w:color="auto"/>
            </w:tcBorders>
            <w:vAlign w:val="center"/>
          </w:tcPr>
          <w:p w14:paraId="0E7A03B6"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820</w:t>
            </w:r>
          </w:p>
        </w:tc>
        <w:tc>
          <w:tcPr>
            <w:tcW w:w="1769" w:type="dxa"/>
            <w:tcBorders>
              <w:top w:val="nil"/>
              <w:bottom w:val="nil"/>
              <w:right w:val="single" w:sz="4" w:space="0" w:color="auto"/>
            </w:tcBorders>
            <w:vAlign w:val="center"/>
          </w:tcPr>
          <w:p w14:paraId="79ED037A"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841</w:t>
            </w:r>
          </w:p>
        </w:tc>
      </w:tr>
      <w:tr w:rsidR="00761B6C" w:rsidRPr="001F5EBE" w14:paraId="3AB88560" w14:textId="77777777" w:rsidTr="00761B6C">
        <w:trPr>
          <w:jc w:val="center"/>
        </w:trPr>
        <w:tc>
          <w:tcPr>
            <w:tcW w:w="4092" w:type="dxa"/>
            <w:tcBorders>
              <w:top w:val="nil"/>
              <w:bottom w:val="nil"/>
              <w:right w:val="single" w:sz="4" w:space="0" w:color="auto"/>
            </w:tcBorders>
          </w:tcPr>
          <w:p w14:paraId="0D7C696E"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Produits financiers</w:t>
            </w:r>
          </w:p>
        </w:tc>
        <w:tc>
          <w:tcPr>
            <w:tcW w:w="1769" w:type="dxa"/>
            <w:tcBorders>
              <w:top w:val="nil"/>
              <w:bottom w:val="nil"/>
              <w:right w:val="single" w:sz="4" w:space="0" w:color="auto"/>
            </w:tcBorders>
            <w:vAlign w:val="center"/>
          </w:tcPr>
          <w:p w14:paraId="78E55AF4"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–4 700</w:t>
            </w:r>
          </w:p>
        </w:tc>
        <w:tc>
          <w:tcPr>
            <w:tcW w:w="1769" w:type="dxa"/>
            <w:tcBorders>
              <w:top w:val="nil"/>
              <w:bottom w:val="nil"/>
              <w:right w:val="single" w:sz="4" w:space="0" w:color="auto"/>
            </w:tcBorders>
            <w:vAlign w:val="center"/>
          </w:tcPr>
          <w:p w14:paraId="11DF331C"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10 030</w:t>
            </w:r>
          </w:p>
        </w:tc>
      </w:tr>
      <w:tr w:rsidR="00761B6C" w:rsidRPr="001F5EBE" w14:paraId="47B16BFD" w14:textId="77777777" w:rsidTr="00761B6C">
        <w:trPr>
          <w:jc w:val="center"/>
        </w:trPr>
        <w:tc>
          <w:tcPr>
            <w:tcW w:w="4092" w:type="dxa"/>
            <w:tcBorders>
              <w:top w:val="nil"/>
              <w:bottom w:val="single" w:sz="4" w:space="0" w:color="auto"/>
              <w:right w:val="single" w:sz="4" w:space="0" w:color="auto"/>
            </w:tcBorders>
          </w:tcPr>
          <w:p w14:paraId="53E1834C" w14:textId="77777777" w:rsidR="00761B6C" w:rsidRPr="001F5EBE" w:rsidRDefault="00761B6C" w:rsidP="001F5EBE">
            <w:pPr>
              <w:pStyle w:val="Tabletext"/>
              <w:spacing w:before="20" w:after="20"/>
              <w:rPr>
                <w:rFonts w:asciiTheme="minorHAnsi" w:hAnsiTheme="minorHAnsi" w:cstheme="minorHAnsi"/>
                <w:b/>
                <w:bCs/>
                <w:sz w:val="20"/>
                <w:lang w:eastAsia="fr-FR"/>
              </w:rPr>
            </w:pPr>
          </w:p>
        </w:tc>
        <w:tc>
          <w:tcPr>
            <w:tcW w:w="1769" w:type="dxa"/>
            <w:tcBorders>
              <w:top w:val="nil"/>
              <w:bottom w:val="single" w:sz="4" w:space="0" w:color="auto"/>
              <w:right w:val="single" w:sz="4" w:space="0" w:color="auto"/>
            </w:tcBorders>
            <w:vAlign w:val="center"/>
          </w:tcPr>
          <w:p w14:paraId="0D76E922"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c>
          <w:tcPr>
            <w:tcW w:w="1769" w:type="dxa"/>
            <w:tcBorders>
              <w:top w:val="nil"/>
              <w:bottom w:val="single" w:sz="4" w:space="0" w:color="auto"/>
              <w:right w:val="single" w:sz="4" w:space="0" w:color="auto"/>
            </w:tcBorders>
            <w:vAlign w:val="center"/>
          </w:tcPr>
          <w:p w14:paraId="25DA6DC2"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r>
      <w:tr w:rsidR="00761B6C" w:rsidRPr="001F5EBE" w14:paraId="3F2C41FA" w14:textId="77777777" w:rsidTr="00761B6C">
        <w:trPr>
          <w:jc w:val="center"/>
        </w:trPr>
        <w:tc>
          <w:tcPr>
            <w:tcW w:w="4092" w:type="dxa"/>
            <w:tcBorders>
              <w:bottom w:val="single" w:sz="4" w:space="0" w:color="auto"/>
              <w:right w:val="single" w:sz="4" w:space="0" w:color="auto"/>
            </w:tcBorders>
          </w:tcPr>
          <w:p w14:paraId="7C88B1CE" w14:textId="77777777" w:rsidR="00761B6C" w:rsidRPr="001F5EBE" w:rsidRDefault="00761B6C" w:rsidP="001F5EBE">
            <w:pPr>
              <w:pStyle w:val="Tablehead"/>
              <w:spacing w:before="20" w:after="20"/>
              <w:jc w:val="left"/>
              <w:rPr>
                <w:rFonts w:asciiTheme="minorHAnsi" w:hAnsiTheme="minorHAnsi" w:cstheme="minorHAnsi"/>
                <w:sz w:val="20"/>
                <w:lang w:eastAsia="fr-FR"/>
              </w:rPr>
            </w:pPr>
            <w:r w:rsidRPr="001F5EBE">
              <w:rPr>
                <w:rFonts w:asciiTheme="minorHAnsi" w:hAnsiTheme="minorHAnsi" w:cstheme="minorHAnsi"/>
                <w:sz w:val="20"/>
                <w:lang w:eastAsia="fr-FR"/>
              </w:rPr>
              <w:t>Total des produits</w:t>
            </w:r>
          </w:p>
        </w:tc>
        <w:tc>
          <w:tcPr>
            <w:tcW w:w="1769" w:type="dxa"/>
            <w:tcBorders>
              <w:bottom w:val="single" w:sz="4" w:space="0" w:color="auto"/>
              <w:right w:val="single" w:sz="4" w:space="0" w:color="auto"/>
            </w:tcBorders>
            <w:vAlign w:val="center"/>
          </w:tcPr>
          <w:p w14:paraId="231A376E"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sz w:val="20"/>
                <w:lang w:eastAsia="en-GB"/>
              </w:rPr>
              <w:t>170 373</w:t>
            </w:r>
          </w:p>
        </w:tc>
        <w:tc>
          <w:tcPr>
            <w:tcW w:w="1769" w:type="dxa"/>
            <w:tcBorders>
              <w:bottom w:val="single" w:sz="4" w:space="0" w:color="auto"/>
              <w:right w:val="single" w:sz="4" w:space="0" w:color="auto"/>
            </w:tcBorders>
            <w:vAlign w:val="center"/>
          </w:tcPr>
          <w:p w14:paraId="3FCD39B9"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sz w:val="20"/>
                <w:lang w:eastAsia="en-GB"/>
              </w:rPr>
              <w:t>187 177</w:t>
            </w:r>
          </w:p>
        </w:tc>
      </w:tr>
      <w:tr w:rsidR="00761B6C" w:rsidRPr="001F5EBE" w14:paraId="1313CF9C" w14:textId="77777777" w:rsidTr="00761B6C">
        <w:trPr>
          <w:jc w:val="center"/>
        </w:trPr>
        <w:tc>
          <w:tcPr>
            <w:tcW w:w="4092" w:type="dxa"/>
            <w:tcBorders>
              <w:bottom w:val="nil"/>
              <w:right w:val="single" w:sz="4" w:space="0" w:color="auto"/>
            </w:tcBorders>
          </w:tcPr>
          <w:p w14:paraId="1FEBF082" w14:textId="77777777" w:rsidR="00761B6C" w:rsidRPr="001F5EBE" w:rsidRDefault="00761B6C" w:rsidP="001F5EBE">
            <w:pPr>
              <w:pStyle w:val="Tabletext"/>
              <w:spacing w:before="20" w:after="20"/>
              <w:rPr>
                <w:rFonts w:asciiTheme="minorHAnsi" w:hAnsiTheme="minorHAnsi" w:cstheme="minorHAnsi"/>
                <w:b/>
                <w:bCs/>
                <w:sz w:val="20"/>
                <w:lang w:eastAsia="fr-FR"/>
              </w:rPr>
            </w:pPr>
          </w:p>
        </w:tc>
        <w:tc>
          <w:tcPr>
            <w:tcW w:w="1769" w:type="dxa"/>
            <w:tcBorders>
              <w:bottom w:val="nil"/>
              <w:right w:val="single" w:sz="4" w:space="0" w:color="auto"/>
            </w:tcBorders>
            <w:vAlign w:val="center"/>
          </w:tcPr>
          <w:p w14:paraId="39767927"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c>
          <w:tcPr>
            <w:tcW w:w="1769" w:type="dxa"/>
            <w:tcBorders>
              <w:bottom w:val="nil"/>
              <w:right w:val="single" w:sz="4" w:space="0" w:color="auto"/>
            </w:tcBorders>
            <w:vAlign w:val="center"/>
          </w:tcPr>
          <w:p w14:paraId="1112A36A"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r>
      <w:tr w:rsidR="00761B6C" w:rsidRPr="001F5EBE" w14:paraId="50757E59" w14:textId="77777777" w:rsidTr="00761B6C">
        <w:trPr>
          <w:jc w:val="center"/>
        </w:trPr>
        <w:tc>
          <w:tcPr>
            <w:tcW w:w="4092" w:type="dxa"/>
            <w:tcBorders>
              <w:top w:val="nil"/>
              <w:bottom w:val="nil"/>
              <w:right w:val="single" w:sz="4" w:space="0" w:color="auto"/>
            </w:tcBorders>
          </w:tcPr>
          <w:p w14:paraId="7A104CB0" w14:textId="77777777" w:rsidR="00761B6C" w:rsidRPr="001F5EBE" w:rsidRDefault="00761B6C" w:rsidP="001F5EBE">
            <w:pPr>
              <w:pStyle w:val="Tablehead"/>
              <w:spacing w:before="20" w:after="20"/>
              <w:jc w:val="left"/>
              <w:rPr>
                <w:rFonts w:asciiTheme="minorHAnsi" w:hAnsiTheme="minorHAnsi" w:cstheme="minorHAnsi"/>
                <w:sz w:val="20"/>
                <w:lang w:eastAsia="fr-FR"/>
              </w:rPr>
            </w:pPr>
            <w:r w:rsidRPr="001F5EBE">
              <w:rPr>
                <w:rFonts w:asciiTheme="minorHAnsi" w:hAnsiTheme="minorHAnsi" w:cstheme="minorHAnsi"/>
                <w:sz w:val="20"/>
                <w:lang w:eastAsia="zh-CN"/>
              </w:rPr>
              <w:t>CHARGES</w:t>
            </w:r>
          </w:p>
        </w:tc>
        <w:tc>
          <w:tcPr>
            <w:tcW w:w="1769" w:type="dxa"/>
            <w:tcBorders>
              <w:top w:val="nil"/>
              <w:bottom w:val="nil"/>
              <w:right w:val="single" w:sz="4" w:space="0" w:color="auto"/>
            </w:tcBorders>
            <w:vAlign w:val="center"/>
          </w:tcPr>
          <w:p w14:paraId="5E5B04E8"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c>
          <w:tcPr>
            <w:tcW w:w="1769" w:type="dxa"/>
            <w:tcBorders>
              <w:top w:val="nil"/>
              <w:bottom w:val="nil"/>
              <w:right w:val="single" w:sz="4" w:space="0" w:color="auto"/>
            </w:tcBorders>
            <w:vAlign w:val="center"/>
          </w:tcPr>
          <w:p w14:paraId="64D8139E"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r>
      <w:tr w:rsidR="00761B6C" w:rsidRPr="001F5EBE" w14:paraId="3EC2B9D5" w14:textId="77777777" w:rsidTr="00761B6C">
        <w:trPr>
          <w:jc w:val="center"/>
        </w:trPr>
        <w:tc>
          <w:tcPr>
            <w:tcW w:w="4092" w:type="dxa"/>
            <w:tcBorders>
              <w:top w:val="nil"/>
              <w:bottom w:val="nil"/>
              <w:right w:val="single" w:sz="4" w:space="0" w:color="auto"/>
            </w:tcBorders>
          </w:tcPr>
          <w:p w14:paraId="467CF007" w14:textId="77777777" w:rsidR="00761B6C" w:rsidRPr="001F5EBE" w:rsidRDefault="00761B6C" w:rsidP="001F5EBE">
            <w:pPr>
              <w:pStyle w:val="Tabletext"/>
              <w:spacing w:before="20" w:after="20"/>
              <w:rPr>
                <w:rFonts w:asciiTheme="minorHAnsi" w:hAnsiTheme="minorHAnsi" w:cstheme="minorHAnsi"/>
                <w:sz w:val="20"/>
                <w:lang w:eastAsia="fr-FR"/>
              </w:rPr>
            </w:pPr>
          </w:p>
        </w:tc>
        <w:tc>
          <w:tcPr>
            <w:tcW w:w="1769" w:type="dxa"/>
            <w:tcBorders>
              <w:top w:val="nil"/>
              <w:bottom w:val="nil"/>
              <w:right w:val="single" w:sz="4" w:space="0" w:color="auto"/>
            </w:tcBorders>
            <w:vAlign w:val="center"/>
          </w:tcPr>
          <w:p w14:paraId="42111243"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c>
          <w:tcPr>
            <w:tcW w:w="1769" w:type="dxa"/>
            <w:tcBorders>
              <w:top w:val="nil"/>
              <w:bottom w:val="nil"/>
              <w:right w:val="single" w:sz="4" w:space="0" w:color="auto"/>
            </w:tcBorders>
            <w:vAlign w:val="center"/>
          </w:tcPr>
          <w:p w14:paraId="23F66663"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 </w:t>
            </w:r>
          </w:p>
        </w:tc>
      </w:tr>
      <w:tr w:rsidR="00761B6C" w:rsidRPr="001F5EBE" w14:paraId="49228F52" w14:textId="77777777" w:rsidTr="00761B6C">
        <w:trPr>
          <w:jc w:val="center"/>
        </w:trPr>
        <w:tc>
          <w:tcPr>
            <w:tcW w:w="4092" w:type="dxa"/>
            <w:tcBorders>
              <w:top w:val="nil"/>
              <w:bottom w:val="nil"/>
              <w:right w:val="single" w:sz="4" w:space="0" w:color="auto"/>
            </w:tcBorders>
          </w:tcPr>
          <w:p w14:paraId="4F60005D"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Charges de personnel</w:t>
            </w:r>
          </w:p>
        </w:tc>
        <w:tc>
          <w:tcPr>
            <w:tcW w:w="1769" w:type="dxa"/>
            <w:tcBorders>
              <w:top w:val="nil"/>
              <w:bottom w:val="nil"/>
              <w:right w:val="single" w:sz="4" w:space="0" w:color="auto"/>
            </w:tcBorders>
            <w:vAlign w:val="center"/>
          </w:tcPr>
          <w:p w14:paraId="30FABD6A"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153 825</w:t>
            </w:r>
          </w:p>
        </w:tc>
        <w:tc>
          <w:tcPr>
            <w:tcW w:w="1769" w:type="dxa"/>
            <w:tcBorders>
              <w:top w:val="nil"/>
              <w:bottom w:val="nil"/>
              <w:right w:val="single" w:sz="4" w:space="0" w:color="auto"/>
            </w:tcBorders>
            <w:vAlign w:val="center"/>
          </w:tcPr>
          <w:p w14:paraId="1E4145E1"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203 942</w:t>
            </w:r>
          </w:p>
        </w:tc>
      </w:tr>
      <w:tr w:rsidR="00761B6C" w:rsidRPr="001F5EBE" w14:paraId="1A0C5FB2" w14:textId="77777777" w:rsidTr="00761B6C">
        <w:trPr>
          <w:jc w:val="center"/>
        </w:trPr>
        <w:tc>
          <w:tcPr>
            <w:tcW w:w="4092" w:type="dxa"/>
            <w:tcBorders>
              <w:top w:val="nil"/>
              <w:bottom w:val="nil"/>
              <w:right w:val="single" w:sz="4" w:space="0" w:color="auto"/>
            </w:tcBorders>
          </w:tcPr>
          <w:p w14:paraId="4DE11AAC"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Frais de missions</w:t>
            </w:r>
          </w:p>
        </w:tc>
        <w:tc>
          <w:tcPr>
            <w:tcW w:w="1769" w:type="dxa"/>
            <w:tcBorders>
              <w:top w:val="nil"/>
              <w:bottom w:val="nil"/>
              <w:right w:val="single" w:sz="4" w:space="0" w:color="auto"/>
            </w:tcBorders>
            <w:vAlign w:val="center"/>
          </w:tcPr>
          <w:p w14:paraId="4FC9292D"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1 003</w:t>
            </w:r>
          </w:p>
        </w:tc>
        <w:tc>
          <w:tcPr>
            <w:tcW w:w="1769" w:type="dxa"/>
            <w:tcBorders>
              <w:top w:val="nil"/>
              <w:bottom w:val="nil"/>
              <w:right w:val="single" w:sz="4" w:space="0" w:color="auto"/>
            </w:tcBorders>
            <w:vAlign w:val="center"/>
          </w:tcPr>
          <w:p w14:paraId="733D8461"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7 767</w:t>
            </w:r>
          </w:p>
        </w:tc>
      </w:tr>
      <w:tr w:rsidR="00761B6C" w:rsidRPr="001F5EBE" w14:paraId="28C9D1DE" w14:textId="77777777" w:rsidTr="00761B6C">
        <w:trPr>
          <w:jc w:val="center"/>
        </w:trPr>
        <w:tc>
          <w:tcPr>
            <w:tcW w:w="4092" w:type="dxa"/>
            <w:tcBorders>
              <w:top w:val="nil"/>
              <w:bottom w:val="nil"/>
              <w:right w:val="single" w:sz="4" w:space="0" w:color="auto"/>
            </w:tcBorders>
          </w:tcPr>
          <w:p w14:paraId="67BFFD36"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Services contractuels</w:t>
            </w:r>
          </w:p>
        </w:tc>
        <w:tc>
          <w:tcPr>
            <w:tcW w:w="1769" w:type="dxa"/>
            <w:tcBorders>
              <w:top w:val="nil"/>
              <w:bottom w:val="nil"/>
              <w:right w:val="single" w:sz="4" w:space="0" w:color="auto"/>
            </w:tcBorders>
            <w:vAlign w:val="center"/>
          </w:tcPr>
          <w:p w14:paraId="4B6200BF"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14 512</w:t>
            </w:r>
          </w:p>
        </w:tc>
        <w:tc>
          <w:tcPr>
            <w:tcW w:w="1769" w:type="dxa"/>
            <w:tcBorders>
              <w:top w:val="nil"/>
              <w:bottom w:val="nil"/>
              <w:right w:val="single" w:sz="4" w:space="0" w:color="auto"/>
            </w:tcBorders>
            <w:vAlign w:val="center"/>
          </w:tcPr>
          <w:p w14:paraId="09C36A18"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13 821</w:t>
            </w:r>
          </w:p>
        </w:tc>
      </w:tr>
      <w:tr w:rsidR="00761B6C" w:rsidRPr="001F5EBE" w14:paraId="7314FC99" w14:textId="77777777" w:rsidTr="00761B6C">
        <w:trPr>
          <w:jc w:val="center"/>
        </w:trPr>
        <w:tc>
          <w:tcPr>
            <w:tcW w:w="4092" w:type="dxa"/>
            <w:tcBorders>
              <w:top w:val="nil"/>
              <w:bottom w:val="nil"/>
              <w:right w:val="single" w:sz="4" w:space="0" w:color="auto"/>
            </w:tcBorders>
          </w:tcPr>
          <w:p w14:paraId="6184FF7F"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Location et entretien des locaux et équipements</w:t>
            </w:r>
          </w:p>
        </w:tc>
        <w:tc>
          <w:tcPr>
            <w:tcW w:w="1769" w:type="dxa"/>
            <w:tcBorders>
              <w:top w:val="nil"/>
              <w:bottom w:val="nil"/>
              <w:right w:val="single" w:sz="4" w:space="0" w:color="auto"/>
            </w:tcBorders>
            <w:vAlign w:val="center"/>
          </w:tcPr>
          <w:p w14:paraId="464AA0C6"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3 004</w:t>
            </w:r>
          </w:p>
        </w:tc>
        <w:tc>
          <w:tcPr>
            <w:tcW w:w="1769" w:type="dxa"/>
            <w:tcBorders>
              <w:top w:val="nil"/>
              <w:bottom w:val="nil"/>
              <w:right w:val="single" w:sz="4" w:space="0" w:color="auto"/>
            </w:tcBorders>
            <w:vAlign w:val="center"/>
          </w:tcPr>
          <w:p w14:paraId="3806AC83"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4 175</w:t>
            </w:r>
          </w:p>
        </w:tc>
      </w:tr>
      <w:tr w:rsidR="00761B6C" w:rsidRPr="001F5EBE" w14:paraId="306007DB" w14:textId="77777777" w:rsidTr="00761B6C">
        <w:trPr>
          <w:jc w:val="center"/>
        </w:trPr>
        <w:tc>
          <w:tcPr>
            <w:tcW w:w="4092" w:type="dxa"/>
            <w:tcBorders>
              <w:top w:val="nil"/>
              <w:bottom w:val="nil"/>
              <w:right w:val="single" w:sz="4" w:space="0" w:color="auto"/>
            </w:tcBorders>
          </w:tcPr>
          <w:p w14:paraId="072B5FB7"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Matériels et fournitures</w:t>
            </w:r>
          </w:p>
        </w:tc>
        <w:tc>
          <w:tcPr>
            <w:tcW w:w="1769" w:type="dxa"/>
            <w:tcBorders>
              <w:top w:val="nil"/>
              <w:bottom w:val="nil"/>
              <w:right w:val="single" w:sz="4" w:space="0" w:color="auto"/>
            </w:tcBorders>
            <w:vAlign w:val="center"/>
          </w:tcPr>
          <w:p w14:paraId="260392C6"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2 896</w:t>
            </w:r>
          </w:p>
        </w:tc>
        <w:tc>
          <w:tcPr>
            <w:tcW w:w="1769" w:type="dxa"/>
            <w:tcBorders>
              <w:top w:val="nil"/>
              <w:bottom w:val="nil"/>
              <w:right w:val="single" w:sz="4" w:space="0" w:color="auto"/>
            </w:tcBorders>
            <w:vAlign w:val="center"/>
          </w:tcPr>
          <w:p w14:paraId="72227E9B"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3 816</w:t>
            </w:r>
          </w:p>
        </w:tc>
      </w:tr>
      <w:tr w:rsidR="00761B6C" w:rsidRPr="001F5EBE" w14:paraId="65A83102" w14:textId="77777777" w:rsidTr="00761B6C">
        <w:trPr>
          <w:jc w:val="center"/>
        </w:trPr>
        <w:tc>
          <w:tcPr>
            <w:tcW w:w="4092" w:type="dxa"/>
            <w:tcBorders>
              <w:top w:val="nil"/>
              <w:bottom w:val="nil"/>
              <w:right w:val="single" w:sz="4" w:space="0" w:color="auto"/>
            </w:tcBorders>
          </w:tcPr>
          <w:p w14:paraId="6F1A26A9"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Amortissements et pertes de valeurs</w:t>
            </w:r>
          </w:p>
        </w:tc>
        <w:tc>
          <w:tcPr>
            <w:tcW w:w="1769" w:type="dxa"/>
            <w:tcBorders>
              <w:top w:val="nil"/>
              <w:bottom w:val="nil"/>
              <w:right w:val="single" w:sz="4" w:space="0" w:color="auto"/>
            </w:tcBorders>
            <w:vAlign w:val="center"/>
          </w:tcPr>
          <w:p w14:paraId="594A13E2"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16 598</w:t>
            </w:r>
          </w:p>
        </w:tc>
        <w:tc>
          <w:tcPr>
            <w:tcW w:w="1769" w:type="dxa"/>
            <w:tcBorders>
              <w:top w:val="nil"/>
              <w:bottom w:val="nil"/>
              <w:right w:val="single" w:sz="4" w:space="0" w:color="auto"/>
            </w:tcBorders>
            <w:vAlign w:val="center"/>
          </w:tcPr>
          <w:p w14:paraId="09E9B3ED"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4 570</w:t>
            </w:r>
          </w:p>
        </w:tc>
      </w:tr>
      <w:tr w:rsidR="00761B6C" w:rsidRPr="001F5EBE" w14:paraId="04044F8A" w14:textId="77777777" w:rsidTr="00761B6C">
        <w:trPr>
          <w:jc w:val="center"/>
        </w:trPr>
        <w:tc>
          <w:tcPr>
            <w:tcW w:w="4092" w:type="dxa"/>
            <w:tcBorders>
              <w:top w:val="nil"/>
              <w:bottom w:val="nil"/>
              <w:right w:val="single" w:sz="4" w:space="0" w:color="auto"/>
            </w:tcBorders>
          </w:tcPr>
          <w:p w14:paraId="006D167D"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Frais d'expédition et de télécommunications et services</w:t>
            </w:r>
          </w:p>
        </w:tc>
        <w:tc>
          <w:tcPr>
            <w:tcW w:w="1769" w:type="dxa"/>
            <w:tcBorders>
              <w:top w:val="nil"/>
              <w:bottom w:val="nil"/>
              <w:right w:val="single" w:sz="4" w:space="0" w:color="auto"/>
            </w:tcBorders>
            <w:vAlign w:val="center"/>
          </w:tcPr>
          <w:p w14:paraId="74045714"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1 599</w:t>
            </w:r>
          </w:p>
        </w:tc>
        <w:tc>
          <w:tcPr>
            <w:tcW w:w="1769" w:type="dxa"/>
            <w:tcBorders>
              <w:top w:val="nil"/>
              <w:bottom w:val="nil"/>
              <w:right w:val="single" w:sz="4" w:space="0" w:color="auto"/>
            </w:tcBorders>
            <w:vAlign w:val="center"/>
          </w:tcPr>
          <w:p w14:paraId="658D97C5"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1 619</w:t>
            </w:r>
          </w:p>
        </w:tc>
      </w:tr>
      <w:tr w:rsidR="00761B6C" w:rsidRPr="001F5EBE" w14:paraId="297513AA" w14:textId="77777777" w:rsidTr="00761B6C">
        <w:trPr>
          <w:trHeight w:val="321"/>
          <w:jc w:val="center"/>
        </w:trPr>
        <w:tc>
          <w:tcPr>
            <w:tcW w:w="4092" w:type="dxa"/>
            <w:tcBorders>
              <w:top w:val="nil"/>
              <w:bottom w:val="nil"/>
              <w:right w:val="single" w:sz="4" w:space="0" w:color="auto"/>
            </w:tcBorders>
          </w:tcPr>
          <w:p w14:paraId="346C14FC"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Autres charges</w:t>
            </w:r>
          </w:p>
        </w:tc>
        <w:tc>
          <w:tcPr>
            <w:tcW w:w="1769" w:type="dxa"/>
            <w:tcBorders>
              <w:top w:val="nil"/>
              <w:bottom w:val="nil"/>
              <w:right w:val="single" w:sz="4" w:space="0" w:color="auto"/>
            </w:tcBorders>
            <w:vAlign w:val="center"/>
          </w:tcPr>
          <w:p w14:paraId="316DD5B3"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8 306</w:t>
            </w:r>
          </w:p>
        </w:tc>
        <w:tc>
          <w:tcPr>
            <w:tcW w:w="1769" w:type="dxa"/>
            <w:tcBorders>
              <w:top w:val="nil"/>
              <w:bottom w:val="nil"/>
              <w:right w:val="single" w:sz="4" w:space="0" w:color="auto"/>
            </w:tcBorders>
            <w:vAlign w:val="center"/>
          </w:tcPr>
          <w:p w14:paraId="5DABF8CF"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411</w:t>
            </w:r>
          </w:p>
        </w:tc>
      </w:tr>
      <w:tr w:rsidR="00761B6C" w:rsidRPr="001F5EBE" w14:paraId="427862D2" w14:textId="77777777" w:rsidTr="00761B6C">
        <w:trPr>
          <w:jc w:val="center"/>
        </w:trPr>
        <w:tc>
          <w:tcPr>
            <w:tcW w:w="4092" w:type="dxa"/>
            <w:tcBorders>
              <w:top w:val="nil"/>
              <w:bottom w:val="nil"/>
              <w:right w:val="single" w:sz="4" w:space="0" w:color="auto"/>
            </w:tcBorders>
          </w:tcPr>
          <w:p w14:paraId="0B801AE8"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Charges en nature</w:t>
            </w:r>
          </w:p>
        </w:tc>
        <w:tc>
          <w:tcPr>
            <w:tcW w:w="1769" w:type="dxa"/>
            <w:tcBorders>
              <w:top w:val="nil"/>
              <w:bottom w:val="nil"/>
              <w:right w:val="single" w:sz="4" w:space="0" w:color="auto"/>
            </w:tcBorders>
            <w:vAlign w:val="center"/>
          </w:tcPr>
          <w:p w14:paraId="4C94E7F5"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820</w:t>
            </w:r>
          </w:p>
        </w:tc>
        <w:tc>
          <w:tcPr>
            <w:tcW w:w="1769" w:type="dxa"/>
            <w:tcBorders>
              <w:top w:val="nil"/>
              <w:bottom w:val="nil"/>
              <w:right w:val="single" w:sz="4" w:space="0" w:color="auto"/>
            </w:tcBorders>
            <w:vAlign w:val="center"/>
          </w:tcPr>
          <w:p w14:paraId="07938C42"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841</w:t>
            </w:r>
          </w:p>
        </w:tc>
      </w:tr>
      <w:tr w:rsidR="00761B6C" w:rsidRPr="001F5EBE" w14:paraId="2423787C" w14:textId="77777777" w:rsidTr="00761B6C">
        <w:trPr>
          <w:jc w:val="center"/>
        </w:trPr>
        <w:tc>
          <w:tcPr>
            <w:tcW w:w="4092" w:type="dxa"/>
            <w:tcBorders>
              <w:top w:val="nil"/>
              <w:right w:val="single" w:sz="4" w:space="0" w:color="auto"/>
            </w:tcBorders>
          </w:tcPr>
          <w:p w14:paraId="1F73D786"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Charges financières</w:t>
            </w:r>
          </w:p>
        </w:tc>
        <w:tc>
          <w:tcPr>
            <w:tcW w:w="1769" w:type="dxa"/>
            <w:tcBorders>
              <w:top w:val="nil"/>
              <w:right w:val="single" w:sz="4" w:space="0" w:color="auto"/>
            </w:tcBorders>
            <w:vAlign w:val="center"/>
          </w:tcPr>
          <w:p w14:paraId="3A20033A"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15 069</w:t>
            </w:r>
          </w:p>
        </w:tc>
        <w:tc>
          <w:tcPr>
            <w:tcW w:w="1769" w:type="dxa"/>
            <w:tcBorders>
              <w:top w:val="nil"/>
              <w:right w:val="single" w:sz="4" w:space="0" w:color="auto"/>
            </w:tcBorders>
            <w:vAlign w:val="center"/>
          </w:tcPr>
          <w:p w14:paraId="79288FD9"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3 679</w:t>
            </w:r>
          </w:p>
        </w:tc>
      </w:tr>
      <w:tr w:rsidR="00761B6C" w:rsidRPr="001F5EBE" w14:paraId="6F464976" w14:textId="77777777" w:rsidTr="00761B6C">
        <w:trPr>
          <w:jc w:val="center"/>
        </w:trPr>
        <w:tc>
          <w:tcPr>
            <w:tcW w:w="4092" w:type="dxa"/>
            <w:tcBorders>
              <w:right w:val="single" w:sz="4" w:space="0" w:color="auto"/>
            </w:tcBorders>
          </w:tcPr>
          <w:p w14:paraId="7FD2023D" w14:textId="77777777" w:rsidR="00761B6C" w:rsidRPr="001F5EBE" w:rsidRDefault="00761B6C" w:rsidP="001F5EBE">
            <w:pPr>
              <w:pStyle w:val="Tablehead"/>
              <w:spacing w:before="20" w:after="20"/>
              <w:jc w:val="left"/>
              <w:rPr>
                <w:rFonts w:asciiTheme="minorHAnsi" w:hAnsiTheme="minorHAnsi" w:cstheme="minorHAnsi"/>
                <w:sz w:val="20"/>
                <w:lang w:eastAsia="zh-CN"/>
              </w:rPr>
            </w:pPr>
          </w:p>
        </w:tc>
        <w:tc>
          <w:tcPr>
            <w:tcW w:w="1769" w:type="dxa"/>
            <w:tcBorders>
              <w:right w:val="single" w:sz="4" w:space="0" w:color="auto"/>
            </w:tcBorders>
            <w:vAlign w:val="center"/>
          </w:tcPr>
          <w:p w14:paraId="36ACCC28"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sz w:val="20"/>
                <w:lang w:eastAsia="en-GB"/>
              </w:rPr>
              <w:t> </w:t>
            </w:r>
          </w:p>
        </w:tc>
        <w:tc>
          <w:tcPr>
            <w:tcW w:w="1769" w:type="dxa"/>
            <w:tcBorders>
              <w:right w:val="single" w:sz="4" w:space="0" w:color="auto"/>
            </w:tcBorders>
            <w:vAlign w:val="center"/>
          </w:tcPr>
          <w:p w14:paraId="1E20E6E3"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sz w:val="20"/>
                <w:lang w:eastAsia="en-GB"/>
              </w:rPr>
              <w:t> </w:t>
            </w:r>
          </w:p>
        </w:tc>
      </w:tr>
      <w:tr w:rsidR="00761B6C" w:rsidRPr="001F5EBE" w14:paraId="3348338F" w14:textId="77777777" w:rsidTr="00761B6C">
        <w:trPr>
          <w:jc w:val="center"/>
        </w:trPr>
        <w:tc>
          <w:tcPr>
            <w:tcW w:w="4092" w:type="dxa"/>
            <w:tcBorders>
              <w:right w:val="single" w:sz="4" w:space="0" w:color="auto"/>
            </w:tcBorders>
          </w:tcPr>
          <w:p w14:paraId="767D1A24" w14:textId="77777777" w:rsidR="00761B6C" w:rsidRPr="001F5EBE" w:rsidRDefault="00761B6C" w:rsidP="001F5EBE">
            <w:pPr>
              <w:pStyle w:val="Tablehead"/>
              <w:spacing w:before="20" w:after="20"/>
              <w:jc w:val="left"/>
              <w:rPr>
                <w:rFonts w:asciiTheme="minorHAnsi" w:hAnsiTheme="minorHAnsi" w:cstheme="minorHAnsi"/>
                <w:sz w:val="20"/>
                <w:lang w:eastAsia="zh-CN"/>
              </w:rPr>
            </w:pPr>
            <w:r w:rsidRPr="001F5EBE">
              <w:rPr>
                <w:rFonts w:asciiTheme="minorHAnsi" w:hAnsiTheme="minorHAnsi" w:cstheme="minorHAnsi"/>
                <w:sz w:val="20"/>
                <w:lang w:eastAsia="zh-CN"/>
              </w:rPr>
              <w:t>Total des charges</w:t>
            </w:r>
          </w:p>
        </w:tc>
        <w:tc>
          <w:tcPr>
            <w:tcW w:w="1769" w:type="dxa"/>
            <w:tcBorders>
              <w:right w:val="single" w:sz="4" w:space="0" w:color="auto"/>
            </w:tcBorders>
            <w:vAlign w:val="center"/>
          </w:tcPr>
          <w:p w14:paraId="3860D509"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sz w:val="20"/>
                <w:lang w:eastAsia="en-GB"/>
              </w:rPr>
              <w:t>217 632</w:t>
            </w:r>
          </w:p>
        </w:tc>
        <w:tc>
          <w:tcPr>
            <w:tcW w:w="1769" w:type="dxa"/>
            <w:tcBorders>
              <w:right w:val="single" w:sz="4" w:space="0" w:color="auto"/>
            </w:tcBorders>
            <w:vAlign w:val="center"/>
          </w:tcPr>
          <w:p w14:paraId="75D97AC8"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sz w:val="20"/>
                <w:lang w:eastAsia="en-GB"/>
              </w:rPr>
              <w:t>244 640</w:t>
            </w:r>
          </w:p>
        </w:tc>
      </w:tr>
      <w:tr w:rsidR="00761B6C" w:rsidRPr="001F5EBE" w14:paraId="70980C4A" w14:textId="77777777" w:rsidTr="00761B6C">
        <w:trPr>
          <w:jc w:val="center"/>
        </w:trPr>
        <w:tc>
          <w:tcPr>
            <w:tcW w:w="4092" w:type="dxa"/>
            <w:tcBorders>
              <w:right w:val="single" w:sz="4" w:space="0" w:color="auto"/>
            </w:tcBorders>
          </w:tcPr>
          <w:p w14:paraId="73EEB3D0" w14:textId="77777777" w:rsidR="00761B6C" w:rsidRPr="001F5EBE" w:rsidRDefault="00761B6C" w:rsidP="001F5EBE">
            <w:pPr>
              <w:pStyle w:val="Tablehead"/>
              <w:spacing w:before="20" w:after="20"/>
              <w:jc w:val="left"/>
              <w:rPr>
                <w:rFonts w:asciiTheme="minorHAnsi" w:hAnsiTheme="minorHAnsi" w:cstheme="minorHAnsi"/>
                <w:sz w:val="20"/>
                <w:lang w:eastAsia="zh-CN"/>
              </w:rPr>
            </w:pPr>
            <w:r w:rsidRPr="001F5EBE">
              <w:rPr>
                <w:rFonts w:asciiTheme="minorHAnsi" w:hAnsiTheme="minorHAnsi" w:cstheme="minorHAnsi"/>
                <w:sz w:val="20"/>
                <w:lang w:eastAsia="zh-CN"/>
              </w:rPr>
              <w:t>Excédent/déficit de la période</w:t>
            </w:r>
          </w:p>
        </w:tc>
        <w:tc>
          <w:tcPr>
            <w:tcW w:w="1769" w:type="dxa"/>
            <w:tcBorders>
              <w:right w:val="single" w:sz="4" w:space="0" w:color="auto"/>
            </w:tcBorders>
            <w:vAlign w:val="center"/>
          </w:tcPr>
          <w:p w14:paraId="27751B9D" w14:textId="77777777" w:rsidR="00761B6C" w:rsidRPr="001F5EBE" w:rsidRDefault="00761B6C" w:rsidP="001F5EBE">
            <w:pPr>
              <w:pStyle w:val="Tabletext"/>
              <w:spacing w:before="20" w:after="20"/>
              <w:jc w:val="right"/>
              <w:rPr>
                <w:rFonts w:asciiTheme="minorHAnsi" w:hAnsiTheme="minorHAnsi"/>
                <w:bCs/>
                <w:sz w:val="20"/>
                <w:lang w:eastAsia="en-GB"/>
              </w:rPr>
            </w:pPr>
            <w:r w:rsidRPr="001F5EBE">
              <w:rPr>
                <w:rFonts w:asciiTheme="minorHAnsi" w:hAnsiTheme="minorHAnsi"/>
                <w:bCs/>
                <w:sz w:val="20"/>
                <w:lang w:eastAsia="en-GB"/>
              </w:rPr>
              <w:t>–47 259</w:t>
            </w:r>
          </w:p>
        </w:tc>
        <w:tc>
          <w:tcPr>
            <w:tcW w:w="1769" w:type="dxa"/>
            <w:tcBorders>
              <w:right w:val="single" w:sz="4" w:space="0" w:color="auto"/>
            </w:tcBorders>
            <w:vAlign w:val="center"/>
          </w:tcPr>
          <w:p w14:paraId="52B122FC" w14:textId="77777777" w:rsidR="00761B6C" w:rsidRPr="001F5EBE" w:rsidRDefault="00761B6C" w:rsidP="001F5EBE">
            <w:pPr>
              <w:pStyle w:val="Tabletext"/>
              <w:spacing w:before="20" w:after="20"/>
              <w:jc w:val="right"/>
              <w:rPr>
                <w:rFonts w:asciiTheme="minorHAnsi" w:hAnsiTheme="minorHAnsi"/>
                <w:bCs/>
                <w:sz w:val="20"/>
                <w:lang w:eastAsia="en-GB"/>
              </w:rPr>
            </w:pPr>
            <w:r w:rsidRPr="001F5EBE">
              <w:rPr>
                <w:rFonts w:asciiTheme="minorHAnsi" w:hAnsiTheme="minorHAnsi"/>
                <w:bCs/>
                <w:sz w:val="20"/>
                <w:lang w:eastAsia="en-GB"/>
              </w:rPr>
              <w:t>–57 464</w:t>
            </w:r>
          </w:p>
        </w:tc>
      </w:tr>
    </w:tbl>
    <w:p w14:paraId="141C5E8F" w14:textId="77777777" w:rsidR="00761B6C" w:rsidRPr="00236418" w:rsidRDefault="00761B6C" w:rsidP="00761B6C"/>
    <w:p w14:paraId="1F64482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p w14:paraId="6531B0F9" w14:textId="77777777" w:rsidR="00761B6C" w:rsidRPr="00236418" w:rsidRDefault="00761B6C" w:rsidP="001F5EBE">
      <w:pPr>
        <w:pStyle w:val="Heading1"/>
        <w:spacing w:after="240"/>
        <w:jc w:val="center"/>
      </w:pPr>
      <w:bookmarkStart w:id="611" w:name="_Toc329178759"/>
      <w:bookmarkStart w:id="612" w:name="_Toc329181732"/>
      <w:bookmarkStart w:id="613" w:name="_Toc329202543"/>
      <w:bookmarkStart w:id="614" w:name="_Toc329204976"/>
      <w:bookmarkStart w:id="615" w:name="_Toc329206813"/>
      <w:bookmarkStart w:id="616" w:name="_Toc358379320"/>
      <w:bookmarkStart w:id="617" w:name="_Toc358379898"/>
      <w:bookmarkStart w:id="618" w:name="_Toc358380438"/>
      <w:bookmarkStart w:id="619" w:name="_Toc452139411"/>
      <w:bookmarkStart w:id="620" w:name="_Toc452139810"/>
      <w:bookmarkStart w:id="621" w:name="_Toc452140677"/>
      <w:bookmarkStart w:id="622" w:name="_Toc511649924"/>
      <w:bookmarkStart w:id="623" w:name="_Toc511651180"/>
      <w:bookmarkStart w:id="624" w:name="_Toc511724045"/>
      <w:bookmarkStart w:id="625" w:name="_Toc511739034"/>
      <w:bookmarkStart w:id="626" w:name="_Toc511740814"/>
      <w:bookmarkStart w:id="627" w:name="_Toc511741203"/>
      <w:bookmarkStart w:id="628" w:name="_Toc10450709"/>
      <w:bookmarkStart w:id="629" w:name="_Toc41567341"/>
      <w:bookmarkStart w:id="630" w:name="_Toc41567827"/>
      <w:bookmarkStart w:id="631" w:name="_Toc41814939"/>
      <w:bookmarkStart w:id="632" w:name="_Toc73354428"/>
      <w:bookmarkStart w:id="633" w:name="_Toc73356383"/>
      <w:r w:rsidRPr="00236418">
        <w:lastRenderedPageBreak/>
        <w:t>III – État des variations de l</w:t>
      </w:r>
      <w:r>
        <w:t>'</w:t>
      </w:r>
      <w:r w:rsidRPr="00236418">
        <w:t>actif net pour l</w:t>
      </w:r>
      <w:r>
        <w:t>'</w:t>
      </w:r>
      <w:r w:rsidRPr="00236418">
        <w:t xml:space="preserve">exercice clos </w:t>
      </w:r>
      <w:r w:rsidRPr="00236418">
        <w:br/>
        <w:t xml:space="preserve">le 31 décembre </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36418">
        <w:t>20</w:t>
      </w:r>
      <w:bookmarkEnd w:id="628"/>
      <w:bookmarkEnd w:id="629"/>
      <w:bookmarkEnd w:id="630"/>
      <w:bookmarkEnd w:id="631"/>
      <w:r>
        <w:t>20</w:t>
      </w:r>
      <w:bookmarkEnd w:id="632"/>
      <w:bookmarkEnd w:id="633"/>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Pr>
      <w:tblGrid>
        <w:gridCol w:w="3225"/>
        <w:gridCol w:w="1234"/>
        <w:gridCol w:w="1375"/>
        <w:gridCol w:w="1391"/>
        <w:gridCol w:w="1275"/>
      </w:tblGrid>
      <w:tr w:rsidR="00761B6C" w:rsidRPr="001F5EBE" w14:paraId="79516D93" w14:textId="77777777" w:rsidTr="001F5EBE">
        <w:trPr>
          <w:jc w:val="center"/>
        </w:trPr>
        <w:tc>
          <w:tcPr>
            <w:tcW w:w="1897" w:type="pct"/>
            <w:tcBorders>
              <w:top w:val="single" w:sz="4" w:space="0" w:color="auto"/>
              <w:left w:val="single" w:sz="4" w:space="0" w:color="auto"/>
            </w:tcBorders>
            <w:tcMar>
              <w:left w:w="57" w:type="dxa"/>
              <w:right w:w="57" w:type="dxa"/>
            </w:tcMar>
          </w:tcPr>
          <w:p w14:paraId="3E5F3D5D" w14:textId="77777777" w:rsidR="00761B6C" w:rsidRPr="001F5EBE" w:rsidRDefault="00761B6C" w:rsidP="001F5EBE">
            <w:pPr>
              <w:pStyle w:val="Tablehead"/>
              <w:spacing w:before="40" w:after="40"/>
              <w:jc w:val="left"/>
              <w:rPr>
                <w:rFonts w:asciiTheme="minorHAnsi" w:hAnsiTheme="minorHAnsi" w:cstheme="minorHAnsi"/>
                <w:sz w:val="20"/>
                <w:lang w:eastAsia="fr-FR"/>
              </w:rPr>
            </w:pPr>
            <w:r w:rsidRPr="001F5EBE">
              <w:rPr>
                <w:rFonts w:asciiTheme="minorHAnsi" w:hAnsiTheme="minorHAnsi" w:cstheme="minorHAnsi"/>
                <w:bCs/>
                <w:sz w:val="20"/>
              </w:rPr>
              <w:t>(en milliers CHF)</w:t>
            </w:r>
          </w:p>
        </w:tc>
        <w:tc>
          <w:tcPr>
            <w:tcW w:w="726" w:type="pct"/>
            <w:tcBorders>
              <w:top w:val="single" w:sz="4" w:space="0" w:color="auto"/>
            </w:tcBorders>
            <w:tcMar>
              <w:left w:w="57" w:type="dxa"/>
              <w:right w:w="57" w:type="dxa"/>
            </w:tcMar>
          </w:tcPr>
          <w:p w14:paraId="66C1EAC1" w14:textId="77777777" w:rsidR="00761B6C" w:rsidRPr="001F5EBE" w:rsidRDefault="00761B6C" w:rsidP="001F5EBE">
            <w:pPr>
              <w:pStyle w:val="Tablehead"/>
              <w:spacing w:before="40" w:after="40"/>
              <w:rPr>
                <w:rFonts w:asciiTheme="minorHAnsi" w:hAnsiTheme="minorHAnsi" w:cstheme="minorHAnsi"/>
                <w:sz w:val="20"/>
                <w:lang w:eastAsia="fr-FR"/>
              </w:rPr>
            </w:pPr>
            <w:r w:rsidRPr="001F5EBE">
              <w:rPr>
                <w:rFonts w:asciiTheme="minorHAnsi" w:hAnsiTheme="minorHAnsi" w:cstheme="minorHAnsi"/>
                <w:sz w:val="20"/>
              </w:rPr>
              <w:t>31.12.2019</w:t>
            </w:r>
          </w:p>
        </w:tc>
        <w:tc>
          <w:tcPr>
            <w:tcW w:w="809" w:type="pct"/>
            <w:tcBorders>
              <w:top w:val="single" w:sz="4" w:space="0" w:color="auto"/>
            </w:tcBorders>
            <w:tcMar>
              <w:left w:w="57" w:type="dxa"/>
              <w:right w:w="57" w:type="dxa"/>
            </w:tcMar>
          </w:tcPr>
          <w:p w14:paraId="3857E360" w14:textId="77777777" w:rsidR="00761B6C" w:rsidRPr="001F5EBE" w:rsidRDefault="00761B6C" w:rsidP="001F5EBE">
            <w:pPr>
              <w:pStyle w:val="Tablehead"/>
              <w:spacing w:before="40" w:after="40"/>
              <w:rPr>
                <w:rFonts w:asciiTheme="minorHAnsi" w:hAnsiTheme="minorHAnsi" w:cstheme="minorHAnsi"/>
                <w:sz w:val="20"/>
                <w:lang w:eastAsia="fr-FR"/>
              </w:rPr>
            </w:pPr>
            <w:r w:rsidRPr="001F5EBE">
              <w:rPr>
                <w:rFonts w:asciiTheme="minorHAnsi" w:hAnsiTheme="minorHAnsi" w:cstheme="minorHAnsi"/>
                <w:sz w:val="20"/>
              </w:rPr>
              <w:t>Excédent/</w:t>
            </w:r>
            <w:r w:rsidRPr="001F5EBE">
              <w:rPr>
                <w:rFonts w:asciiTheme="minorHAnsi" w:hAnsiTheme="minorHAnsi" w:cstheme="minorHAnsi"/>
                <w:sz w:val="20"/>
              </w:rPr>
              <w:br/>
              <w:t>déficit 2020</w:t>
            </w:r>
          </w:p>
        </w:tc>
        <w:tc>
          <w:tcPr>
            <w:tcW w:w="818" w:type="pct"/>
            <w:tcBorders>
              <w:top w:val="single" w:sz="4" w:space="0" w:color="auto"/>
            </w:tcBorders>
          </w:tcPr>
          <w:p w14:paraId="1EBABDFB" w14:textId="77777777" w:rsidR="00761B6C" w:rsidRPr="001F5EBE" w:rsidRDefault="00761B6C" w:rsidP="001F5EBE">
            <w:pPr>
              <w:pStyle w:val="Tablehead"/>
              <w:spacing w:before="40" w:after="40"/>
              <w:rPr>
                <w:rFonts w:asciiTheme="minorHAnsi" w:hAnsiTheme="minorHAnsi" w:cstheme="minorHAnsi"/>
                <w:sz w:val="20"/>
              </w:rPr>
            </w:pPr>
            <w:r w:rsidRPr="001F5EBE">
              <w:rPr>
                <w:rFonts w:asciiTheme="minorHAnsi" w:hAnsiTheme="minorHAnsi" w:cstheme="minorHAnsi"/>
                <w:sz w:val="20"/>
              </w:rPr>
              <w:t>Autres ajustements</w:t>
            </w:r>
          </w:p>
        </w:tc>
        <w:tc>
          <w:tcPr>
            <w:tcW w:w="750" w:type="pct"/>
            <w:tcBorders>
              <w:top w:val="single" w:sz="4" w:space="0" w:color="auto"/>
            </w:tcBorders>
          </w:tcPr>
          <w:p w14:paraId="7D17136E" w14:textId="77777777" w:rsidR="00761B6C" w:rsidRPr="001F5EBE" w:rsidRDefault="00761B6C" w:rsidP="001F5EBE">
            <w:pPr>
              <w:pStyle w:val="Tablehead"/>
              <w:spacing w:before="40" w:after="40"/>
              <w:rPr>
                <w:rFonts w:asciiTheme="minorHAnsi" w:hAnsiTheme="minorHAnsi" w:cstheme="minorHAnsi"/>
                <w:sz w:val="20"/>
                <w:lang w:eastAsia="fr-FR"/>
              </w:rPr>
            </w:pPr>
            <w:r w:rsidRPr="001F5EBE">
              <w:rPr>
                <w:rFonts w:asciiTheme="minorHAnsi" w:hAnsiTheme="minorHAnsi" w:cstheme="minorHAnsi"/>
                <w:sz w:val="20"/>
              </w:rPr>
              <w:t>31.12.2020</w:t>
            </w:r>
          </w:p>
        </w:tc>
      </w:tr>
      <w:tr w:rsidR="00761B6C" w:rsidRPr="001F5EBE" w14:paraId="0DDB8A00" w14:textId="77777777" w:rsidTr="00761B6C">
        <w:trPr>
          <w:jc w:val="center"/>
        </w:trPr>
        <w:tc>
          <w:tcPr>
            <w:tcW w:w="1897" w:type="pct"/>
            <w:tcBorders>
              <w:top w:val="nil"/>
              <w:bottom w:val="nil"/>
            </w:tcBorders>
            <w:tcMar>
              <w:left w:w="57" w:type="dxa"/>
              <w:right w:w="57" w:type="dxa"/>
            </w:tcMar>
          </w:tcPr>
          <w:p w14:paraId="43E5A21A" w14:textId="77777777" w:rsidR="00761B6C" w:rsidRPr="001F5EBE" w:rsidRDefault="00761B6C" w:rsidP="001F5EBE">
            <w:pPr>
              <w:pStyle w:val="Tabletext"/>
              <w:spacing w:before="20" w:after="20"/>
              <w:rPr>
                <w:rFonts w:asciiTheme="minorHAnsi" w:hAnsiTheme="minorHAnsi" w:cstheme="minorHAnsi"/>
                <w:b/>
                <w:sz w:val="20"/>
              </w:rPr>
            </w:pPr>
            <w:r w:rsidRPr="001F5EBE">
              <w:rPr>
                <w:rFonts w:asciiTheme="minorHAnsi" w:hAnsiTheme="minorHAnsi" w:cstheme="minorHAnsi"/>
                <w:b/>
                <w:sz w:val="20"/>
              </w:rPr>
              <w:t xml:space="preserve">Passage aux normes IPSAS </w:t>
            </w:r>
          </w:p>
        </w:tc>
        <w:tc>
          <w:tcPr>
            <w:tcW w:w="726" w:type="pct"/>
            <w:tcBorders>
              <w:top w:val="nil"/>
              <w:bottom w:val="nil"/>
            </w:tcBorders>
            <w:tcMar>
              <w:left w:w="57" w:type="dxa"/>
              <w:right w:w="113" w:type="dxa"/>
            </w:tcMar>
            <w:vAlign w:val="center"/>
          </w:tcPr>
          <w:p w14:paraId="5B88A978"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sz w:val="20"/>
                <w:lang w:eastAsia="en-GB"/>
              </w:rPr>
              <w:t>–125 100</w:t>
            </w:r>
          </w:p>
        </w:tc>
        <w:tc>
          <w:tcPr>
            <w:tcW w:w="809" w:type="pct"/>
            <w:tcBorders>
              <w:top w:val="nil"/>
              <w:bottom w:val="nil"/>
            </w:tcBorders>
            <w:tcMar>
              <w:left w:w="57" w:type="dxa"/>
              <w:right w:w="113" w:type="dxa"/>
            </w:tcMar>
            <w:vAlign w:val="center"/>
          </w:tcPr>
          <w:p w14:paraId="24DA3B42"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w:t>
            </w:r>
          </w:p>
        </w:tc>
        <w:tc>
          <w:tcPr>
            <w:tcW w:w="818" w:type="pct"/>
            <w:tcBorders>
              <w:top w:val="nil"/>
              <w:bottom w:val="nil"/>
            </w:tcBorders>
            <w:vAlign w:val="center"/>
          </w:tcPr>
          <w:p w14:paraId="63202492"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color w:val="000000"/>
                <w:sz w:val="20"/>
                <w:lang w:eastAsia="en-GB"/>
              </w:rPr>
              <w:t>–</w:t>
            </w:r>
          </w:p>
        </w:tc>
        <w:tc>
          <w:tcPr>
            <w:tcW w:w="750" w:type="pct"/>
            <w:tcBorders>
              <w:top w:val="nil"/>
              <w:bottom w:val="nil"/>
            </w:tcBorders>
            <w:vAlign w:val="center"/>
          </w:tcPr>
          <w:p w14:paraId="6327EDD2"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–125 100</w:t>
            </w:r>
          </w:p>
        </w:tc>
      </w:tr>
      <w:tr w:rsidR="00761B6C" w:rsidRPr="001F5EBE" w14:paraId="56D58E41" w14:textId="77777777" w:rsidTr="00761B6C">
        <w:trPr>
          <w:jc w:val="center"/>
        </w:trPr>
        <w:tc>
          <w:tcPr>
            <w:tcW w:w="1897" w:type="pct"/>
            <w:tcBorders>
              <w:top w:val="nil"/>
              <w:bottom w:val="nil"/>
            </w:tcBorders>
            <w:tcMar>
              <w:left w:w="57" w:type="dxa"/>
              <w:right w:w="57" w:type="dxa"/>
            </w:tcMar>
          </w:tcPr>
          <w:p w14:paraId="3A49ED61" w14:textId="77777777" w:rsidR="00761B6C" w:rsidRPr="001F5EBE" w:rsidRDefault="00761B6C" w:rsidP="001F5EBE">
            <w:pPr>
              <w:pStyle w:val="Tabletext"/>
              <w:spacing w:before="20" w:after="20"/>
              <w:rPr>
                <w:rFonts w:asciiTheme="minorHAnsi" w:hAnsiTheme="minorHAnsi" w:cstheme="minorHAnsi"/>
                <w:b/>
                <w:sz w:val="20"/>
              </w:rPr>
            </w:pPr>
            <w:r w:rsidRPr="001F5EBE">
              <w:rPr>
                <w:rFonts w:asciiTheme="minorHAnsi" w:hAnsiTheme="minorHAnsi" w:cstheme="minorHAnsi"/>
                <w:b/>
                <w:sz w:val="20"/>
              </w:rPr>
              <w:t>Fonds de réserve</w:t>
            </w:r>
          </w:p>
        </w:tc>
        <w:tc>
          <w:tcPr>
            <w:tcW w:w="726" w:type="pct"/>
            <w:tcBorders>
              <w:top w:val="nil"/>
              <w:bottom w:val="nil"/>
            </w:tcBorders>
            <w:tcMar>
              <w:left w:w="57" w:type="dxa"/>
              <w:right w:w="113" w:type="dxa"/>
            </w:tcMar>
            <w:vAlign w:val="center"/>
          </w:tcPr>
          <w:p w14:paraId="412471BD"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sz w:val="20"/>
                <w:lang w:eastAsia="en-GB"/>
              </w:rPr>
              <w:t>24 935</w:t>
            </w:r>
          </w:p>
        </w:tc>
        <w:tc>
          <w:tcPr>
            <w:tcW w:w="809" w:type="pct"/>
            <w:tcBorders>
              <w:top w:val="nil"/>
              <w:bottom w:val="nil"/>
            </w:tcBorders>
            <w:tcMar>
              <w:left w:w="57" w:type="dxa"/>
              <w:right w:w="113" w:type="dxa"/>
            </w:tcMar>
            <w:vAlign w:val="center"/>
          </w:tcPr>
          <w:p w14:paraId="2E2C2EC9"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w:t>
            </w:r>
          </w:p>
        </w:tc>
        <w:tc>
          <w:tcPr>
            <w:tcW w:w="818" w:type="pct"/>
            <w:tcBorders>
              <w:top w:val="nil"/>
              <w:bottom w:val="nil"/>
            </w:tcBorders>
            <w:vAlign w:val="center"/>
          </w:tcPr>
          <w:p w14:paraId="700BA7AA"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sz w:val="20"/>
                <w:lang w:eastAsia="en-GB"/>
              </w:rPr>
              <w:t>867</w:t>
            </w:r>
          </w:p>
        </w:tc>
        <w:tc>
          <w:tcPr>
            <w:tcW w:w="750" w:type="pct"/>
            <w:tcBorders>
              <w:top w:val="nil"/>
              <w:bottom w:val="nil"/>
            </w:tcBorders>
            <w:vAlign w:val="center"/>
          </w:tcPr>
          <w:p w14:paraId="0A2C0C03"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25 802</w:t>
            </w:r>
          </w:p>
        </w:tc>
      </w:tr>
      <w:tr w:rsidR="00761B6C" w:rsidRPr="001F5EBE" w14:paraId="02BCB081" w14:textId="77777777" w:rsidTr="00761B6C">
        <w:trPr>
          <w:jc w:val="center"/>
        </w:trPr>
        <w:tc>
          <w:tcPr>
            <w:tcW w:w="1897" w:type="pct"/>
            <w:tcBorders>
              <w:top w:val="nil"/>
              <w:bottom w:val="nil"/>
            </w:tcBorders>
            <w:tcMar>
              <w:left w:w="57" w:type="dxa"/>
              <w:right w:w="57" w:type="dxa"/>
            </w:tcMar>
          </w:tcPr>
          <w:p w14:paraId="59BF322C" w14:textId="77777777" w:rsidR="00761B6C" w:rsidRPr="001F5EBE" w:rsidRDefault="00761B6C" w:rsidP="001F5EBE">
            <w:pPr>
              <w:pStyle w:val="Tabletext"/>
              <w:spacing w:before="20" w:after="20"/>
              <w:rPr>
                <w:rFonts w:asciiTheme="minorHAnsi" w:hAnsiTheme="minorHAnsi" w:cstheme="minorHAnsi"/>
                <w:b/>
                <w:sz w:val="20"/>
              </w:rPr>
            </w:pPr>
            <w:r w:rsidRPr="001F5EBE">
              <w:rPr>
                <w:rFonts w:asciiTheme="minorHAnsi" w:hAnsiTheme="minorHAnsi" w:cstheme="minorHAnsi"/>
                <w:b/>
                <w:sz w:val="20"/>
              </w:rPr>
              <w:t>Autres réserves effectuées</w:t>
            </w:r>
          </w:p>
        </w:tc>
        <w:tc>
          <w:tcPr>
            <w:tcW w:w="726" w:type="pct"/>
            <w:tcBorders>
              <w:top w:val="nil"/>
              <w:bottom w:val="nil"/>
            </w:tcBorders>
            <w:tcMar>
              <w:left w:w="57" w:type="dxa"/>
              <w:right w:w="113" w:type="dxa"/>
            </w:tcMar>
            <w:vAlign w:val="center"/>
          </w:tcPr>
          <w:p w14:paraId="16F4A4AB"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72 203</w:t>
            </w:r>
          </w:p>
        </w:tc>
        <w:tc>
          <w:tcPr>
            <w:tcW w:w="809" w:type="pct"/>
            <w:tcBorders>
              <w:top w:val="nil"/>
              <w:bottom w:val="nil"/>
            </w:tcBorders>
            <w:tcMar>
              <w:left w:w="57" w:type="dxa"/>
              <w:right w:w="113" w:type="dxa"/>
            </w:tcMar>
            <w:vAlign w:val="center"/>
          </w:tcPr>
          <w:p w14:paraId="425DF010"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4 875</w:t>
            </w:r>
          </w:p>
        </w:tc>
        <w:tc>
          <w:tcPr>
            <w:tcW w:w="818" w:type="pct"/>
            <w:tcBorders>
              <w:top w:val="nil"/>
              <w:bottom w:val="nil"/>
            </w:tcBorders>
            <w:vAlign w:val="center"/>
          </w:tcPr>
          <w:p w14:paraId="28CF7BA4"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–15 853</w:t>
            </w:r>
          </w:p>
        </w:tc>
        <w:tc>
          <w:tcPr>
            <w:tcW w:w="750" w:type="pct"/>
            <w:tcBorders>
              <w:top w:val="nil"/>
              <w:bottom w:val="nil"/>
            </w:tcBorders>
            <w:vAlign w:val="center"/>
          </w:tcPr>
          <w:p w14:paraId="3AC716A6"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61 225</w:t>
            </w:r>
          </w:p>
        </w:tc>
      </w:tr>
      <w:tr w:rsidR="00761B6C" w:rsidRPr="001F5EBE" w14:paraId="459E1C3F" w14:textId="77777777" w:rsidTr="00761B6C">
        <w:trPr>
          <w:jc w:val="center"/>
        </w:trPr>
        <w:tc>
          <w:tcPr>
            <w:tcW w:w="1897" w:type="pct"/>
            <w:tcBorders>
              <w:top w:val="nil"/>
              <w:bottom w:val="nil"/>
            </w:tcBorders>
            <w:tcMar>
              <w:left w:w="57" w:type="dxa"/>
              <w:right w:w="57" w:type="dxa"/>
            </w:tcMar>
          </w:tcPr>
          <w:p w14:paraId="1BCC024F"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Économies réalisées au cours des années précédentes</w:t>
            </w:r>
          </w:p>
        </w:tc>
        <w:tc>
          <w:tcPr>
            <w:tcW w:w="726" w:type="pct"/>
            <w:tcBorders>
              <w:top w:val="nil"/>
              <w:bottom w:val="nil"/>
            </w:tcBorders>
            <w:tcMar>
              <w:left w:w="57" w:type="dxa"/>
              <w:right w:w="113" w:type="dxa"/>
            </w:tcMar>
            <w:vAlign w:val="center"/>
          </w:tcPr>
          <w:p w14:paraId="7C814213"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10 252</w:t>
            </w:r>
          </w:p>
        </w:tc>
        <w:tc>
          <w:tcPr>
            <w:tcW w:w="809" w:type="pct"/>
            <w:tcBorders>
              <w:top w:val="nil"/>
              <w:bottom w:val="nil"/>
            </w:tcBorders>
            <w:tcMar>
              <w:left w:w="57" w:type="dxa"/>
              <w:right w:w="113" w:type="dxa"/>
            </w:tcMar>
            <w:vAlign w:val="center"/>
          </w:tcPr>
          <w:p w14:paraId="05D0DEA6"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–1 483</w:t>
            </w:r>
          </w:p>
        </w:tc>
        <w:tc>
          <w:tcPr>
            <w:tcW w:w="818" w:type="pct"/>
            <w:tcBorders>
              <w:top w:val="nil"/>
              <w:bottom w:val="nil"/>
            </w:tcBorders>
            <w:vAlign w:val="center"/>
          </w:tcPr>
          <w:p w14:paraId="38FA30A4"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–3 746</w:t>
            </w:r>
          </w:p>
        </w:tc>
        <w:tc>
          <w:tcPr>
            <w:tcW w:w="750" w:type="pct"/>
            <w:tcBorders>
              <w:top w:val="nil"/>
              <w:bottom w:val="nil"/>
            </w:tcBorders>
            <w:vAlign w:val="center"/>
          </w:tcPr>
          <w:p w14:paraId="7128CF1A"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5 023</w:t>
            </w:r>
          </w:p>
        </w:tc>
      </w:tr>
      <w:tr w:rsidR="00761B6C" w:rsidRPr="001F5EBE" w14:paraId="5ED29AC6" w14:textId="77777777" w:rsidTr="00761B6C">
        <w:trPr>
          <w:jc w:val="center"/>
        </w:trPr>
        <w:tc>
          <w:tcPr>
            <w:tcW w:w="1897" w:type="pct"/>
            <w:tcBorders>
              <w:top w:val="nil"/>
              <w:bottom w:val="nil"/>
            </w:tcBorders>
            <w:tcMar>
              <w:left w:w="57" w:type="dxa"/>
              <w:right w:w="57" w:type="dxa"/>
            </w:tcMar>
          </w:tcPr>
          <w:p w14:paraId="5DAE63D8"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Fonds d'investissement</w:t>
            </w:r>
          </w:p>
        </w:tc>
        <w:tc>
          <w:tcPr>
            <w:tcW w:w="726" w:type="pct"/>
            <w:tcBorders>
              <w:top w:val="nil"/>
              <w:bottom w:val="nil"/>
            </w:tcBorders>
            <w:tcMar>
              <w:left w:w="57" w:type="dxa"/>
              <w:right w:w="113" w:type="dxa"/>
            </w:tcMar>
            <w:vAlign w:val="center"/>
          </w:tcPr>
          <w:p w14:paraId="06392FD6"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11 985</w:t>
            </w:r>
          </w:p>
        </w:tc>
        <w:tc>
          <w:tcPr>
            <w:tcW w:w="809" w:type="pct"/>
            <w:tcBorders>
              <w:top w:val="nil"/>
              <w:bottom w:val="nil"/>
            </w:tcBorders>
            <w:tcMar>
              <w:left w:w="57" w:type="dxa"/>
              <w:right w:w="113" w:type="dxa"/>
            </w:tcMar>
            <w:vAlign w:val="center"/>
          </w:tcPr>
          <w:p w14:paraId="5AECDA77"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1 799</w:t>
            </w:r>
          </w:p>
        </w:tc>
        <w:tc>
          <w:tcPr>
            <w:tcW w:w="818" w:type="pct"/>
            <w:tcBorders>
              <w:top w:val="nil"/>
              <w:bottom w:val="nil"/>
            </w:tcBorders>
            <w:vAlign w:val="center"/>
          </w:tcPr>
          <w:p w14:paraId="4B85EA23"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1 033</w:t>
            </w:r>
          </w:p>
        </w:tc>
        <w:tc>
          <w:tcPr>
            <w:tcW w:w="750" w:type="pct"/>
            <w:tcBorders>
              <w:top w:val="nil"/>
              <w:bottom w:val="nil"/>
            </w:tcBorders>
            <w:vAlign w:val="center"/>
          </w:tcPr>
          <w:p w14:paraId="6B74118F"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14 817</w:t>
            </w:r>
          </w:p>
        </w:tc>
      </w:tr>
      <w:tr w:rsidR="00761B6C" w:rsidRPr="001F5EBE" w14:paraId="651BA418" w14:textId="77777777" w:rsidTr="00761B6C">
        <w:trPr>
          <w:jc w:val="center"/>
        </w:trPr>
        <w:tc>
          <w:tcPr>
            <w:tcW w:w="1897" w:type="pct"/>
            <w:tcBorders>
              <w:top w:val="nil"/>
              <w:bottom w:val="nil"/>
            </w:tcBorders>
            <w:tcMar>
              <w:left w:w="57" w:type="dxa"/>
              <w:right w:w="57" w:type="dxa"/>
            </w:tcMar>
          </w:tcPr>
          <w:p w14:paraId="508899A3"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Fonds pour le nouveau bâtiment</w:t>
            </w:r>
          </w:p>
        </w:tc>
        <w:tc>
          <w:tcPr>
            <w:tcW w:w="726" w:type="pct"/>
            <w:tcBorders>
              <w:top w:val="nil"/>
              <w:bottom w:val="nil"/>
            </w:tcBorders>
            <w:tcMar>
              <w:left w:w="57" w:type="dxa"/>
              <w:right w:w="113" w:type="dxa"/>
            </w:tcMar>
            <w:vAlign w:val="center"/>
          </w:tcPr>
          <w:p w14:paraId="237AD7C9"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–4 862</w:t>
            </w:r>
          </w:p>
        </w:tc>
        <w:tc>
          <w:tcPr>
            <w:tcW w:w="809" w:type="pct"/>
            <w:tcBorders>
              <w:top w:val="nil"/>
              <w:bottom w:val="nil"/>
            </w:tcBorders>
            <w:tcMar>
              <w:left w:w="57" w:type="dxa"/>
              <w:right w:w="113" w:type="dxa"/>
            </w:tcMar>
            <w:vAlign w:val="center"/>
          </w:tcPr>
          <w:p w14:paraId="3AB4FE21"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–4 228</w:t>
            </w:r>
          </w:p>
        </w:tc>
        <w:tc>
          <w:tcPr>
            <w:tcW w:w="818" w:type="pct"/>
            <w:tcBorders>
              <w:top w:val="nil"/>
              <w:bottom w:val="nil"/>
            </w:tcBorders>
            <w:vAlign w:val="center"/>
          </w:tcPr>
          <w:p w14:paraId="4C861619" w14:textId="77777777" w:rsidR="00761B6C" w:rsidRPr="001F5EBE" w:rsidRDefault="00761B6C" w:rsidP="001F5EBE">
            <w:pPr>
              <w:pStyle w:val="Tabletext"/>
              <w:spacing w:before="20" w:after="20"/>
              <w:jc w:val="right"/>
              <w:rPr>
                <w:rFonts w:asciiTheme="minorHAnsi" w:hAnsiTheme="minorHAnsi" w:cstheme="minorHAnsi"/>
                <w:sz w:val="20"/>
              </w:rPr>
            </w:pPr>
            <w:r w:rsidRPr="001F5EBE">
              <w:rPr>
                <w:rFonts w:asciiTheme="minorHAnsi" w:hAnsiTheme="minorHAnsi"/>
                <w:color w:val="000000"/>
                <w:sz w:val="20"/>
                <w:lang w:eastAsia="en-GB"/>
              </w:rPr>
              <w:t>–</w:t>
            </w:r>
          </w:p>
        </w:tc>
        <w:tc>
          <w:tcPr>
            <w:tcW w:w="750" w:type="pct"/>
            <w:tcBorders>
              <w:top w:val="nil"/>
              <w:bottom w:val="nil"/>
            </w:tcBorders>
            <w:vAlign w:val="center"/>
          </w:tcPr>
          <w:p w14:paraId="4F0A9C51"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–9 090</w:t>
            </w:r>
          </w:p>
        </w:tc>
      </w:tr>
      <w:tr w:rsidR="00761B6C" w:rsidRPr="001F5EBE" w14:paraId="78CA053A" w14:textId="77777777" w:rsidTr="00761B6C">
        <w:trPr>
          <w:jc w:val="center"/>
        </w:trPr>
        <w:tc>
          <w:tcPr>
            <w:tcW w:w="1897" w:type="pct"/>
            <w:tcBorders>
              <w:top w:val="nil"/>
              <w:bottom w:val="nil"/>
            </w:tcBorders>
            <w:tcMar>
              <w:left w:w="57" w:type="dxa"/>
              <w:right w:w="57" w:type="dxa"/>
            </w:tcMar>
          </w:tcPr>
          <w:p w14:paraId="7073104C"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Fonds de réserve pour le nouveau bâtiment</w:t>
            </w:r>
          </w:p>
        </w:tc>
        <w:tc>
          <w:tcPr>
            <w:tcW w:w="726" w:type="pct"/>
            <w:tcBorders>
              <w:top w:val="nil"/>
              <w:bottom w:val="nil"/>
            </w:tcBorders>
            <w:tcMar>
              <w:left w:w="57" w:type="dxa"/>
              <w:right w:w="113" w:type="dxa"/>
            </w:tcMar>
            <w:vAlign w:val="center"/>
          </w:tcPr>
          <w:p w14:paraId="09451CD0"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8 182</w:t>
            </w:r>
          </w:p>
        </w:tc>
        <w:tc>
          <w:tcPr>
            <w:tcW w:w="809" w:type="pct"/>
            <w:tcBorders>
              <w:top w:val="nil"/>
              <w:bottom w:val="nil"/>
            </w:tcBorders>
            <w:tcMar>
              <w:left w:w="57" w:type="dxa"/>
              <w:right w:w="113" w:type="dxa"/>
            </w:tcMar>
            <w:vAlign w:val="center"/>
          </w:tcPr>
          <w:p w14:paraId="3B6F0BF0"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10 006</w:t>
            </w:r>
          </w:p>
        </w:tc>
        <w:tc>
          <w:tcPr>
            <w:tcW w:w="818" w:type="pct"/>
            <w:tcBorders>
              <w:top w:val="nil"/>
              <w:bottom w:val="nil"/>
            </w:tcBorders>
            <w:vAlign w:val="center"/>
          </w:tcPr>
          <w:p w14:paraId="2E29CEC1" w14:textId="77777777" w:rsidR="00761B6C" w:rsidRPr="001F5EBE" w:rsidRDefault="00761B6C" w:rsidP="001F5EBE">
            <w:pPr>
              <w:pStyle w:val="Tabletext"/>
              <w:spacing w:before="20" w:after="20"/>
              <w:jc w:val="right"/>
              <w:rPr>
                <w:rFonts w:asciiTheme="minorHAnsi" w:hAnsiTheme="minorHAnsi" w:cstheme="minorHAnsi"/>
                <w:sz w:val="20"/>
              </w:rPr>
            </w:pPr>
            <w:r w:rsidRPr="001F5EBE">
              <w:rPr>
                <w:rFonts w:asciiTheme="minorHAnsi" w:hAnsiTheme="minorHAnsi"/>
                <w:color w:val="000000"/>
                <w:sz w:val="20"/>
                <w:lang w:eastAsia="en-GB"/>
              </w:rPr>
              <w:t>–</w:t>
            </w:r>
          </w:p>
        </w:tc>
        <w:tc>
          <w:tcPr>
            <w:tcW w:w="750" w:type="pct"/>
            <w:tcBorders>
              <w:top w:val="nil"/>
              <w:bottom w:val="nil"/>
            </w:tcBorders>
            <w:vAlign w:val="center"/>
          </w:tcPr>
          <w:p w14:paraId="14ED906B"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18 188</w:t>
            </w:r>
          </w:p>
        </w:tc>
      </w:tr>
      <w:tr w:rsidR="00761B6C" w:rsidRPr="001F5EBE" w14:paraId="550D65D6" w14:textId="77777777" w:rsidTr="00761B6C">
        <w:trPr>
          <w:jc w:val="center"/>
        </w:trPr>
        <w:tc>
          <w:tcPr>
            <w:tcW w:w="1897" w:type="pct"/>
            <w:tcBorders>
              <w:top w:val="nil"/>
              <w:bottom w:val="nil"/>
            </w:tcBorders>
            <w:tcMar>
              <w:left w:w="57" w:type="dxa"/>
              <w:right w:w="57" w:type="dxa"/>
            </w:tcMar>
          </w:tcPr>
          <w:p w14:paraId="79377049"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Fonds pour le registre des risques</w:t>
            </w:r>
          </w:p>
        </w:tc>
        <w:tc>
          <w:tcPr>
            <w:tcW w:w="726" w:type="pct"/>
            <w:tcBorders>
              <w:top w:val="nil"/>
              <w:bottom w:val="nil"/>
            </w:tcBorders>
            <w:tcMar>
              <w:left w:w="57" w:type="dxa"/>
              <w:right w:w="113" w:type="dxa"/>
            </w:tcMar>
            <w:vAlign w:val="center"/>
          </w:tcPr>
          <w:p w14:paraId="5EDBA837"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sz w:val="20"/>
                <w:lang w:eastAsia="en-GB"/>
              </w:rPr>
              <w:t>1 425</w:t>
            </w:r>
          </w:p>
        </w:tc>
        <w:tc>
          <w:tcPr>
            <w:tcW w:w="809" w:type="pct"/>
            <w:tcBorders>
              <w:top w:val="nil"/>
              <w:bottom w:val="nil"/>
            </w:tcBorders>
            <w:tcMar>
              <w:left w:w="57" w:type="dxa"/>
              <w:right w:w="113" w:type="dxa"/>
            </w:tcMar>
            <w:vAlign w:val="center"/>
          </w:tcPr>
          <w:p w14:paraId="2BD11E06"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w:t>
            </w:r>
          </w:p>
        </w:tc>
        <w:tc>
          <w:tcPr>
            <w:tcW w:w="818" w:type="pct"/>
            <w:tcBorders>
              <w:top w:val="nil"/>
              <w:bottom w:val="nil"/>
            </w:tcBorders>
            <w:vAlign w:val="center"/>
          </w:tcPr>
          <w:p w14:paraId="10799011"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2 005</w:t>
            </w:r>
          </w:p>
        </w:tc>
        <w:tc>
          <w:tcPr>
            <w:tcW w:w="750" w:type="pct"/>
            <w:tcBorders>
              <w:top w:val="nil"/>
              <w:bottom w:val="nil"/>
            </w:tcBorders>
            <w:vAlign w:val="center"/>
          </w:tcPr>
          <w:p w14:paraId="2298A562"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3 430</w:t>
            </w:r>
          </w:p>
        </w:tc>
      </w:tr>
      <w:tr w:rsidR="00761B6C" w:rsidRPr="001F5EBE" w14:paraId="65A30349" w14:textId="77777777" w:rsidTr="00761B6C">
        <w:trPr>
          <w:jc w:val="center"/>
        </w:trPr>
        <w:tc>
          <w:tcPr>
            <w:tcW w:w="1897" w:type="pct"/>
            <w:tcBorders>
              <w:top w:val="nil"/>
              <w:bottom w:val="nil"/>
            </w:tcBorders>
            <w:tcMar>
              <w:left w:w="57" w:type="dxa"/>
              <w:right w:w="57" w:type="dxa"/>
            </w:tcMar>
          </w:tcPr>
          <w:p w14:paraId="7E089649"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Fonds de bien-être du personnel</w:t>
            </w:r>
          </w:p>
        </w:tc>
        <w:tc>
          <w:tcPr>
            <w:tcW w:w="726" w:type="pct"/>
            <w:tcBorders>
              <w:top w:val="nil"/>
              <w:bottom w:val="nil"/>
            </w:tcBorders>
            <w:tcMar>
              <w:left w:w="57" w:type="dxa"/>
              <w:right w:w="113" w:type="dxa"/>
            </w:tcMar>
            <w:vAlign w:val="center"/>
          </w:tcPr>
          <w:p w14:paraId="2A7A5CAA"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348</w:t>
            </w:r>
          </w:p>
        </w:tc>
        <w:tc>
          <w:tcPr>
            <w:tcW w:w="809" w:type="pct"/>
            <w:tcBorders>
              <w:top w:val="nil"/>
              <w:bottom w:val="nil"/>
            </w:tcBorders>
            <w:tcMar>
              <w:left w:w="57" w:type="dxa"/>
              <w:right w:w="113" w:type="dxa"/>
            </w:tcMar>
            <w:vAlign w:val="center"/>
          </w:tcPr>
          <w:p w14:paraId="3341C033" w14:textId="77777777" w:rsidR="00761B6C" w:rsidRPr="001F5EBE" w:rsidRDefault="00761B6C" w:rsidP="001F5EBE">
            <w:pPr>
              <w:pStyle w:val="Tabletext"/>
              <w:spacing w:before="20" w:after="20"/>
              <w:jc w:val="right"/>
              <w:rPr>
                <w:rFonts w:asciiTheme="minorHAnsi" w:hAnsiTheme="minorHAnsi" w:cstheme="minorHAnsi"/>
                <w:sz w:val="20"/>
              </w:rPr>
            </w:pPr>
            <w:r w:rsidRPr="001F5EBE">
              <w:rPr>
                <w:rFonts w:asciiTheme="minorHAnsi" w:hAnsiTheme="minorHAnsi"/>
                <w:color w:val="000000"/>
                <w:sz w:val="20"/>
                <w:lang w:eastAsia="en-GB"/>
              </w:rPr>
              <w:t>–</w:t>
            </w:r>
          </w:p>
        </w:tc>
        <w:tc>
          <w:tcPr>
            <w:tcW w:w="818" w:type="pct"/>
            <w:tcBorders>
              <w:top w:val="nil"/>
              <w:bottom w:val="nil"/>
            </w:tcBorders>
            <w:vAlign w:val="center"/>
          </w:tcPr>
          <w:p w14:paraId="7C772137"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w:t>
            </w:r>
          </w:p>
        </w:tc>
        <w:tc>
          <w:tcPr>
            <w:tcW w:w="750" w:type="pct"/>
            <w:tcBorders>
              <w:top w:val="nil"/>
              <w:bottom w:val="nil"/>
            </w:tcBorders>
            <w:vAlign w:val="center"/>
          </w:tcPr>
          <w:p w14:paraId="01424022"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348</w:t>
            </w:r>
          </w:p>
        </w:tc>
      </w:tr>
      <w:tr w:rsidR="00761B6C" w:rsidRPr="001F5EBE" w14:paraId="4E68559D" w14:textId="77777777" w:rsidTr="00761B6C">
        <w:trPr>
          <w:jc w:val="center"/>
        </w:trPr>
        <w:tc>
          <w:tcPr>
            <w:tcW w:w="1897" w:type="pct"/>
            <w:tcBorders>
              <w:top w:val="nil"/>
              <w:bottom w:val="nil"/>
            </w:tcBorders>
            <w:tcMar>
              <w:left w:w="57" w:type="dxa"/>
              <w:right w:w="57" w:type="dxa"/>
            </w:tcMar>
          </w:tcPr>
          <w:p w14:paraId="39C1E46F"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Fonds du centenaire</w:t>
            </w:r>
          </w:p>
        </w:tc>
        <w:tc>
          <w:tcPr>
            <w:tcW w:w="726" w:type="pct"/>
            <w:tcBorders>
              <w:top w:val="nil"/>
              <w:bottom w:val="nil"/>
            </w:tcBorders>
            <w:tcMar>
              <w:left w:w="57" w:type="dxa"/>
              <w:right w:w="113" w:type="dxa"/>
            </w:tcMar>
            <w:vAlign w:val="center"/>
          </w:tcPr>
          <w:p w14:paraId="5E653E41"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212</w:t>
            </w:r>
          </w:p>
        </w:tc>
        <w:tc>
          <w:tcPr>
            <w:tcW w:w="809" w:type="pct"/>
            <w:tcBorders>
              <w:top w:val="nil"/>
              <w:bottom w:val="nil"/>
            </w:tcBorders>
            <w:tcMar>
              <w:left w:w="57" w:type="dxa"/>
              <w:right w:w="113" w:type="dxa"/>
            </w:tcMar>
            <w:vAlign w:val="center"/>
          </w:tcPr>
          <w:p w14:paraId="6D122BD6" w14:textId="77777777" w:rsidR="00761B6C" w:rsidRPr="001F5EBE" w:rsidRDefault="00761B6C" w:rsidP="001F5EBE">
            <w:pPr>
              <w:pStyle w:val="Tabletext"/>
              <w:spacing w:before="20" w:after="20"/>
              <w:jc w:val="right"/>
              <w:rPr>
                <w:rFonts w:asciiTheme="minorHAnsi" w:hAnsiTheme="minorHAnsi" w:cstheme="minorHAnsi"/>
                <w:sz w:val="20"/>
              </w:rPr>
            </w:pPr>
            <w:r w:rsidRPr="001F5EBE">
              <w:rPr>
                <w:rFonts w:asciiTheme="minorHAnsi" w:hAnsiTheme="minorHAnsi"/>
                <w:color w:val="000000"/>
                <w:sz w:val="20"/>
                <w:lang w:eastAsia="en-GB"/>
              </w:rPr>
              <w:t>–</w:t>
            </w:r>
          </w:p>
        </w:tc>
        <w:tc>
          <w:tcPr>
            <w:tcW w:w="818" w:type="pct"/>
            <w:tcBorders>
              <w:top w:val="nil"/>
              <w:bottom w:val="nil"/>
            </w:tcBorders>
            <w:vAlign w:val="center"/>
          </w:tcPr>
          <w:p w14:paraId="6D28A3FB" w14:textId="77777777" w:rsidR="00761B6C" w:rsidRPr="001F5EBE" w:rsidRDefault="00761B6C" w:rsidP="001F5EBE">
            <w:pPr>
              <w:pStyle w:val="Tabletext"/>
              <w:spacing w:before="20" w:after="20"/>
              <w:jc w:val="right"/>
              <w:rPr>
                <w:rFonts w:asciiTheme="minorHAnsi" w:hAnsiTheme="minorHAnsi" w:cstheme="minorHAnsi"/>
                <w:sz w:val="20"/>
              </w:rPr>
            </w:pPr>
            <w:r w:rsidRPr="001F5EBE">
              <w:rPr>
                <w:rFonts w:asciiTheme="minorHAnsi" w:hAnsiTheme="minorHAnsi"/>
                <w:color w:val="000000"/>
                <w:sz w:val="20"/>
                <w:lang w:eastAsia="en-GB"/>
              </w:rPr>
              <w:t>–</w:t>
            </w:r>
          </w:p>
        </w:tc>
        <w:tc>
          <w:tcPr>
            <w:tcW w:w="750" w:type="pct"/>
            <w:tcBorders>
              <w:top w:val="nil"/>
              <w:bottom w:val="nil"/>
            </w:tcBorders>
            <w:vAlign w:val="center"/>
          </w:tcPr>
          <w:p w14:paraId="4B27BC1C"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212</w:t>
            </w:r>
          </w:p>
        </w:tc>
      </w:tr>
      <w:tr w:rsidR="00761B6C" w:rsidRPr="001F5EBE" w14:paraId="567D0B98" w14:textId="77777777" w:rsidTr="00761B6C">
        <w:trPr>
          <w:jc w:val="center"/>
        </w:trPr>
        <w:tc>
          <w:tcPr>
            <w:tcW w:w="1897" w:type="pct"/>
            <w:tcBorders>
              <w:top w:val="nil"/>
              <w:bottom w:val="nil"/>
            </w:tcBorders>
            <w:tcMar>
              <w:left w:w="57" w:type="dxa"/>
              <w:right w:w="57" w:type="dxa"/>
            </w:tcMar>
          </w:tcPr>
          <w:p w14:paraId="13A940E7"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Fonds des compléments de la Caisse d'assurance</w:t>
            </w:r>
          </w:p>
        </w:tc>
        <w:tc>
          <w:tcPr>
            <w:tcW w:w="726" w:type="pct"/>
            <w:tcBorders>
              <w:top w:val="nil"/>
              <w:bottom w:val="nil"/>
            </w:tcBorders>
            <w:tcMar>
              <w:left w:w="57" w:type="dxa"/>
              <w:right w:w="113" w:type="dxa"/>
            </w:tcMar>
            <w:vAlign w:val="center"/>
          </w:tcPr>
          <w:p w14:paraId="5F2BA1BA"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6 166</w:t>
            </w:r>
          </w:p>
        </w:tc>
        <w:tc>
          <w:tcPr>
            <w:tcW w:w="809" w:type="pct"/>
            <w:tcBorders>
              <w:top w:val="nil"/>
              <w:bottom w:val="nil"/>
            </w:tcBorders>
            <w:tcMar>
              <w:left w:w="57" w:type="dxa"/>
              <w:right w:w="113" w:type="dxa"/>
            </w:tcMar>
            <w:vAlign w:val="center"/>
          </w:tcPr>
          <w:p w14:paraId="27E8452C"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8</w:t>
            </w:r>
          </w:p>
        </w:tc>
        <w:tc>
          <w:tcPr>
            <w:tcW w:w="818" w:type="pct"/>
            <w:tcBorders>
              <w:top w:val="nil"/>
              <w:bottom w:val="nil"/>
            </w:tcBorders>
            <w:vAlign w:val="center"/>
          </w:tcPr>
          <w:p w14:paraId="14B27258" w14:textId="77777777" w:rsidR="00761B6C" w:rsidRPr="001F5EBE" w:rsidRDefault="00761B6C" w:rsidP="001F5EBE">
            <w:pPr>
              <w:pStyle w:val="Tabletext"/>
              <w:spacing w:before="20" w:after="20"/>
              <w:jc w:val="right"/>
              <w:rPr>
                <w:rFonts w:asciiTheme="minorHAnsi" w:hAnsiTheme="minorHAnsi" w:cstheme="minorHAnsi"/>
                <w:sz w:val="20"/>
              </w:rPr>
            </w:pPr>
            <w:r w:rsidRPr="001F5EBE">
              <w:rPr>
                <w:rFonts w:asciiTheme="minorHAnsi" w:hAnsiTheme="minorHAnsi"/>
                <w:color w:val="000000"/>
                <w:sz w:val="20"/>
                <w:lang w:eastAsia="en-GB"/>
              </w:rPr>
              <w:t>–</w:t>
            </w:r>
          </w:p>
        </w:tc>
        <w:tc>
          <w:tcPr>
            <w:tcW w:w="750" w:type="pct"/>
            <w:tcBorders>
              <w:top w:val="nil"/>
              <w:bottom w:val="nil"/>
            </w:tcBorders>
            <w:vAlign w:val="center"/>
          </w:tcPr>
          <w:p w14:paraId="1CD946C7"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6 174</w:t>
            </w:r>
          </w:p>
        </w:tc>
      </w:tr>
      <w:tr w:rsidR="00761B6C" w:rsidRPr="001F5EBE" w14:paraId="2936979A" w14:textId="77777777" w:rsidTr="00761B6C">
        <w:trPr>
          <w:jc w:val="center"/>
        </w:trPr>
        <w:tc>
          <w:tcPr>
            <w:tcW w:w="1897" w:type="pct"/>
            <w:tcBorders>
              <w:top w:val="nil"/>
              <w:bottom w:val="nil"/>
            </w:tcBorders>
            <w:tcMar>
              <w:left w:w="57" w:type="dxa"/>
              <w:right w:w="57" w:type="dxa"/>
            </w:tcMar>
          </w:tcPr>
          <w:p w14:paraId="1632B51E"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Fonds d'intervention de la Caisse d'assurance</w:t>
            </w:r>
          </w:p>
        </w:tc>
        <w:tc>
          <w:tcPr>
            <w:tcW w:w="726" w:type="pct"/>
            <w:tcBorders>
              <w:top w:val="nil"/>
              <w:bottom w:val="nil"/>
            </w:tcBorders>
            <w:tcMar>
              <w:left w:w="57" w:type="dxa"/>
              <w:right w:w="113" w:type="dxa"/>
            </w:tcMar>
            <w:vAlign w:val="center"/>
          </w:tcPr>
          <w:p w14:paraId="325AECC8"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278</w:t>
            </w:r>
          </w:p>
        </w:tc>
        <w:tc>
          <w:tcPr>
            <w:tcW w:w="809" w:type="pct"/>
            <w:tcBorders>
              <w:top w:val="nil"/>
              <w:bottom w:val="nil"/>
            </w:tcBorders>
            <w:tcMar>
              <w:left w:w="57" w:type="dxa"/>
              <w:right w:w="113" w:type="dxa"/>
            </w:tcMar>
            <w:vAlign w:val="center"/>
          </w:tcPr>
          <w:p w14:paraId="653A86ED"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w:t>
            </w:r>
          </w:p>
        </w:tc>
        <w:tc>
          <w:tcPr>
            <w:tcW w:w="818" w:type="pct"/>
            <w:tcBorders>
              <w:top w:val="nil"/>
              <w:bottom w:val="nil"/>
            </w:tcBorders>
            <w:vAlign w:val="center"/>
          </w:tcPr>
          <w:p w14:paraId="11571CE0"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w:t>
            </w:r>
          </w:p>
        </w:tc>
        <w:tc>
          <w:tcPr>
            <w:tcW w:w="750" w:type="pct"/>
            <w:tcBorders>
              <w:top w:val="nil"/>
              <w:bottom w:val="nil"/>
            </w:tcBorders>
            <w:vAlign w:val="center"/>
          </w:tcPr>
          <w:p w14:paraId="55FB6AA1"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278</w:t>
            </w:r>
          </w:p>
        </w:tc>
      </w:tr>
      <w:tr w:rsidR="00761B6C" w:rsidRPr="001F5EBE" w14:paraId="004EA4AD" w14:textId="77777777" w:rsidTr="00761B6C">
        <w:trPr>
          <w:jc w:val="center"/>
        </w:trPr>
        <w:tc>
          <w:tcPr>
            <w:tcW w:w="1897" w:type="pct"/>
            <w:tcBorders>
              <w:top w:val="nil"/>
              <w:bottom w:val="nil"/>
            </w:tcBorders>
            <w:tcMar>
              <w:left w:w="57" w:type="dxa"/>
              <w:right w:w="57" w:type="dxa"/>
            </w:tcMar>
          </w:tcPr>
          <w:p w14:paraId="2E62C51D"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Fonds ASHI</w:t>
            </w:r>
          </w:p>
        </w:tc>
        <w:tc>
          <w:tcPr>
            <w:tcW w:w="726" w:type="pct"/>
            <w:tcBorders>
              <w:top w:val="nil"/>
              <w:bottom w:val="nil"/>
            </w:tcBorders>
            <w:tcMar>
              <w:left w:w="57" w:type="dxa"/>
              <w:right w:w="113" w:type="dxa"/>
            </w:tcMar>
            <w:vAlign w:val="center"/>
          </w:tcPr>
          <w:p w14:paraId="1E30BF08"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12 000</w:t>
            </w:r>
          </w:p>
        </w:tc>
        <w:tc>
          <w:tcPr>
            <w:tcW w:w="809" w:type="pct"/>
            <w:tcBorders>
              <w:top w:val="nil"/>
              <w:bottom w:val="nil"/>
            </w:tcBorders>
            <w:tcMar>
              <w:left w:w="57" w:type="dxa"/>
              <w:right w:w="113" w:type="dxa"/>
            </w:tcMar>
            <w:vAlign w:val="center"/>
          </w:tcPr>
          <w:p w14:paraId="4F1D530C"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w:t>
            </w:r>
          </w:p>
        </w:tc>
        <w:tc>
          <w:tcPr>
            <w:tcW w:w="818" w:type="pct"/>
            <w:tcBorders>
              <w:top w:val="nil"/>
              <w:bottom w:val="nil"/>
            </w:tcBorders>
            <w:vAlign w:val="center"/>
          </w:tcPr>
          <w:p w14:paraId="3307D597"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1 000</w:t>
            </w:r>
          </w:p>
        </w:tc>
        <w:tc>
          <w:tcPr>
            <w:tcW w:w="750" w:type="pct"/>
            <w:tcBorders>
              <w:top w:val="nil"/>
              <w:bottom w:val="nil"/>
            </w:tcBorders>
            <w:vAlign w:val="center"/>
          </w:tcPr>
          <w:p w14:paraId="4E99E0B7"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13 000</w:t>
            </w:r>
          </w:p>
        </w:tc>
      </w:tr>
      <w:tr w:rsidR="00761B6C" w:rsidRPr="001F5EBE" w14:paraId="40B469A8" w14:textId="77777777" w:rsidTr="00761B6C">
        <w:trPr>
          <w:jc w:val="center"/>
        </w:trPr>
        <w:tc>
          <w:tcPr>
            <w:tcW w:w="1897" w:type="pct"/>
            <w:tcBorders>
              <w:top w:val="nil"/>
              <w:bottom w:val="nil"/>
            </w:tcBorders>
            <w:tcMar>
              <w:left w:w="57" w:type="dxa"/>
              <w:right w:w="57" w:type="dxa"/>
            </w:tcMar>
          </w:tcPr>
          <w:p w14:paraId="64102C4E"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Fonds de l'assurance maladie</w:t>
            </w:r>
          </w:p>
        </w:tc>
        <w:tc>
          <w:tcPr>
            <w:tcW w:w="726" w:type="pct"/>
            <w:tcBorders>
              <w:top w:val="nil"/>
              <w:bottom w:val="nil"/>
            </w:tcBorders>
            <w:tcMar>
              <w:left w:w="57" w:type="dxa"/>
              <w:right w:w="113" w:type="dxa"/>
            </w:tcMar>
            <w:vAlign w:val="center"/>
          </w:tcPr>
          <w:p w14:paraId="5B8093AA"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20 332</w:t>
            </w:r>
          </w:p>
        </w:tc>
        <w:tc>
          <w:tcPr>
            <w:tcW w:w="809" w:type="pct"/>
            <w:tcBorders>
              <w:top w:val="nil"/>
              <w:bottom w:val="nil"/>
            </w:tcBorders>
            <w:tcMar>
              <w:left w:w="57" w:type="dxa"/>
              <w:right w:w="113" w:type="dxa"/>
            </w:tcMar>
            <w:vAlign w:val="center"/>
          </w:tcPr>
          <w:p w14:paraId="6EADB520"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w:t>
            </w:r>
          </w:p>
        </w:tc>
        <w:tc>
          <w:tcPr>
            <w:tcW w:w="818" w:type="pct"/>
            <w:tcBorders>
              <w:top w:val="nil"/>
              <w:bottom w:val="nil"/>
            </w:tcBorders>
            <w:vAlign w:val="center"/>
          </w:tcPr>
          <w:p w14:paraId="190A7AB3"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–18 578</w:t>
            </w:r>
          </w:p>
        </w:tc>
        <w:tc>
          <w:tcPr>
            <w:tcW w:w="750" w:type="pct"/>
            <w:tcBorders>
              <w:top w:val="nil"/>
              <w:bottom w:val="nil"/>
            </w:tcBorders>
            <w:vAlign w:val="center"/>
          </w:tcPr>
          <w:p w14:paraId="4211D20F"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1 754</w:t>
            </w:r>
          </w:p>
        </w:tc>
      </w:tr>
      <w:tr w:rsidR="00761B6C" w:rsidRPr="001F5EBE" w14:paraId="67BBF15C" w14:textId="77777777" w:rsidTr="00761B6C">
        <w:trPr>
          <w:jc w:val="center"/>
        </w:trPr>
        <w:tc>
          <w:tcPr>
            <w:tcW w:w="1897" w:type="pct"/>
            <w:tcBorders>
              <w:top w:val="nil"/>
              <w:bottom w:val="nil"/>
            </w:tcBorders>
            <w:tcMar>
              <w:left w:w="57" w:type="dxa"/>
              <w:right w:w="57" w:type="dxa"/>
            </w:tcMar>
          </w:tcPr>
          <w:p w14:paraId="6446348F"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Réserves extrabudgétaires affectées</w:t>
            </w:r>
          </w:p>
        </w:tc>
        <w:tc>
          <w:tcPr>
            <w:tcW w:w="726" w:type="pct"/>
            <w:tcBorders>
              <w:top w:val="nil"/>
              <w:bottom w:val="nil"/>
            </w:tcBorders>
            <w:tcMar>
              <w:left w:w="57" w:type="dxa"/>
              <w:right w:w="113" w:type="dxa"/>
            </w:tcMar>
            <w:vAlign w:val="center"/>
          </w:tcPr>
          <w:p w14:paraId="745B4CAE"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5 336</w:t>
            </w:r>
          </w:p>
        </w:tc>
        <w:tc>
          <w:tcPr>
            <w:tcW w:w="809" w:type="pct"/>
            <w:tcBorders>
              <w:top w:val="nil"/>
              <w:bottom w:val="nil"/>
            </w:tcBorders>
            <w:tcMar>
              <w:left w:w="57" w:type="dxa"/>
              <w:right w:w="113" w:type="dxa"/>
            </w:tcMar>
            <w:vAlign w:val="center"/>
          </w:tcPr>
          <w:p w14:paraId="6D999D47"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–1 227</w:t>
            </w:r>
          </w:p>
        </w:tc>
        <w:tc>
          <w:tcPr>
            <w:tcW w:w="818" w:type="pct"/>
            <w:tcBorders>
              <w:top w:val="nil"/>
              <w:bottom w:val="nil"/>
            </w:tcBorders>
            <w:vAlign w:val="center"/>
          </w:tcPr>
          <w:p w14:paraId="3933A68D"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3 899</w:t>
            </w:r>
          </w:p>
        </w:tc>
        <w:tc>
          <w:tcPr>
            <w:tcW w:w="750" w:type="pct"/>
            <w:tcBorders>
              <w:top w:val="nil"/>
              <w:bottom w:val="nil"/>
            </w:tcBorders>
            <w:vAlign w:val="center"/>
          </w:tcPr>
          <w:p w14:paraId="0D894F82"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8 008</w:t>
            </w:r>
          </w:p>
        </w:tc>
      </w:tr>
      <w:tr w:rsidR="00761B6C" w:rsidRPr="001F5EBE" w14:paraId="11499D00" w14:textId="77777777" w:rsidTr="00761B6C">
        <w:trPr>
          <w:jc w:val="center"/>
        </w:trPr>
        <w:tc>
          <w:tcPr>
            <w:tcW w:w="1897" w:type="pct"/>
            <w:tcBorders>
              <w:top w:val="nil"/>
              <w:bottom w:val="nil"/>
            </w:tcBorders>
            <w:tcMar>
              <w:left w:w="57" w:type="dxa"/>
              <w:right w:w="57" w:type="dxa"/>
            </w:tcMar>
          </w:tcPr>
          <w:p w14:paraId="30274D09"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Conversion de change</w:t>
            </w:r>
          </w:p>
        </w:tc>
        <w:tc>
          <w:tcPr>
            <w:tcW w:w="726" w:type="pct"/>
            <w:tcBorders>
              <w:top w:val="nil"/>
              <w:bottom w:val="nil"/>
            </w:tcBorders>
            <w:tcMar>
              <w:left w:w="57" w:type="dxa"/>
              <w:right w:w="113" w:type="dxa"/>
            </w:tcMar>
            <w:vAlign w:val="center"/>
          </w:tcPr>
          <w:p w14:paraId="6EC31A59"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549</w:t>
            </w:r>
          </w:p>
        </w:tc>
        <w:tc>
          <w:tcPr>
            <w:tcW w:w="809" w:type="pct"/>
            <w:tcBorders>
              <w:top w:val="nil"/>
              <w:bottom w:val="nil"/>
            </w:tcBorders>
            <w:tcMar>
              <w:left w:w="57" w:type="dxa"/>
              <w:right w:w="113" w:type="dxa"/>
            </w:tcMar>
            <w:vAlign w:val="center"/>
          </w:tcPr>
          <w:p w14:paraId="4DD6BE7E"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0</w:t>
            </w:r>
          </w:p>
        </w:tc>
        <w:tc>
          <w:tcPr>
            <w:tcW w:w="818" w:type="pct"/>
            <w:tcBorders>
              <w:top w:val="nil"/>
              <w:bottom w:val="nil"/>
            </w:tcBorders>
            <w:vAlign w:val="center"/>
          </w:tcPr>
          <w:p w14:paraId="4256D2D9"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–1 465</w:t>
            </w:r>
          </w:p>
        </w:tc>
        <w:tc>
          <w:tcPr>
            <w:tcW w:w="750" w:type="pct"/>
            <w:tcBorders>
              <w:top w:val="nil"/>
              <w:bottom w:val="nil"/>
            </w:tcBorders>
            <w:vAlign w:val="center"/>
          </w:tcPr>
          <w:p w14:paraId="17E397F7"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–916</w:t>
            </w:r>
          </w:p>
        </w:tc>
      </w:tr>
      <w:tr w:rsidR="00761B6C" w:rsidRPr="001F5EBE" w14:paraId="1005559D" w14:textId="77777777" w:rsidTr="00761B6C">
        <w:trPr>
          <w:jc w:val="center"/>
        </w:trPr>
        <w:tc>
          <w:tcPr>
            <w:tcW w:w="1897" w:type="pct"/>
            <w:tcBorders>
              <w:top w:val="nil"/>
              <w:bottom w:val="nil"/>
            </w:tcBorders>
            <w:tcMar>
              <w:left w:w="57" w:type="dxa"/>
              <w:right w:w="57" w:type="dxa"/>
            </w:tcMar>
          </w:tcPr>
          <w:p w14:paraId="5018BA4D" w14:textId="77777777" w:rsidR="00761B6C" w:rsidRPr="001F5EBE" w:rsidRDefault="00761B6C" w:rsidP="001F5EBE">
            <w:pPr>
              <w:pStyle w:val="Tabletext"/>
              <w:spacing w:before="20" w:after="20"/>
              <w:rPr>
                <w:rFonts w:asciiTheme="minorHAnsi" w:hAnsiTheme="minorHAnsi" w:cstheme="minorHAnsi"/>
                <w:b/>
                <w:sz w:val="20"/>
              </w:rPr>
            </w:pPr>
            <w:r w:rsidRPr="001F5EBE">
              <w:rPr>
                <w:rFonts w:asciiTheme="minorHAnsi" w:hAnsiTheme="minorHAnsi" w:cstheme="minorHAnsi"/>
                <w:b/>
                <w:sz w:val="20"/>
              </w:rPr>
              <w:t>Fonds relatif aux activités extrabudgétaires</w:t>
            </w:r>
          </w:p>
        </w:tc>
        <w:tc>
          <w:tcPr>
            <w:tcW w:w="726" w:type="pct"/>
            <w:tcBorders>
              <w:top w:val="nil"/>
              <w:bottom w:val="nil"/>
            </w:tcBorders>
            <w:tcMar>
              <w:left w:w="57" w:type="dxa"/>
              <w:right w:w="113" w:type="dxa"/>
            </w:tcMar>
            <w:vAlign w:val="center"/>
          </w:tcPr>
          <w:p w14:paraId="5FB009BE"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sz w:val="20"/>
                <w:lang w:eastAsia="en-GB"/>
              </w:rPr>
              <w:t>13 181</w:t>
            </w:r>
          </w:p>
        </w:tc>
        <w:tc>
          <w:tcPr>
            <w:tcW w:w="809" w:type="pct"/>
            <w:tcBorders>
              <w:top w:val="nil"/>
              <w:bottom w:val="nil"/>
            </w:tcBorders>
            <w:tcMar>
              <w:left w:w="57" w:type="dxa"/>
              <w:right w:w="113" w:type="dxa"/>
            </w:tcMar>
            <w:vAlign w:val="center"/>
          </w:tcPr>
          <w:p w14:paraId="7F729BD5"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–1 905</w:t>
            </w:r>
          </w:p>
        </w:tc>
        <w:tc>
          <w:tcPr>
            <w:tcW w:w="818" w:type="pct"/>
            <w:tcBorders>
              <w:top w:val="nil"/>
              <w:bottom w:val="nil"/>
            </w:tcBorders>
            <w:vAlign w:val="center"/>
          </w:tcPr>
          <w:p w14:paraId="6AD1241A"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–893</w:t>
            </w:r>
          </w:p>
        </w:tc>
        <w:tc>
          <w:tcPr>
            <w:tcW w:w="750" w:type="pct"/>
            <w:tcBorders>
              <w:top w:val="nil"/>
              <w:bottom w:val="nil"/>
            </w:tcBorders>
            <w:vAlign w:val="center"/>
          </w:tcPr>
          <w:p w14:paraId="7462DEAC"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10 383</w:t>
            </w:r>
          </w:p>
        </w:tc>
      </w:tr>
      <w:tr w:rsidR="00761B6C" w:rsidRPr="001F5EBE" w14:paraId="0F88B8C5" w14:textId="77777777" w:rsidTr="00761B6C">
        <w:trPr>
          <w:jc w:val="center"/>
        </w:trPr>
        <w:tc>
          <w:tcPr>
            <w:tcW w:w="1897" w:type="pct"/>
            <w:tcBorders>
              <w:top w:val="nil"/>
              <w:bottom w:val="nil"/>
            </w:tcBorders>
            <w:tcMar>
              <w:left w:w="57" w:type="dxa"/>
              <w:right w:w="57" w:type="dxa"/>
            </w:tcMar>
            <w:vAlign w:val="center"/>
          </w:tcPr>
          <w:p w14:paraId="37B21584"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Télécom</w:t>
            </w:r>
          </w:p>
        </w:tc>
        <w:tc>
          <w:tcPr>
            <w:tcW w:w="726" w:type="pct"/>
            <w:tcBorders>
              <w:top w:val="nil"/>
              <w:bottom w:val="nil"/>
            </w:tcBorders>
            <w:tcMar>
              <w:left w:w="57" w:type="dxa"/>
              <w:right w:w="113" w:type="dxa"/>
            </w:tcMar>
            <w:vAlign w:val="center"/>
          </w:tcPr>
          <w:p w14:paraId="45F04C9C"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8 563</w:t>
            </w:r>
          </w:p>
        </w:tc>
        <w:tc>
          <w:tcPr>
            <w:tcW w:w="809" w:type="pct"/>
            <w:tcBorders>
              <w:top w:val="nil"/>
              <w:bottom w:val="nil"/>
            </w:tcBorders>
            <w:tcMar>
              <w:left w:w="57" w:type="dxa"/>
              <w:right w:w="113" w:type="dxa"/>
            </w:tcMar>
            <w:vAlign w:val="center"/>
          </w:tcPr>
          <w:p w14:paraId="2EB7C67A"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–1 905</w:t>
            </w:r>
          </w:p>
        </w:tc>
        <w:tc>
          <w:tcPr>
            <w:tcW w:w="818" w:type="pct"/>
            <w:tcBorders>
              <w:top w:val="nil"/>
              <w:bottom w:val="nil"/>
            </w:tcBorders>
            <w:vAlign w:val="center"/>
          </w:tcPr>
          <w:p w14:paraId="5B460CF0"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–42</w:t>
            </w:r>
          </w:p>
        </w:tc>
        <w:tc>
          <w:tcPr>
            <w:tcW w:w="750" w:type="pct"/>
            <w:tcBorders>
              <w:top w:val="nil"/>
              <w:bottom w:val="nil"/>
            </w:tcBorders>
            <w:vAlign w:val="center"/>
          </w:tcPr>
          <w:p w14:paraId="296B2C21"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6 616</w:t>
            </w:r>
          </w:p>
        </w:tc>
      </w:tr>
      <w:tr w:rsidR="00761B6C" w:rsidRPr="001F5EBE" w14:paraId="7063ECE6" w14:textId="77777777" w:rsidTr="00761B6C">
        <w:trPr>
          <w:jc w:val="center"/>
        </w:trPr>
        <w:tc>
          <w:tcPr>
            <w:tcW w:w="1897" w:type="pct"/>
            <w:tcBorders>
              <w:top w:val="nil"/>
              <w:bottom w:val="nil"/>
            </w:tcBorders>
            <w:tcMar>
              <w:left w:w="57" w:type="dxa"/>
              <w:right w:w="57" w:type="dxa"/>
            </w:tcMar>
            <w:vAlign w:val="center"/>
          </w:tcPr>
          <w:p w14:paraId="0B251BAF" w14:textId="77777777" w:rsidR="00761B6C" w:rsidRPr="001F5EBE" w:rsidRDefault="00761B6C" w:rsidP="001F5EBE">
            <w:pPr>
              <w:pStyle w:val="Tabletext"/>
              <w:spacing w:before="20" w:after="20"/>
              <w:rPr>
                <w:rFonts w:asciiTheme="minorHAnsi" w:hAnsiTheme="minorHAnsi" w:cstheme="minorHAnsi"/>
                <w:sz w:val="20"/>
                <w:lang w:eastAsia="zh-CN"/>
              </w:rPr>
            </w:pPr>
            <w:r w:rsidRPr="001F5EBE">
              <w:rPr>
                <w:rFonts w:asciiTheme="minorHAnsi" w:hAnsiTheme="minorHAnsi" w:cstheme="minorHAnsi"/>
                <w:sz w:val="20"/>
                <w:lang w:eastAsia="zh-CN"/>
              </w:rPr>
              <w:t>Autres</w:t>
            </w:r>
          </w:p>
        </w:tc>
        <w:tc>
          <w:tcPr>
            <w:tcW w:w="726" w:type="pct"/>
            <w:tcBorders>
              <w:top w:val="nil"/>
              <w:bottom w:val="nil"/>
            </w:tcBorders>
            <w:tcMar>
              <w:left w:w="57" w:type="dxa"/>
              <w:right w:w="113" w:type="dxa"/>
            </w:tcMar>
            <w:vAlign w:val="center"/>
          </w:tcPr>
          <w:p w14:paraId="29A3D24E" w14:textId="77777777" w:rsidR="00761B6C" w:rsidRPr="001F5EBE" w:rsidRDefault="00761B6C" w:rsidP="001F5EBE">
            <w:pPr>
              <w:pStyle w:val="Tabletext"/>
              <w:spacing w:before="20" w:after="20"/>
              <w:jc w:val="right"/>
              <w:rPr>
                <w:rFonts w:asciiTheme="minorHAnsi" w:hAnsiTheme="minorHAnsi" w:cstheme="minorHAnsi"/>
                <w:sz w:val="20"/>
                <w:lang w:eastAsia="zh-CN"/>
              </w:rPr>
            </w:pPr>
            <w:r w:rsidRPr="001F5EBE">
              <w:rPr>
                <w:rFonts w:asciiTheme="minorHAnsi" w:hAnsiTheme="minorHAnsi"/>
                <w:sz w:val="20"/>
                <w:lang w:eastAsia="en-GB"/>
              </w:rPr>
              <w:t>4 618</w:t>
            </w:r>
          </w:p>
        </w:tc>
        <w:tc>
          <w:tcPr>
            <w:tcW w:w="809" w:type="pct"/>
            <w:tcBorders>
              <w:top w:val="nil"/>
              <w:bottom w:val="nil"/>
            </w:tcBorders>
            <w:tcMar>
              <w:left w:w="57" w:type="dxa"/>
              <w:right w:w="113" w:type="dxa"/>
            </w:tcMar>
            <w:vAlign w:val="center"/>
          </w:tcPr>
          <w:p w14:paraId="0CC7C9FD"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w:t>
            </w:r>
          </w:p>
        </w:tc>
        <w:tc>
          <w:tcPr>
            <w:tcW w:w="818" w:type="pct"/>
            <w:tcBorders>
              <w:top w:val="nil"/>
              <w:bottom w:val="nil"/>
            </w:tcBorders>
            <w:vAlign w:val="center"/>
          </w:tcPr>
          <w:p w14:paraId="679CA59B"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–851</w:t>
            </w:r>
          </w:p>
        </w:tc>
        <w:tc>
          <w:tcPr>
            <w:tcW w:w="750" w:type="pct"/>
            <w:tcBorders>
              <w:top w:val="nil"/>
              <w:bottom w:val="nil"/>
            </w:tcBorders>
            <w:vAlign w:val="center"/>
          </w:tcPr>
          <w:p w14:paraId="7F8A1C12" w14:textId="77777777" w:rsidR="00761B6C" w:rsidRPr="001F5EBE" w:rsidRDefault="00761B6C" w:rsidP="001F5EBE">
            <w:pPr>
              <w:pStyle w:val="Tabletext"/>
              <w:spacing w:before="20" w:after="20"/>
              <w:jc w:val="right"/>
              <w:rPr>
                <w:rFonts w:asciiTheme="minorHAnsi" w:hAnsiTheme="minorHAnsi" w:cstheme="minorHAnsi"/>
                <w:color w:val="000000"/>
                <w:sz w:val="20"/>
                <w:lang w:eastAsia="zh-CN"/>
              </w:rPr>
            </w:pPr>
            <w:r w:rsidRPr="001F5EBE">
              <w:rPr>
                <w:rFonts w:asciiTheme="minorHAnsi" w:hAnsiTheme="minorHAnsi"/>
                <w:color w:val="000000"/>
                <w:sz w:val="20"/>
                <w:lang w:eastAsia="en-GB"/>
              </w:rPr>
              <w:t>3 767</w:t>
            </w:r>
          </w:p>
        </w:tc>
      </w:tr>
      <w:tr w:rsidR="00761B6C" w:rsidRPr="001F5EBE" w14:paraId="5039BD3B" w14:textId="77777777" w:rsidTr="00761B6C">
        <w:trPr>
          <w:jc w:val="center"/>
        </w:trPr>
        <w:tc>
          <w:tcPr>
            <w:tcW w:w="1897" w:type="pct"/>
            <w:tcBorders>
              <w:top w:val="nil"/>
              <w:bottom w:val="nil"/>
            </w:tcBorders>
            <w:tcMar>
              <w:left w:w="57" w:type="dxa"/>
              <w:right w:w="57" w:type="dxa"/>
            </w:tcMar>
          </w:tcPr>
          <w:p w14:paraId="44843841" w14:textId="77777777" w:rsidR="00761B6C" w:rsidRPr="001F5EBE" w:rsidRDefault="00761B6C" w:rsidP="001F5EBE">
            <w:pPr>
              <w:pStyle w:val="Tabletext"/>
              <w:spacing w:before="20" w:after="20"/>
              <w:rPr>
                <w:rFonts w:asciiTheme="minorHAnsi" w:hAnsiTheme="minorHAnsi" w:cstheme="minorHAnsi"/>
                <w:bCs/>
                <w:sz w:val="20"/>
              </w:rPr>
            </w:pPr>
            <w:r w:rsidRPr="001F5EBE">
              <w:rPr>
                <w:rFonts w:asciiTheme="minorHAnsi" w:hAnsiTheme="minorHAnsi" w:cstheme="minorHAnsi"/>
                <w:b/>
                <w:sz w:val="20"/>
              </w:rPr>
              <w:t>Pertes actuarielles de l'ASHI</w:t>
            </w:r>
          </w:p>
        </w:tc>
        <w:tc>
          <w:tcPr>
            <w:tcW w:w="726" w:type="pct"/>
            <w:tcBorders>
              <w:top w:val="nil"/>
              <w:bottom w:val="nil"/>
            </w:tcBorders>
            <w:tcMar>
              <w:left w:w="57" w:type="dxa"/>
              <w:right w:w="113" w:type="dxa"/>
            </w:tcMar>
            <w:vAlign w:val="center"/>
          </w:tcPr>
          <w:p w14:paraId="1F6EE377" w14:textId="77777777" w:rsidR="00761B6C" w:rsidRPr="001F5EBE" w:rsidRDefault="00761B6C" w:rsidP="001F5EBE">
            <w:pPr>
              <w:pStyle w:val="Tabletext"/>
              <w:spacing w:before="20" w:after="20"/>
              <w:jc w:val="right"/>
              <w:rPr>
                <w:rFonts w:asciiTheme="minorHAnsi" w:hAnsiTheme="minorHAnsi" w:cstheme="minorHAnsi"/>
                <w:b/>
                <w:bCs/>
                <w:sz w:val="20"/>
                <w:lang w:eastAsia="zh-CN"/>
              </w:rPr>
            </w:pPr>
            <w:r w:rsidRPr="001F5EBE">
              <w:rPr>
                <w:rFonts w:asciiTheme="minorHAnsi" w:hAnsiTheme="minorHAnsi"/>
                <w:b/>
                <w:bCs/>
                <w:sz w:val="20"/>
                <w:lang w:eastAsia="en-GB"/>
              </w:rPr>
              <w:t>–278 315</w:t>
            </w:r>
          </w:p>
        </w:tc>
        <w:tc>
          <w:tcPr>
            <w:tcW w:w="809" w:type="pct"/>
            <w:tcBorders>
              <w:top w:val="nil"/>
              <w:bottom w:val="nil"/>
            </w:tcBorders>
            <w:tcMar>
              <w:left w:w="57" w:type="dxa"/>
              <w:right w:w="113" w:type="dxa"/>
            </w:tcMar>
            <w:vAlign w:val="center"/>
          </w:tcPr>
          <w:p w14:paraId="7C191B80"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w:t>
            </w:r>
          </w:p>
        </w:tc>
        <w:tc>
          <w:tcPr>
            <w:tcW w:w="818" w:type="pct"/>
            <w:tcBorders>
              <w:top w:val="nil"/>
              <w:bottom w:val="nil"/>
            </w:tcBorders>
            <w:vAlign w:val="center"/>
          </w:tcPr>
          <w:p w14:paraId="6A410472"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15 214</w:t>
            </w:r>
          </w:p>
        </w:tc>
        <w:tc>
          <w:tcPr>
            <w:tcW w:w="750" w:type="pct"/>
            <w:tcBorders>
              <w:top w:val="nil"/>
              <w:bottom w:val="nil"/>
            </w:tcBorders>
            <w:vAlign w:val="center"/>
          </w:tcPr>
          <w:p w14:paraId="5B54687F"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–263 101</w:t>
            </w:r>
          </w:p>
        </w:tc>
      </w:tr>
      <w:tr w:rsidR="00761B6C" w:rsidRPr="001F5EBE" w14:paraId="7246A95A" w14:textId="77777777" w:rsidTr="00761B6C">
        <w:trPr>
          <w:jc w:val="center"/>
        </w:trPr>
        <w:tc>
          <w:tcPr>
            <w:tcW w:w="1897" w:type="pct"/>
            <w:tcBorders>
              <w:top w:val="nil"/>
              <w:bottom w:val="nil"/>
            </w:tcBorders>
            <w:tcMar>
              <w:left w:w="57" w:type="dxa"/>
              <w:right w:w="57" w:type="dxa"/>
            </w:tcMar>
          </w:tcPr>
          <w:p w14:paraId="521D6C41" w14:textId="77777777" w:rsidR="00761B6C" w:rsidRPr="001F5EBE" w:rsidRDefault="00761B6C" w:rsidP="001F5EBE">
            <w:pPr>
              <w:pStyle w:val="Tabletext"/>
              <w:spacing w:before="20" w:after="20"/>
              <w:rPr>
                <w:rFonts w:asciiTheme="minorHAnsi" w:hAnsiTheme="minorHAnsi" w:cstheme="minorHAnsi"/>
                <w:bCs/>
                <w:sz w:val="20"/>
              </w:rPr>
            </w:pPr>
            <w:r w:rsidRPr="001F5EBE">
              <w:rPr>
                <w:rFonts w:asciiTheme="minorHAnsi" w:hAnsiTheme="minorHAnsi" w:cstheme="minorHAnsi"/>
                <w:b/>
                <w:bCs/>
                <w:sz w:val="20"/>
              </w:rPr>
              <w:t>Déficit cumulé IPSAS (statistique)</w:t>
            </w:r>
          </w:p>
        </w:tc>
        <w:tc>
          <w:tcPr>
            <w:tcW w:w="726" w:type="pct"/>
            <w:tcBorders>
              <w:top w:val="nil"/>
              <w:bottom w:val="nil"/>
            </w:tcBorders>
            <w:tcMar>
              <w:left w:w="57" w:type="dxa"/>
              <w:right w:w="113" w:type="dxa"/>
            </w:tcMar>
            <w:vAlign w:val="center"/>
          </w:tcPr>
          <w:p w14:paraId="4DCEE210"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–159 551</w:t>
            </w:r>
          </w:p>
        </w:tc>
        <w:tc>
          <w:tcPr>
            <w:tcW w:w="809" w:type="pct"/>
            <w:tcBorders>
              <w:top w:val="nil"/>
              <w:bottom w:val="nil"/>
            </w:tcBorders>
            <w:tcMar>
              <w:left w:w="57" w:type="dxa"/>
              <w:right w:w="113" w:type="dxa"/>
            </w:tcMar>
            <w:vAlign w:val="center"/>
          </w:tcPr>
          <w:p w14:paraId="14C36199"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–50 229</w:t>
            </w:r>
          </w:p>
        </w:tc>
        <w:tc>
          <w:tcPr>
            <w:tcW w:w="818" w:type="pct"/>
            <w:tcBorders>
              <w:top w:val="nil"/>
              <w:bottom w:val="nil"/>
            </w:tcBorders>
            <w:vAlign w:val="center"/>
          </w:tcPr>
          <w:p w14:paraId="2683DFA2"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w:t>
            </w:r>
          </w:p>
        </w:tc>
        <w:tc>
          <w:tcPr>
            <w:tcW w:w="750" w:type="pct"/>
            <w:tcBorders>
              <w:top w:val="nil"/>
              <w:bottom w:val="nil"/>
            </w:tcBorders>
            <w:vAlign w:val="center"/>
          </w:tcPr>
          <w:p w14:paraId="2C271468"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–209 780</w:t>
            </w:r>
          </w:p>
        </w:tc>
      </w:tr>
      <w:tr w:rsidR="00761B6C" w:rsidRPr="001F5EBE" w14:paraId="74CCC521" w14:textId="77777777" w:rsidTr="00761B6C">
        <w:trPr>
          <w:jc w:val="center"/>
        </w:trPr>
        <w:tc>
          <w:tcPr>
            <w:tcW w:w="1897" w:type="pct"/>
            <w:tcBorders>
              <w:top w:val="single" w:sz="4" w:space="0" w:color="auto"/>
            </w:tcBorders>
            <w:tcMar>
              <w:left w:w="57" w:type="dxa"/>
              <w:right w:w="57" w:type="dxa"/>
            </w:tcMar>
          </w:tcPr>
          <w:p w14:paraId="1BDBDE27" w14:textId="77777777" w:rsidR="00761B6C" w:rsidRPr="001F5EBE" w:rsidRDefault="00761B6C" w:rsidP="001F5EBE">
            <w:pPr>
              <w:pStyle w:val="Tabletext"/>
              <w:spacing w:before="20" w:after="20"/>
              <w:jc w:val="right"/>
              <w:rPr>
                <w:rFonts w:asciiTheme="minorHAnsi" w:hAnsiTheme="minorHAnsi" w:cstheme="minorHAnsi"/>
                <w:b/>
                <w:bCs/>
                <w:sz w:val="20"/>
                <w:lang w:eastAsia="fr-FR"/>
              </w:rPr>
            </w:pPr>
            <w:r w:rsidRPr="001F5EBE">
              <w:rPr>
                <w:rFonts w:asciiTheme="minorHAnsi" w:hAnsiTheme="minorHAnsi" w:cstheme="minorHAnsi"/>
                <w:b/>
                <w:bCs/>
                <w:sz w:val="20"/>
              </w:rPr>
              <w:t xml:space="preserve">Total de l'actif net </w:t>
            </w:r>
          </w:p>
        </w:tc>
        <w:tc>
          <w:tcPr>
            <w:tcW w:w="726" w:type="pct"/>
            <w:tcBorders>
              <w:top w:val="single" w:sz="4" w:space="0" w:color="auto"/>
            </w:tcBorders>
            <w:tcMar>
              <w:left w:w="57" w:type="dxa"/>
              <w:right w:w="113" w:type="dxa"/>
            </w:tcMar>
            <w:vAlign w:val="center"/>
          </w:tcPr>
          <w:p w14:paraId="5CE64CC4"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–452 646</w:t>
            </w:r>
          </w:p>
        </w:tc>
        <w:tc>
          <w:tcPr>
            <w:tcW w:w="809" w:type="pct"/>
            <w:tcBorders>
              <w:top w:val="single" w:sz="4" w:space="0" w:color="auto"/>
            </w:tcBorders>
            <w:tcMar>
              <w:left w:w="57" w:type="dxa"/>
              <w:right w:w="113" w:type="dxa"/>
            </w:tcMar>
            <w:vAlign w:val="center"/>
          </w:tcPr>
          <w:p w14:paraId="0A1BE9CD"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–47 259</w:t>
            </w:r>
          </w:p>
        </w:tc>
        <w:tc>
          <w:tcPr>
            <w:tcW w:w="818" w:type="pct"/>
            <w:tcBorders>
              <w:top w:val="single" w:sz="4" w:space="0" w:color="auto"/>
            </w:tcBorders>
            <w:vAlign w:val="center"/>
          </w:tcPr>
          <w:p w14:paraId="6BE514D8"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–665</w:t>
            </w:r>
          </w:p>
        </w:tc>
        <w:tc>
          <w:tcPr>
            <w:tcW w:w="750" w:type="pct"/>
            <w:tcBorders>
              <w:top w:val="single" w:sz="4" w:space="0" w:color="auto"/>
            </w:tcBorders>
            <w:vAlign w:val="center"/>
          </w:tcPr>
          <w:p w14:paraId="4E5D8539" w14:textId="77777777" w:rsidR="00761B6C" w:rsidRPr="001F5EBE" w:rsidRDefault="00761B6C" w:rsidP="001F5EBE">
            <w:pPr>
              <w:pStyle w:val="Tabletext"/>
              <w:spacing w:before="20" w:after="20"/>
              <w:jc w:val="right"/>
              <w:rPr>
                <w:rFonts w:asciiTheme="minorHAnsi" w:hAnsiTheme="minorHAnsi" w:cstheme="minorHAnsi"/>
                <w:b/>
                <w:bCs/>
                <w:color w:val="000000"/>
                <w:sz w:val="20"/>
                <w:lang w:eastAsia="zh-CN"/>
              </w:rPr>
            </w:pPr>
            <w:r w:rsidRPr="001F5EBE">
              <w:rPr>
                <w:rFonts w:asciiTheme="minorHAnsi" w:hAnsiTheme="minorHAnsi"/>
                <w:b/>
                <w:bCs/>
                <w:color w:val="000000"/>
                <w:sz w:val="20"/>
                <w:lang w:eastAsia="en-GB"/>
              </w:rPr>
              <w:t>–500 570</w:t>
            </w:r>
          </w:p>
        </w:tc>
      </w:tr>
    </w:tbl>
    <w:p w14:paraId="6EB372A1" w14:textId="77777777" w:rsidR="00761B6C" w:rsidRPr="00236418" w:rsidRDefault="00761B6C" w:rsidP="00761B6C">
      <w:pPr>
        <w:ind w:left="-709"/>
      </w:pPr>
    </w:p>
    <w:p w14:paraId="75417D33" w14:textId="77777777" w:rsidR="00761B6C" w:rsidRPr="00236418" w:rsidRDefault="00761B6C" w:rsidP="00761B6C">
      <w:pPr>
        <w:rPr>
          <w:lang w:eastAsia="fr-FR"/>
        </w:rPr>
      </w:pPr>
      <w:r w:rsidRPr="00236418">
        <w:br w:type="page"/>
      </w:r>
    </w:p>
    <w:p w14:paraId="6C6D1153" w14:textId="77777777" w:rsidR="00761B6C" w:rsidRPr="00236418" w:rsidRDefault="00761B6C" w:rsidP="001F5EBE">
      <w:pPr>
        <w:pStyle w:val="Heading1"/>
        <w:spacing w:before="360" w:after="240"/>
        <w:jc w:val="center"/>
      </w:pPr>
      <w:bookmarkStart w:id="634" w:name="_Toc329202547"/>
      <w:bookmarkStart w:id="635" w:name="_Toc329204979"/>
      <w:bookmarkStart w:id="636" w:name="_Toc329206816"/>
      <w:bookmarkStart w:id="637" w:name="_Toc358379322"/>
      <w:bookmarkStart w:id="638" w:name="_Toc358379900"/>
      <w:bookmarkStart w:id="639" w:name="_Toc358380440"/>
      <w:bookmarkStart w:id="640" w:name="_Toc452139412"/>
      <w:bookmarkStart w:id="641" w:name="_Toc452139811"/>
      <w:bookmarkStart w:id="642" w:name="_Toc452140678"/>
      <w:bookmarkStart w:id="643" w:name="_Toc511649925"/>
      <w:bookmarkStart w:id="644" w:name="_Toc511651181"/>
      <w:bookmarkStart w:id="645" w:name="_Toc511724046"/>
      <w:bookmarkStart w:id="646" w:name="_Toc511739035"/>
      <w:bookmarkStart w:id="647" w:name="_Toc511740815"/>
      <w:bookmarkStart w:id="648" w:name="_Toc511741204"/>
      <w:bookmarkStart w:id="649" w:name="_Toc10450710"/>
      <w:bookmarkStart w:id="650" w:name="_Toc41567342"/>
      <w:bookmarkStart w:id="651" w:name="_Toc41567828"/>
      <w:bookmarkStart w:id="652" w:name="_Toc41814940"/>
      <w:bookmarkStart w:id="653" w:name="_Toc73354429"/>
      <w:bookmarkStart w:id="654" w:name="_Toc73356384"/>
      <w:bookmarkStart w:id="655" w:name="_Toc329202544"/>
      <w:bookmarkStart w:id="656" w:name="_Toc329204977"/>
      <w:bookmarkStart w:id="657" w:name="_Toc329206814"/>
      <w:bookmarkStart w:id="658" w:name="_Toc358379321"/>
      <w:bookmarkStart w:id="659" w:name="_Toc358379899"/>
      <w:bookmarkStart w:id="660" w:name="_Toc358380439"/>
      <w:r w:rsidRPr="00236418">
        <w:lastRenderedPageBreak/>
        <w:t>IV – État des flux de trésorerie pour l</w:t>
      </w:r>
      <w:r>
        <w:t>'</w:t>
      </w:r>
      <w:r w:rsidRPr="00236418">
        <w:t xml:space="preserve">exercice clos le 31 décembre </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236418">
        <w:t>20</w:t>
      </w:r>
      <w:bookmarkEnd w:id="649"/>
      <w:bookmarkEnd w:id="650"/>
      <w:bookmarkEnd w:id="651"/>
      <w:bookmarkEnd w:id="652"/>
      <w:r>
        <w:t>20</w:t>
      </w:r>
      <w:bookmarkEnd w:id="653"/>
      <w:bookmarkEnd w:id="654"/>
    </w:p>
    <w:tbl>
      <w:tblPr>
        <w:tblW w:w="4488" w:type="pct"/>
        <w:jc w:val="center"/>
        <w:tblLook w:val="04A0" w:firstRow="1" w:lastRow="0" w:firstColumn="1" w:lastColumn="0" w:noHBand="0" w:noVBand="1"/>
      </w:tblPr>
      <w:tblGrid>
        <w:gridCol w:w="5359"/>
        <w:gridCol w:w="1642"/>
        <w:gridCol w:w="1642"/>
      </w:tblGrid>
      <w:tr w:rsidR="00761B6C" w:rsidRPr="00F837C1" w14:paraId="527DDD2C" w14:textId="77777777" w:rsidTr="00F837C1">
        <w:trPr>
          <w:trHeight w:val="246"/>
          <w:jc w:val="center"/>
        </w:trPr>
        <w:tc>
          <w:tcPr>
            <w:tcW w:w="3099" w:type="pct"/>
            <w:tcBorders>
              <w:top w:val="single" w:sz="4" w:space="0" w:color="auto"/>
              <w:left w:val="single" w:sz="4" w:space="0" w:color="auto"/>
              <w:bottom w:val="single" w:sz="4" w:space="0" w:color="auto"/>
              <w:right w:val="nil"/>
            </w:tcBorders>
            <w:shd w:val="clear" w:color="auto" w:fill="auto"/>
            <w:noWrap/>
            <w:vAlign w:val="center"/>
            <w:hideMark/>
          </w:tcPr>
          <w:p w14:paraId="2F3E8A79" w14:textId="77777777" w:rsidR="00761B6C" w:rsidRPr="00F837C1" w:rsidRDefault="00761B6C" w:rsidP="001F5EBE">
            <w:pPr>
              <w:pStyle w:val="Tablehead"/>
              <w:spacing w:before="40" w:after="40"/>
              <w:jc w:val="left"/>
              <w:rPr>
                <w:rFonts w:asciiTheme="minorHAnsi" w:hAnsiTheme="minorHAnsi" w:cstheme="minorHAnsi"/>
                <w:color w:val="000000"/>
                <w:sz w:val="20"/>
                <w:lang w:eastAsia="zh-CN"/>
              </w:rPr>
            </w:pPr>
            <w:bookmarkStart w:id="661" w:name="_MON_1401702181"/>
            <w:bookmarkEnd w:id="661"/>
            <w:r w:rsidRPr="00F837C1">
              <w:rPr>
                <w:rFonts w:asciiTheme="minorHAnsi" w:hAnsiTheme="minorHAnsi" w:cstheme="minorHAnsi"/>
                <w:sz w:val="20"/>
              </w:rPr>
              <w:t>(en milliers CHF)</w:t>
            </w:r>
          </w:p>
        </w:tc>
        <w:tc>
          <w:tcPr>
            <w:tcW w:w="950" w:type="pct"/>
            <w:tcBorders>
              <w:top w:val="single" w:sz="4" w:space="0" w:color="auto"/>
              <w:left w:val="single" w:sz="4" w:space="0" w:color="auto"/>
              <w:bottom w:val="single" w:sz="4" w:space="0" w:color="auto"/>
              <w:right w:val="single" w:sz="4" w:space="0" w:color="auto"/>
            </w:tcBorders>
          </w:tcPr>
          <w:p w14:paraId="0D531E66" w14:textId="77777777" w:rsidR="00761B6C" w:rsidRPr="00F837C1" w:rsidRDefault="00761B6C" w:rsidP="001F5EBE">
            <w:pPr>
              <w:pStyle w:val="Tablehead"/>
              <w:spacing w:before="40" w:after="40"/>
              <w:rPr>
                <w:rFonts w:asciiTheme="minorHAnsi" w:hAnsiTheme="minorHAnsi" w:cstheme="minorHAnsi"/>
                <w:sz w:val="20"/>
              </w:rPr>
            </w:pPr>
            <w:r w:rsidRPr="00F837C1">
              <w:rPr>
                <w:rFonts w:asciiTheme="minorHAnsi" w:hAnsiTheme="minorHAnsi" w:cstheme="minorHAnsi"/>
                <w:sz w:val="20"/>
              </w:rPr>
              <w:t>31.12.2020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1EBBF" w14:textId="77777777" w:rsidR="00761B6C" w:rsidRPr="00F837C1" w:rsidRDefault="00761B6C" w:rsidP="001F5EBE">
            <w:pPr>
              <w:pStyle w:val="Tablehead"/>
              <w:spacing w:before="40" w:after="40"/>
              <w:rPr>
                <w:rFonts w:asciiTheme="minorHAnsi" w:hAnsiTheme="minorHAnsi" w:cstheme="minorHAnsi"/>
                <w:sz w:val="20"/>
              </w:rPr>
            </w:pPr>
            <w:r w:rsidRPr="00F837C1">
              <w:rPr>
                <w:rFonts w:asciiTheme="minorHAnsi" w:hAnsiTheme="minorHAnsi" w:cstheme="minorHAnsi"/>
                <w:sz w:val="20"/>
              </w:rPr>
              <w:t>31.12.2019</w:t>
            </w:r>
          </w:p>
        </w:tc>
      </w:tr>
      <w:tr w:rsidR="00761B6C" w:rsidRPr="00F837C1" w14:paraId="64C8B267"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419AB235"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Excédent (déficit) de l'exercice</w:t>
            </w:r>
          </w:p>
        </w:tc>
        <w:tc>
          <w:tcPr>
            <w:tcW w:w="950" w:type="pct"/>
            <w:tcBorders>
              <w:top w:val="nil"/>
              <w:left w:val="single" w:sz="4" w:space="0" w:color="auto"/>
              <w:bottom w:val="nil"/>
              <w:right w:val="single" w:sz="4" w:space="0" w:color="auto"/>
            </w:tcBorders>
            <w:shd w:val="clear" w:color="auto" w:fill="auto"/>
            <w:vAlign w:val="center"/>
          </w:tcPr>
          <w:p w14:paraId="66B37132"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–47 259</w:t>
            </w:r>
          </w:p>
        </w:tc>
        <w:tc>
          <w:tcPr>
            <w:tcW w:w="950" w:type="pct"/>
            <w:tcBorders>
              <w:top w:val="nil"/>
              <w:left w:val="single" w:sz="4" w:space="0" w:color="auto"/>
              <w:bottom w:val="nil"/>
              <w:right w:val="single" w:sz="4" w:space="0" w:color="auto"/>
            </w:tcBorders>
            <w:shd w:val="clear" w:color="auto" w:fill="auto"/>
            <w:noWrap/>
            <w:vAlign w:val="center"/>
          </w:tcPr>
          <w:p w14:paraId="0D0A721E"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–57 463</w:t>
            </w:r>
          </w:p>
        </w:tc>
      </w:tr>
      <w:tr w:rsidR="00761B6C" w:rsidRPr="00F837C1" w14:paraId="77BE068F"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0270FA87" w14:textId="77777777" w:rsidR="00761B6C" w:rsidRPr="00F837C1" w:rsidRDefault="00761B6C" w:rsidP="001F5EBE">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Mouvements non monétaires</w:t>
            </w:r>
            <w:r w:rsidRPr="00F837C1">
              <w:rPr>
                <w:rFonts w:asciiTheme="minorHAnsi" w:hAnsiTheme="minorHAnsi" w:cstheme="minorHAnsi"/>
                <w:sz w:val="20"/>
              </w:rPr>
              <w:t xml:space="preserve"> </w:t>
            </w:r>
          </w:p>
        </w:tc>
        <w:tc>
          <w:tcPr>
            <w:tcW w:w="950" w:type="pct"/>
            <w:tcBorders>
              <w:top w:val="nil"/>
              <w:left w:val="single" w:sz="4" w:space="0" w:color="auto"/>
              <w:bottom w:val="nil"/>
              <w:right w:val="single" w:sz="4" w:space="0" w:color="auto"/>
            </w:tcBorders>
            <w:shd w:val="clear" w:color="auto" w:fill="auto"/>
            <w:vAlign w:val="center"/>
          </w:tcPr>
          <w:p w14:paraId="4347D01B"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 </w:t>
            </w:r>
          </w:p>
        </w:tc>
        <w:tc>
          <w:tcPr>
            <w:tcW w:w="950" w:type="pct"/>
            <w:tcBorders>
              <w:top w:val="nil"/>
              <w:left w:val="single" w:sz="4" w:space="0" w:color="auto"/>
              <w:bottom w:val="nil"/>
              <w:right w:val="single" w:sz="4" w:space="0" w:color="auto"/>
            </w:tcBorders>
            <w:shd w:val="clear" w:color="auto" w:fill="auto"/>
            <w:noWrap/>
            <w:vAlign w:val="bottom"/>
          </w:tcPr>
          <w:p w14:paraId="35076518"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p>
        </w:tc>
      </w:tr>
      <w:tr w:rsidR="00761B6C" w:rsidRPr="00F837C1" w14:paraId="6D5EB588"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500E88AB"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Amortissements</w:t>
            </w:r>
          </w:p>
        </w:tc>
        <w:tc>
          <w:tcPr>
            <w:tcW w:w="950" w:type="pct"/>
            <w:tcBorders>
              <w:top w:val="nil"/>
              <w:left w:val="single" w:sz="4" w:space="0" w:color="auto"/>
              <w:bottom w:val="nil"/>
              <w:right w:val="single" w:sz="4" w:space="0" w:color="auto"/>
            </w:tcBorders>
            <w:shd w:val="clear" w:color="auto" w:fill="auto"/>
            <w:vAlign w:val="center"/>
          </w:tcPr>
          <w:p w14:paraId="589DF78A"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16 598</w:t>
            </w:r>
          </w:p>
        </w:tc>
        <w:tc>
          <w:tcPr>
            <w:tcW w:w="950" w:type="pct"/>
            <w:tcBorders>
              <w:top w:val="nil"/>
              <w:left w:val="single" w:sz="4" w:space="0" w:color="auto"/>
              <w:bottom w:val="nil"/>
              <w:right w:val="single" w:sz="4" w:space="0" w:color="auto"/>
            </w:tcBorders>
            <w:shd w:val="clear" w:color="auto" w:fill="auto"/>
            <w:noWrap/>
            <w:vAlign w:val="center"/>
          </w:tcPr>
          <w:p w14:paraId="3F2E46CB"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4 570</w:t>
            </w:r>
          </w:p>
        </w:tc>
      </w:tr>
      <w:tr w:rsidR="00761B6C" w:rsidRPr="00F837C1" w14:paraId="7EFC25C0"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65670FCD"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Provision ASHI</w:t>
            </w:r>
          </w:p>
        </w:tc>
        <w:tc>
          <w:tcPr>
            <w:tcW w:w="950" w:type="pct"/>
            <w:tcBorders>
              <w:top w:val="nil"/>
              <w:left w:val="single" w:sz="4" w:space="0" w:color="auto"/>
              <w:bottom w:val="nil"/>
              <w:right w:val="single" w:sz="4" w:space="0" w:color="auto"/>
            </w:tcBorders>
            <w:shd w:val="clear" w:color="auto" w:fill="auto"/>
            <w:vAlign w:val="center"/>
          </w:tcPr>
          <w:p w14:paraId="3DD60CCE"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22 789</w:t>
            </w:r>
          </w:p>
        </w:tc>
        <w:tc>
          <w:tcPr>
            <w:tcW w:w="950" w:type="pct"/>
            <w:tcBorders>
              <w:top w:val="nil"/>
              <w:left w:val="single" w:sz="4" w:space="0" w:color="auto"/>
              <w:bottom w:val="nil"/>
              <w:right w:val="single" w:sz="4" w:space="0" w:color="auto"/>
            </w:tcBorders>
            <w:shd w:val="clear" w:color="auto" w:fill="auto"/>
            <w:noWrap/>
            <w:vAlign w:val="center"/>
          </w:tcPr>
          <w:p w14:paraId="57B612CD"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71 694</w:t>
            </w:r>
          </w:p>
        </w:tc>
      </w:tr>
      <w:tr w:rsidR="00761B6C" w:rsidRPr="00F837C1" w14:paraId="30B59C81"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2A412A71"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Provisions pour rapatriement (LT)</w:t>
            </w:r>
          </w:p>
        </w:tc>
        <w:tc>
          <w:tcPr>
            <w:tcW w:w="950" w:type="pct"/>
            <w:tcBorders>
              <w:top w:val="nil"/>
              <w:left w:val="single" w:sz="4" w:space="0" w:color="auto"/>
              <w:bottom w:val="nil"/>
              <w:right w:val="single" w:sz="4" w:space="0" w:color="auto"/>
            </w:tcBorders>
            <w:shd w:val="clear" w:color="auto" w:fill="auto"/>
            <w:vAlign w:val="center"/>
          </w:tcPr>
          <w:p w14:paraId="2105F5E9"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–518</w:t>
            </w:r>
          </w:p>
        </w:tc>
        <w:tc>
          <w:tcPr>
            <w:tcW w:w="950" w:type="pct"/>
            <w:tcBorders>
              <w:top w:val="nil"/>
              <w:left w:val="single" w:sz="4" w:space="0" w:color="auto"/>
              <w:bottom w:val="nil"/>
              <w:right w:val="single" w:sz="4" w:space="0" w:color="auto"/>
            </w:tcBorders>
            <w:shd w:val="clear" w:color="auto" w:fill="auto"/>
            <w:noWrap/>
            <w:vAlign w:val="center"/>
          </w:tcPr>
          <w:p w14:paraId="7CB7C2B5"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color w:val="000000"/>
                <w:sz w:val="20"/>
                <w:lang w:eastAsia="zh-CN"/>
              </w:rPr>
              <w:t>1 717</w:t>
            </w:r>
          </w:p>
        </w:tc>
      </w:tr>
      <w:tr w:rsidR="00761B6C" w:rsidRPr="00F837C1" w14:paraId="0B517D8B"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4241D95B"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Provisions pour avantages du personnel (CT)</w:t>
            </w:r>
          </w:p>
        </w:tc>
        <w:tc>
          <w:tcPr>
            <w:tcW w:w="950" w:type="pct"/>
            <w:tcBorders>
              <w:top w:val="nil"/>
              <w:left w:val="single" w:sz="4" w:space="0" w:color="auto"/>
              <w:bottom w:val="nil"/>
              <w:right w:val="single" w:sz="4" w:space="0" w:color="auto"/>
            </w:tcBorders>
            <w:shd w:val="clear" w:color="auto" w:fill="auto"/>
            <w:vAlign w:val="center"/>
          </w:tcPr>
          <w:p w14:paraId="733C3F63"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–124</w:t>
            </w:r>
          </w:p>
        </w:tc>
        <w:tc>
          <w:tcPr>
            <w:tcW w:w="950" w:type="pct"/>
            <w:tcBorders>
              <w:top w:val="nil"/>
              <w:left w:val="single" w:sz="4" w:space="0" w:color="auto"/>
              <w:bottom w:val="nil"/>
              <w:right w:val="single" w:sz="4" w:space="0" w:color="auto"/>
            </w:tcBorders>
            <w:shd w:val="clear" w:color="auto" w:fill="auto"/>
            <w:noWrap/>
            <w:vAlign w:val="center"/>
          </w:tcPr>
          <w:p w14:paraId="6958B62B"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color w:val="000000"/>
                <w:sz w:val="20"/>
                <w:lang w:eastAsia="zh-CN"/>
              </w:rPr>
              <w:t>38</w:t>
            </w:r>
          </w:p>
        </w:tc>
      </w:tr>
      <w:tr w:rsidR="00761B6C" w:rsidRPr="00F837C1" w14:paraId="095B58EE"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504A02E1"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Provisions pour congé accumulé (LT)</w:t>
            </w:r>
          </w:p>
        </w:tc>
        <w:tc>
          <w:tcPr>
            <w:tcW w:w="950" w:type="pct"/>
            <w:tcBorders>
              <w:top w:val="nil"/>
              <w:left w:val="single" w:sz="4" w:space="0" w:color="auto"/>
              <w:bottom w:val="nil"/>
              <w:right w:val="single" w:sz="4" w:space="0" w:color="auto"/>
            </w:tcBorders>
            <w:shd w:val="clear" w:color="auto" w:fill="auto"/>
            <w:vAlign w:val="center"/>
          </w:tcPr>
          <w:p w14:paraId="425D5338"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2 571</w:t>
            </w:r>
          </w:p>
        </w:tc>
        <w:tc>
          <w:tcPr>
            <w:tcW w:w="950" w:type="pct"/>
            <w:tcBorders>
              <w:top w:val="nil"/>
              <w:left w:val="single" w:sz="4" w:space="0" w:color="auto"/>
              <w:bottom w:val="nil"/>
              <w:right w:val="single" w:sz="4" w:space="0" w:color="auto"/>
            </w:tcBorders>
            <w:shd w:val="clear" w:color="auto" w:fill="auto"/>
            <w:noWrap/>
            <w:vAlign w:val="center"/>
          </w:tcPr>
          <w:p w14:paraId="114E7140"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color w:val="000000"/>
                <w:sz w:val="20"/>
                <w:lang w:eastAsia="zh-CN"/>
              </w:rPr>
              <w:t>817</w:t>
            </w:r>
          </w:p>
        </w:tc>
      </w:tr>
      <w:tr w:rsidR="00761B6C" w:rsidRPr="00F837C1" w14:paraId="32803974"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106F4A2D"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Autres provisions</w:t>
            </w:r>
          </w:p>
        </w:tc>
        <w:tc>
          <w:tcPr>
            <w:tcW w:w="950" w:type="pct"/>
            <w:tcBorders>
              <w:top w:val="nil"/>
              <w:left w:val="single" w:sz="4" w:space="0" w:color="auto"/>
              <w:bottom w:val="nil"/>
              <w:right w:val="single" w:sz="4" w:space="0" w:color="auto"/>
            </w:tcBorders>
            <w:shd w:val="clear" w:color="auto" w:fill="auto"/>
            <w:vAlign w:val="center"/>
          </w:tcPr>
          <w:p w14:paraId="187D5E2B"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763</w:t>
            </w:r>
          </w:p>
        </w:tc>
        <w:tc>
          <w:tcPr>
            <w:tcW w:w="950" w:type="pct"/>
            <w:tcBorders>
              <w:top w:val="nil"/>
              <w:left w:val="single" w:sz="4" w:space="0" w:color="auto"/>
              <w:bottom w:val="nil"/>
              <w:right w:val="single" w:sz="4" w:space="0" w:color="auto"/>
            </w:tcBorders>
            <w:shd w:val="clear" w:color="auto" w:fill="auto"/>
            <w:noWrap/>
            <w:vAlign w:val="center"/>
          </w:tcPr>
          <w:p w14:paraId="1C92457B"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color w:val="000000"/>
                <w:sz w:val="20"/>
                <w:lang w:eastAsia="zh-CN"/>
              </w:rPr>
              <w:t>–2 087</w:t>
            </w:r>
          </w:p>
        </w:tc>
      </w:tr>
      <w:tr w:rsidR="00761B6C" w:rsidRPr="00F837C1" w14:paraId="6DFD1D09"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7C28F2B3"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Provisions pour créances douteuses</w:t>
            </w:r>
          </w:p>
        </w:tc>
        <w:tc>
          <w:tcPr>
            <w:tcW w:w="950" w:type="pct"/>
            <w:tcBorders>
              <w:top w:val="nil"/>
              <w:left w:val="single" w:sz="4" w:space="0" w:color="auto"/>
              <w:bottom w:val="nil"/>
              <w:right w:val="single" w:sz="4" w:space="0" w:color="auto"/>
            </w:tcBorders>
            <w:shd w:val="clear" w:color="auto" w:fill="auto"/>
            <w:vAlign w:val="center"/>
          </w:tcPr>
          <w:p w14:paraId="49F3BBE1"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348</w:t>
            </w:r>
          </w:p>
        </w:tc>
        <w:tc>
          <w:tcPr>
            <w:tcW w:w="950" w:type="pct"/>
            <w:tcBorders>
              <w:top w:val="nil"/>
              <w:left w:val="single" w:sz="4" w:space="0" w:color="auto"/>
              <w:bottom w:val="nil"/>
              <w:right w:val="single" w:sz="4" w:space="0" w:color="auto"/>
            </w:tcBorders>
            <w:shd w:val="clear" w:color="auto" w:fill="auto"/>
            <w:noWrap/>
            <w:vAlign w:val="center"/>
          </w:tcPr>
          <w:p w14:paraId="267B9483"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color w:val="000000"/>
                <w:sz w:val="20"/>
                <w:lang w:eastAsia="zh-CN"/>
              </w:rPr>
              <w:t>–6</w:t>
            </w:r>
          </w:p>
        </w:tc>
      </w:tr>
      <w:tr w:rsidR="00761B6C" w:rsidRPr="00F837C1" w14:paraId="513E9D06"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224FCBFF"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Dépréciations des stocks</w:t>
            </w:r>
          </w:p>
        </w:tc>
        <w:tc>
          <w:tcPr>
            <w:tcW w:w="950" w:type="pct"/>
            <w:tcBorders>
              <w:top w:val="nil"/>
              <w:left w:val="single" w:sz="4" w:space="0" w:color="auto"/>
              <w:bottom w:val="nil"/>
              <w:right w:val="single" w:sz="4" w:space="0" w:color="auto"/>
            </w:tcBorders>
            <w:shd w:val="clear" w:color="auto" w:fill="auto"/>
            <w:vAlign w:val="center"/>
          </w:tcPr>
          <w:p w14:paraId="6A51B480"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–67</w:t>
            </w:r>
          </w:p>
        </w:tc>
        <w:tc>
          <w:tcPr>
            <w:tcW w:w="950" w:type="pct"/>
            <w:tcBorders>
              <w:top w:val="nil"/>
              <w:left w:val="single" w:sz="4" w:space="0" w:color="auto"/>
              <w:bottom w:val="nil"/>
              <w:right w:val="single" w:sz="4" w:space="0" w:color="auto"/>
            </w:tcBorders>
            <w:shd w:val="clear" w:color="auto" w:fill="auto"/>
            <w:noWrap/>
            <w:vAlign w:val="center"/>
          </w:tcPr>
          <w:p w14:paraId="5B867B8C"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31</w:t>
            </w:r>
          </w:p>
        </w:tc>
      </w:tr>
      <w:tr w:rsidR="00761B6C" w:rsidRPr="00F837C1" w14:paraId="7397338D"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6A1ACFFC"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Pertes/gains sur cours non réalisés</w:t>
            </w:r>
          </w:p>
        </w:tc>
        <w:tc>
          <w:tcPr>
            <w:tcW w:w="950" w:type="pct"/>
            <w:tcBorders>
              <w:top w:val="nil"/>
              <w:left w:val="single" w:sz="4" w:space="0" w:color="auto"/>
              <w:bottom w:val="nil"/>
              <w:right w:val="single" w:sz="4" w:space="0" w:color="auto"/>
            </w:tcBorders>
            <w:shd w:val="clear" w:color="auto" w:fill="auto"/>
            <w:vAlign w:val="center"/>
          </w:tcPr>
          <w:p w14:paraId="21A9EA77"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12 399</w:t>
            </w:r>
          </w:p>
        </w:tc>
        <w:tc>
          <w:tcPr>
            <w:tcW w:w="950" w:type="pct"/>
            <w:tcBorders>
              <w:top w:val="nil"/>
              <w:left w:val="single" w:sz="4" w:space="0" w:color="auto"/>
              <w:bottom w:val="nil"/>
              <w:right w:val="single" w:sz="4" w:space="0" w:color="auto"/>
            </w:tcBorders>
            <w:shd w:val="clear" w:color="auto" w:fill="auto"/>
            <w:noWrap/>
            <w:vAlign w:val="center"/>
          </w:tcPr>
          <w:p w14:paraId="0E948AA2"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–7 926</w:t>
            </w:r>
          </w:p>
        </w:tc>
      </w:tr>
      <w:tr w:rsidR="00761B6C" w:rsidRPr="00F837C1" w14:paraId="665D07D0" w14:textId="77777777" w:rsidTr="00F837C1">
        <w:trPr>
          <w:trHeight w:val="330"/>
          <w:jc w:val="center"/>
        </w:trPr>
        <w:tc>
          <w:tcPr>
            <w:tcW w:w="3099" w:type="pct"/>
            <w:tcBorders>
              <w:top w:val="nil"/>
              <w:left w:val="single" w:sz="4" w:space="0" w:color="auto"/>
              <w:bottom w:val="nil"/>
              <w:right w:val="nil"/>
            </w:tcBorders>
            <w:shd w:val="clear" w:color="auto" w:fill="auto"/>
            <w:hideMark/>
          </w:tcPr>
          <w:p w14:paraId="0AA1AC1A"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Intérêts reçus</w:t>
            </w:r>
          </w:p>
        </w:tc>
        <w:tc>
          <w:tcPr>
            <w:tcW w:w="950" w:type="pct"/>
            <w:tcBorders>
              <w:top w:val="nil"/>
              <w:left w:val="single" w:sz="4" w:space="0" w:color="auto"/>
              <w:bottom w:val="single" w:sz="4" w:space="0" w:color="auto"/>
              <w:right w:val="single" w:sz="4" w:space="0" w:color="auto"/>
            </w:tcBorders>
            <w:shd w:val="clear" w:color="auto" w:fill="auto"/>
            <w:vAlign w:val="center"/>
          </w:tcPr>
          <w:p w14:paraId="775408EE"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–400</w:t>
            </w:r>
          </w:p>
        </w:tc>
        <w:tc>
          <w:tcPr>
            <w:tcW w:w="950" w:type="pct"/>
            <w:tcBorders>
              <w:top w:val="nil"/>
              <w:left w:val="single" w:sz="4" w:space="0" w:color="auto"/>
              <w:bottom w:val="nil"/>
              <w:right w:val="single" w:sz="4" w:space="0" w:color="auto"/>
            </w:tcBorders>
            <w:shd w:val="clear" w:color="auto" w:fill="auto"/>
            <w:noWrap/>
            <w:vAlign w:val="center"/>
          </w:tcPr>
          <w:p w14:paraId="6DE78819"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–926</w:t>
            </w:r>
          </w:p>
        </w:tc>
      </w:tr>
      <w:tr w:rsidR="00761B6C" w:rsidRPr="00F837C1" w14:paraId="363AB985" w14:textId="77777777" w:rsidTr="00F837C1">
        <w:trPr>
          <w:trHeight w:val="285"/>
          <w:jc w:val="center"/>
        </w:trPr>
        <w:tc>
          <w:tcPr>
            <w:tcW w:w="3099" w:type="pct"/>
            <w:tcBorders>
              <w:top w:val="single" w:sz="4" w:space="0" w:color="auto"/>
              <w:left w:val="single" w:sz="4" w:space="0" w:color="auto"/>
              <w:bottom w:val="single" w:sz="4" w:space="0" w:color="auto"/>
              <w:right w:val="nil"/>
            </w:tcBorders>
            <w:shd w:val="clear" w:color="auto" w:fill="auto"/>
            <w:hideMark/>
          </w:tcPr>
          <w:p w14:paraId="1A01A396" w14:textId="77777777" w:rsidR="00761B6C" w:rsidRPr="00F837C1" w:rsidRDefault="00761B6C" w:rsidP="001F5EBE">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Excédent (déficit) retraité des mouvements non monétaires</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BED6FFB" w14:textId="77777777" w:rsidR="00761B6C" w:rsidRPr="00F837C1" w:rsidRDefault="00761B6C" w:rsidP="001F5EBE">
            <w:pPr>
              <w:pStyle w:val="Tabletext"/>
              <w:spacing w:before="20" w:after="20"/>
              <w:jc w:val="right"/>
              <w:rPr>
                <w:rFonts w:asciiTheme="minorHAnsi" w:hAnsiTheme="minorHAnsi"/>
                <w:b/>
                <w:bCs/>
                <w:sz w:val="20"/>
                <w:lang w:eastAsia="zh-CN"/>
              </w:rPr>
            </w:pPr>
            <w:r w:rsidRPr="00F837C1">
              <w:rPr>
                <w:rFonts w:asciiTheme="minorHAnsi" w:hAnsiTheme="minorHAnsi" w:cs="Calibri"/>
                <w:b/>
                <w:bCs/>
                <w:sz w:val="20"/>
              </w:rPr>
              <w:t>7 099</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EEDDCC1"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theme="minorHAnsi"/>
                <w:b/>
                <w:bCs/>
                <w:sz w:val="20"/>
                <w:lang w:eastAsia="zh-CN"/>
              </w:rPr>
              <w:t>10 457</w:t>
            </w:r>
          </w:p>
        </w:tc>
      </w:tr>
      <w:tr w:rsidR="00761B6C" w:rsidRPr="00F837C1" w14:paraId="39CDBB2C" w14:textId="77777777" w:rsidTr="00F837C1">
        <w:trPr>
          <w:trHeight w:val="300"/>
          <w:jc w:val="center"/>
        </w:trPr>
        <w:tc>
          <w:tcPr>
            <w:tcW w:w="3099" w:type="pct"/>
            <w:tcBorders>
              <w:top w:val="nil"/>
              <w:left w:val="single" w:sz="4" w:space="0" w:color="auto"/>
              <w:bottom w:val="nil"/>
              <w:right w:val="nil"/>
            </w:tcBorders>
            <w:shd w:val="clear" w:color="auto" w:fill="auto"/>
            <w:hideMark/>
          </w:tcPr>
          <w:p w14:paraId="05EC0241"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stocks</w:t>
            </w:r>
          </w:p>
        </w:tc>
        <w:tc>
          <w:tcPr>
            <w:tcW w:w="950" w:type="pct"/>
            <w:tcBorders>
              <w:top w:val="single" w:sz="4" w:space="0" w:color="auto"/>
              <w:left w:val="single" w:sz="4" w:space="0" w:color="auto"/>
              <w:right w:val="single" w:sz="4" w:space="0" w:color="auto"/>
            </w:tcBorders>
            <w:shd w:val="clear" w:color="auto" w:fill="auto"/>
            <w:vAlign w:val="center"/>
          </w:tcPr>
          <w:p w14:paraId="4A1F3069"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147</w:t>
            </w:r>
          </w:p>
        </w:tc>
        <w:tc>
          <w:tcPr>
            <w:tcW w:w="950" w:type="pct"/>
            <w:tcBorders>
              <w:top w:val="nil"/>
              <w:left w:val="single" w:sz="4" w:space="0" w:color="auto"/>
              <w:bottom w:val="nil"/>
              <w:right w:val="single" w:sz="4" w:space="0" w:color="auto"/>
            </w:tcBorders>
            <w:shd w:val="clear" w:color="auto" w:fill="auto"/>
            <w:noWrap/>
            <w:vAlign w:val="center"/>
          </w:tcPr>
          <w:p w14:paraId="2990F9D9"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–35</w:t>
            </w:r>
          </w:p>
        </w:tc>
      </w:tr>
      <w:tr w:rsidR="00761B6C" w:rsidRPr="00F837C1" w14:paraId="15953876"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24924973"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créances à court terme</w:t>
            </w:r>
          </w:p>
        </w:tc>
        <w:tc>
          <w:tcPr>
            <w:tcW w:w="950" w:type="pct"/>
            <w:tcBorders>
              <w:left w:val="single" w:sz="4" w:space="0" w:color="auto"/>
              <w:bottom w:val="nil"/>
              <w:right w:val="single" w:sz="4" w:space="0" w:color="auto"/>
            </w:tcBorders>
            <w:shd w:val="clear" w:color="auto" w:fill="auto"/>
            <w:vAlign w:val="center"/>
          </w:tcPr>
          <w:p w14:paraId="1B1878AD"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–3 348</w:t>
            </w:r>
          </w:p>
        </w:tc>
        <w:tc>
          <w:tcPr>
            <w:tcW w:w="950" w:type="pct"/>
            <w:tcBorders>
              <w:top w:val="nil"/>
              <w:left w:val="single" w:sz="4" w:space="0" w:color="auto"/>
              <w:bottom w:val="nil"/>
              <w:right w:val="single" w:sz="4" w:space="0" w:color="auto"/>
            </w:tcBorders>
            <w:shd w:val="clear" w:color="auto" w:fill="auto"/>
            <w:noWrap/>
            <w:vAlign w:val="center"/>
          </w:tcPr>
          <w:p w14:paraId="14DA4BA8"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color w:val="000000"/>
                <w:sz w:val="20"/>
                <w:lang w:eastAsia="zh-CN"/>
              </w:rPr>
              <w:t>–4 018</w:t>
            </w:r>
          </w:p>
        </w:tc>
      </w:tr>
      <w:tr w:rsidR="00761B6C" w:rsidRPr="00F837C1" w14:paraId="3F387BB5"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18A3C4D6"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autres créances à court terme</w:t>
            </w:r>
          </w:p>
        </w:tc>
        <w:tc>
          <w:tcPr>
            <w:tcW w:w="950" w:type="pct"/>
            <w:tcBorders>
              <w:top w:val="nil"/>
              <w:left w:val="single" w:sz="4" w:space="0" w:color="auto"/>
              <w:bottom w:val="nil"/>
              <w:right w:val="single" w:sz="4" w:space="0" w:color="auto"/>
            </w:tcBorders>
            <w:shd w:val="clear" w:color="auto" w:fill="auto"/>
            <w:vAlign w:val="center"/>
          </w:tcPr>
          <w:p w14:paraId="5DC30189"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–19 928</w:t>
            </w:r>
          </w:p>
        </w:tc>
        <w:tc>
          <w:tcPr>
            <w:tcW w:w="950" w:type="pct"/>
            <w:tcBorders>
              <w:top w:val="nil"/>
              <w:left w:val="single" w:sz="4" w:space="0" w:color="auto"/>
              <w:bottom w:val="nil"/>
              <w:right w:val="single" w:sz="4" w:space="0" w:color="auto"/>
            </w:tcBorders>
            <w:shd w:val="clear" w:color="auto" w:fill="auto"/>
            <w:noWrap/>
            <w:vAlign w:val="center"/>
          </w:tcPr>
          <w:p w14:paraId="1D1EBCAA"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color w:val="000000"/>
                <w:sz w:val="20"/>
                <w:lang w:eastAsia="zh-CN"/>
              </w:rPr>
              <w:t>–821</w:t>
            </w:r>
          </w:p>
        </w:tc>
      </w:tr>
      <w:tr w:rsidR="00761B6C" w:rsidRPr="00F837C1" w14:paraId="3677EF9A"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74EEA033"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fournisseurs</w:t>
            </w:r>
          </w:p>
        </w:tc>
        <w:tc>
          <w:tcPr>
            <w:tcW w:w="950" w:type="pct"/>
            <w:tcBorders>
              <w:top w:val="nil"/>
              <w:left w:val="single" w:sz="4" w:space="0" w:color="auto"/>
              <w:bottom w:val="nil"/>
              <w:right w:val="single" w:sz="4" w:space="0" w:color="auto"/>
            </w:tcBorders>
            <w:shd w:val="clear" w:color="auto" w:fill="auto"/>
            <w:vAlign w:val="center"/>
          </w:tcPr>
          <w:p w14:paraId="0184AF61"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–2 493</w:t>
            </w:r>
          </w:p>
        </w:tc>
        <w:tc>
          <w:tcPr>
            <w:tcW w:w="950" w:type="pct"/>
            <w:tcBorders>
              <w:top w:val="nil"/>
              <w:left w:val="single" w:sz="4" w:space="0" w:color="auto"/>
              <w:bottom w:val="nil"/>
              <w:right w:val="single" w:sz="4" w:space="0" w:color="auto"/>
            </w:tcBorders>
            <w:shd w:val="clear" w:color="auto" w:fill="auto"/>
            <w:noWrap/>
            <w:vAlign w:val="center"/>
          </w:tcPr>
          <w:p w14:paraId="5A48D09D"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–397</w:t>
            </w:r>
          </w:p>
        </w:tc>
      </w:tr>
      <w:tr w:rsidR="00761B6C" w:rsidRPr="00F837C1" w14:paraId="6E17B752"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322FC0B6"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produits différés</w:t>
            </w:r>
          </w:p>
        </w:tc>
        <w:tc>
          <w:tcPr>
            <w:tcW w:w="950" w:type="pct"/>
            <w:tcBorders>
              <w:top w:val="nil"/>
              <w:left w:val="single" w:sz="4" w:space="0" w:color="auto"/>
              <w:bottom w:val="nil"/>
              <w:right w:val="single" w:sz="4" w:space="0" w:color="auto"/>
            </w:tcBorders>
            <w:shd w:val="clear" w:color="auto" w:fill="auto"/>
            <w:vAlign w:val="center"/>
          </w:tcPr>
          <w:p w14:paraId="6D00D0D1"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–3 076</w:t>
            </w:r>
          </w:p>
        </w:tc>
        <w:tc>
          <w:tcPr>
            <w:tcW w:w="950" w:type="pct"/>
            <w:tcBorders>
              <w:top w:val="nil"/>
              <w:left w:val="single" w:sz="4" w:space="0" w:color="auto"/>
              <w:bottom w:val="nil"/>
              <w:right w:val="single" w:sz="4" w:space="0" w:color="auto"/>
            </w:tcBorders>
            <w:shd w:val="clear" w:color="auto" w:fill="auto"/>
            <w:noWrap/>
            <w:vAlign w:val="center"/>
          </w:tcPr>
          <w:p w14:paraId="5357E5CC"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–631</w:t>
            </w:r>
          </w:p>
        </w:tc>
      </w:tr>
      <w:tr w:rsidR="00761B6C" w:rsidRPr="00F837C1" w14:paraId="5B562BC0"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1EE0BA6E"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autres dettes</w:t>
            </w:r>
          </w:p>
        </w:tc>
        <w:tc>
          <w:tcPr>
            <w:tcW w:w="950" w:type="pct"/>
            <w:tcBorders>
              <w:top w:val="nil"/>
              <w:left w:val="single" w:sz="4" w:space="0" w:color="auto"/>
              <w:bottom w:val="nil"/>
              <w:right w:val="single" w:sz="4" w:space="0" w:color="auto"/>
            </w:tcBorders>
            <w:shd w:val="clear" w:color="auto" w:fill="auto"/>
            <w:vAlign w:val="center"/>
          </w:tcPr>
          <w:p w14:paraId="2E5CC855"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–19 592</w:t>
            </w:r>
          </w:p>
        </w:tc>
        <w:tc>
          <w:tcPr>
            <w:tcW w:w="950" w:type="pct"/>
            <w:tcBorders>
              <w:top w:val="nil"/>
              <w:left w:val="single" w:sz="4" w:space="0" w:color="auto"/>
              <w:bottom w:val="nil"/>
              <w:right w:val="single" w:sz="4" w:space="0" w:color="auto"/>
            </w:tcBorders>
            <w:shd w:val="clear" w:color="auto" w:fill="auto"/>
            <w:noWrap/>
            <w:vAlign w:val="center"/>
          </w:tcPr>
          <w:p w14:paraId="387E2B76"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color w:val="000000"/>
                <w:sz w:val="20"/>
                <w:lang w:eastAsia="zh-CN"/>
              </w:rPr>
              <w:t>2 878</w:t>
            </w:r>
          </w:p>
        </w:tc>
      </w:tr>
      <w:tr w:rsidR="00761B6C" w:rsidRPr="00F837C1" w14:paraId="0AB1FA66" w14:textId="77777777" w:rsidTr="00F837C1">
        <w:trPr>
          <w:trHeight w:val="285"/>
          <w:jc w:val="center"/>
        </w:trPr>
        <w:tc>
          <w:tcPr>
            <w:tcW w:w="3099" w:type="pct"/>
            <w:tcBorders>
              <w:top w:val="nil"/>
              <w:left w:val="single" w:sz="4" w:space="0" w:color="auto"/>
              <w:bottom w:val="nil"/>
              <w:right w:val="nil"/>
            </w:tcBorders>
            <w:shd w:val="clear" w:color="auto" w:fill="auto"/>
            <w:hideMark/>
          </w:tcPr>
          <w:p w14:paraId="13D95572"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Utilisation de provisions pour les avantages du personnel (CT)</w:t>
            </w:r>
          </w:p>
        </w:tc>
        <w:tc>
          <w:tcPr>
            <w:tcW w:w="950" w:type="pct"/>
            <w:tcBorders>
              <w:top w:val="nil"/>
              <w:left w:val="single" w:sz="4" w:space="0" w:color="auto"/>
              <w:bottom w:val="nil"/>
              <w:right w:val="single" w:sz="4" w:space="0" w:color="auto"/>
            </w:tcBorders>
            <w:shd w:val="clear" w:color="auto" w:fill="auto"/>
            <w:vAlign w:val="center"/>
          </w:tcPr>
          <w:p w14:paraId="13AFB116"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–44</w:t>
            </w:r>
          </w:p>
        </w:tc>
        <w:tc>
          <w:tcPr>
            <w:tcW w:w="950" w:type="pct"/>
            <w:tcBorders>
              <w:top w:val="nil"/>
              <w:left w:val="single" w:sz="4" w:space="0" w:color="auto"/>
              <w:bottom w:val="nil"/>
              <w:right w:val="single" w:sz="4" w:space="0" w:color="auto"/>
            </w:tcBorders>
            <w:shd w:val="clear" w:color="auto" w:fill="auto"/>
            <w:noWrap/>
            <w:vAlign w:val="center"/>
          </w:tcPr>
          <w:p w14:paraId="56295515"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color w:val="000000"/>
                <w:sz w:val="20"/>
                <w:lang w:eastAsia="zh-CN"/>
              </w:rPr>
              <w:t>–46</w:t>
            </w:r>
          </w:p>
        </w:tc>
      </w:tr>
      <w:tr w:rsidR="00761B6C" w:rsidRPr="00F837C1" w14:paraId="6D3FEE7D" w14:textId="77777777" w:rsidTr="00F837C1">
        <w:trPr>
          <w:trHeight w:val="285"/>
          <w:jc w:val="center"/>
        </w:trPr>
        <w:tc>
          <w:tcPr>
            <w:tcW w:w="3099" w:type="pct"/>
            <w:tcBorders>
              <w:top w:val="nil"/>
              <w:left w:val="single" w:sz="4" w:space="0" w:color="auto"/>
              <w:bottom w:val="nil"/>
              <w:right w:val="nil"/>
            </w:tcBorders>
            <w:shd w:val="clear" w:color="auto" w:fill="auto"/>
            <w:hideMark/>
          </w:tcPr>
          <w:p w14:paraId="68DFC084"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Utilisation de provisions pour le rapatriement (LT)</w:t>
            </w:r>
          </w:p>
        </w:tc>
        <w:tc>
          <w:tcPr>
            <w:tcW w:w="950" w:type="pct"/>
            <w:tcBorders>
              <w:top w:val="nil"/>
              <w:left w:val="single" w:sz="4" w:space="0" w:color="auto"/>
              <w:bottom w:val="nil"/>
              <w:right w:val="single" w:sz="4" w:space="0" w:color="auto"/>
            </w:tcBorders>
            <w:shd w:val="clear" w:color="auto" w:fill="auto"/>
            <w:vAlign w:val="center"/>
          </w:tcPr>
          <w:p w14:paraId="6AE98142"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–265</w:t>
            </w:r>
          </w:p>
        </w:tc>
        <w:tc>
          <w:tcPr>
            <w:tcW w:w="950" w:type="pct"/>
            <w:tcBorders>
              <w:top w:val="nil"/>
              <w:left w:val="single" w:sz="4" w:space="0" w:color="auto"/>
              <w:bottom w:val="nil"/>
              <w:right w:val="single" w:sz="4" w:space="0" w:color="auto"/>
            </w:tcBorders>
            <w:shd w:val="clear" w:color="auto" w:fill="auto"/>
            <w:noWrap/>
            <w:vAlign w:val="center"/>
          </w:tcPr>
          <w:p w14:paraId="1B10C41B"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color w:val="000000"/>
                <w:sz w:val="20"/>
                <w:lang w:eastAsia="zh-CN"/>
              </w:rPr>
              <w:t>–558</w:t>
            </w:r>
          </w:p>
        </w:tc>
      </w:tr>
      <w:tr w:rsidR="00761B6C" w:rsidRPr="00F837C1" w14:paraId="26634877" w14:textId="77777777" w:rsidTr="00F837C1">
        <w:trPr>
          <w:trHeight w:val="285"/>
          <w:jc w:val="center"/>
        </w:trPr>
        <w:tc>
          <w:tcPr>
            <w:tcW w:w="3099" w:type="pct"/>
            <w:tcBorders>
              <w:top w:val="nil"/>
              <w:left w:val="single" w:sz="4" w:space="0" w:color="auto"/>
              <w:bottom w:val="nil"/>
              <w:right w:val="nil"/>
            </w:tcBorders>
            <w:shd w:val="clear" w:color="auto" w:fill="auto"/>
            <w:hideMark/>
          </w:tcPr>
          <w:p w14:paraId="48AD1178"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Utilisation de provisions pour les congés accumulés (LT)</w:t>
            </w:r>
          </w:p>
        </w:tc>
        <w:tc>
          <w:tcPr>
            <w:tcW w:w="950" w:type="pct"/>
            <w:tcBorders>
              <w:top w:val="nil"/>
              <w:left w:val="single" w:sz="4" w:space="0" w:color="auto"/>
              <w:bottom w:val="nil"/>
              <w:right w:val="single" w:sz="4" w:space="0" w:color="auto"/>
            </w:tcBorders>
            <w:shd w:val="clear" w:color="auto" w:fill="auto"/>
            <w:vAlign w:val="center"/>
          </w:tcPr>
          <w:p w14:paraId="3283FD57"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–597</w:t>
            </w:r>
          </w:p>
        </w:tc>
        <w:tc>
          <w:tcPr>
            <w:tcW w:w="950" w:type="pct"/>
            <w:tcBorders>
              <w:top w:val="nil"/>
              <w:left w:val="single" w:sz="4" w:space="0" w:color="auto"/>
              <w:bottom w:val="nil"/>
              <w:right w:val="single" w:sz="4" w:space="0" w:color="auto"/>
            </w:tcBorders>
            <w:shd w:val="clear" w:color="auto" w:fill="auto"/>
            <w:noWrap/>
            <w:vAlign w:val="center"/>
          </w:tcPr>
          <w:p w14:paraId="0C9AB6CB"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color w:val="000000"/>
                <w:sz w:val="20"/>
                <w:lang w:eastAsia="zh-CN"/>
              </w:rPr>
              <w:t>–188</w:t>
            </w:r>
          </w:p>
        </w:tc>
      </w:tr>
      <w:tr w:rsidR="00761B6C" w:rsidRPr="00F837C1" w14:paraId="62D96A95"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49DFB1FB"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 xml:space="preserve">Augmentation (diminution) </w:t>
            </w:r>
            <w:r w:rsidRPr="00F837C1">
              <w:rPr>
                <w:rFonts w:asciiTheme="minorHAnsi" w:hAnsiTheme="minorHAnsi" w:cstheme="minorHAnsi"/>
                <w:sz w:val="20"/>
                <w:lang w:eastAsia="zh-CN"/>
              </w:rPr>
              <w:sym w:font="Symbol" w:char="F02D"/>
            </w:r>
            <w:r w:rsidRPr="00F837C1">
              <w:rPr>
                <w:rFonts w:asciiTheme="minorHAnsi" w:hAnsiTheme="minorHAnsi" w:cstheme="minorHAnsi"/>
                <w:sz w:val="20"/>
                <w:lang w:eastAsia="zh-CN"/>
              </w:rPr>
              <w:t xml:space="preserve"> Autres provisions</w:t>
            </w:r>
          </w:p>
        </w:tc>
        <w:tc>
          <w:tcPr>
            <w:tcW w:w="950" w:type="pct"/>
            <w:tcBorders>
              <w:top w:val="nil"/>
              <w:left w:val="single" w:sz="4" w:space="0" w:color="auto"/>
              <w:bottom w:val="nil"/>
              <w:right w:val="single" w:sz="4" w:space="0" w:color="auto"/>
            </w:tcBorders>
            <w:shd w:val="clear" w:color="auto" w:fill="auto"/>
            <w:vAlign w:val="center"/>
          </w:tcPr>
          <w:p w14:paraId="25BBBF3B"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–386</w:t>
            </w:r>
          </w:p>
        </w:tc>
        <w:tc>
          <w:tcPr>
            <w:tcW w:w="950" w:type="pct"/>
            <w:tcBorders>
              <w:top w:val="nil"/>
              <w:left w:val="single" w:sz="4" w:space="0" w:color="auto"/>
              <w:bottom w:val="nil"/>
              <w:right w:val="single" w:sz="4" w:space="0" w:color="auto"/>
            </w:tcBorders>
            <w:shd w:val="clear" w:color="auto" w:fill="auto"/>
            <w:noWrap/>
            <w:vAlign w:val="bottom"/>
          </w:tcPr>
          <w:p w14:paraId="2EA3F421"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F837C1">
              <w:rPr>
                <w:rFonts w:asciiTheme="minorHAnsi" w:hAnsiTheme="minorHAnsi" w:cstheme="minorHAnsi"/>
                <w:sz w:val="20"/>
                <w:lang w:eastAsia="zh-CN"/>
              </w:rPr>
              <w:t>–4 018</w:t>
            </w:r>
          </w:p>
        </w:tc>
      </w:tr>
      <w:tr w:rsidR="00761B6C" w:rsidRPr="00F837C1" w14:paraId="445C02F2"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49DAB2BD"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fonds de tiers</w:t>
            </w:r>
          </w:p>
        </w:tc>
        <w:tc>
          <w:tcPr>
            <w:tcW w:w="950" w:type="pct"/>
            <w:tcBorders>
              <w:top w:val="nil"/>
              <w:left w:val="single" w:sz="4" w:space="0" w:color="auto"/>
              <w:bottom w:val="nil"/>
              <w:right w:val="single" w:sz="4" w:space="0" w:color="auto"/>
            </w:tcBorders>
            <w:shd w:val="clear" w:color="auto" w:fill="auto"/>
            <w:vAlign w:val="center"/>
          </w:tcPr>
          <w:p w14:paraId="6607E9FB"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4 458</w:t>
            </w:r>
          </w:p>
        </w:tc>
        <w:tc>
          <w:tcPr>
            <w:tcW w:w="950" w:type="pct"/>
            <w:tcBorders>
              <w:top w:val="nil"/>
              <w:left w:val="single" w:sz="4" w:space="0" w:color="auto"/>
              <w:bottom w:val="nil"/>
              <w:right w:val="single" w:sz="4" w:space="0" w:color="auto"/>
            </w:tcBorders>
            <w:shd w:val="clear" w:color="auto" w:fill="auto"/>
            <w:noWrap/>
            <w:vAlign w:val="center"/>
          </w:tcPr>
          <w:p w14:paraId="58A81C8C"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color w:val="000000"/>
                <w:sz w:val="20"/>
                <w:lang w:eastAsia="zh-CN"/>
              </w:rPr>
              <w:t>4 500</w:t>
            </w:r>
          </w:p>
        </w:tc>
      </w:tr>
      <w:tr w:rsidR="00761B6C" w:rsidRPr="00F837C1" w14:paraId="727222E7"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18E9E0D2"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Variation des fonds propres</w:t>
            </w:r>
          </w:p>
        </w:tc>
        <w:tc>
          <w:tcPr>
            <w:tcW w:w="950" w:type="pct"/>
            <w:tcBorders>
              <w:top w:val="nil"/>
              <w:left w:val="single" w:sz="4" w:space="0" w:color="auto"/>
              <w:bottom w:val="nil"/>
              <w:right w:val="single" w:sz="4" w:space="0" w:color="auto"/>
            </w:tcBorders>
            <w:shd w:val="clear" w:color="auto" w:fill="auto"/>
            <w:vAlign w:val="center"/>
          </w:tcPr>
          <w:p w14:paraId="5F62A923"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–15 877</w:t>
            </w:r>
          </w:p>
        </w:tc>
        <w:tc>
          <w:tcPr>
            <w:tcW w:w="950" w:type="pct"/>
            <w:tcBorders>
              <w:top w:val="nil"/>
              <w:left w:val="single" w:sz="4" w:space="0" w:color="auto"/>
              <w:bottom w:val="nil"/>
              <w:right w:val="single" w:sz="4" w:space="0" w:color="auto"/>
            </w:tcBorders>
            <w:shd w:val="clear" w:color="auto" w:fill="auto"/>
            <w:noWrap/>
            <w:vAlign w:val="center"/>
          </w:tcPr>
          <w:p w14:paraId="66FF7D2D"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–4 117</w:t>
            </w:r>
          </w:p>
        </w:tc>
      </w:tr>
      <w:tr w:rsidR="00761B6C" w:rsidRPr="00F837C1" w14:paraId="529C2AEF" w14:textId="77777777" w:rsidTr="00F837C1">
        <w:trPr>
          <w:trHeight w:val="255"/>
          <w:jc w:val="center"/>
        </w:trPr>
        <w:tc>
          <w:tcPr>
            <w:tcW w:w="3099" w:type="pct"/>
            <w:tcBorders>
              <w:top w:val="single" w:sz="4" w:space="0" w:color="auto"/>
              <w:left w:val="single" w:sz="4" w:space="0" w:color="auto"/>
              <w:bottom w:val="single" w:sz="4" w:space="0" w:color="auto"/>
              <w:right w:val="nil"/>
            </w:tcBorders>
            <w:shd w:val="clear" w:color="auto" w:fill="auto"/>
            <w:hideMark/>
          </w:tcPr>
          <w:p w14:paraId="1FB1E5EA" w14:textId="77777777" w:rsidR="00761B6C" w:rsidRPr="00F837C1" w:rsidRDefault="00761B6C" w:rsidP="001F5EBE">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Flux de trésorerie provenant des activités opérationnelles</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6CE0E5D" w14:textId="77777777" w:rsidR="00761B6C" w:rsidRPr="00F837C1" w:rsidRDefault="00761B6C" w:rsidP="001F5EBE">
            <w:pPr>
              <w:pStyle w:val="Tabletext"/>
              <w:spacing w:before="20" w:after="20"/>
              <w:jc w:val="right"/>
              <w:rPr>
                <w:rFonts w:asciiTheme="minorHAnsi" w:hAnsiTheme="minorHAnsi"/>
                <w:b/>
                <w:bCs/>
                <w:sz w:val="20"/>
                <w:lang w:eastAsia="zh-CN"/>
              </w:rPr>
            </w:pPr>
            <w:r w:rsidRPr="00F837C1">
              <w:rPr>
                <w:rFonts w:asciiTheme="minorHAnsi" w:hAnsiTheme="minorHAnsi" w:cs="Calibri"/>
                <w:b/>
                <w:bCs/>
                <w:sz w:val="20"/>
              </w:rPr>
              <w:t>–21 146</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A09BCC9"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theme="minorHAnsi"/>
                <w:b/>
                <w:bCs/>
                <w:sz w:val="20"/>
                <w:lang w:eastAsia="zh-CN"/>
              </w:rPr>
              <w:t>–7 452</w:t>
            </w:r>
          </w:p>
        </w:tc>
      </w:tr>
      <w:tr w:rsidR="00761B6C" w:rsidRPr="00F837C1" w14:paraId="25B9F4A3" w14:textId="77777777" w:rsidTr="00F837C1">
        <w:trPr>
          <w:trHeight w:val="285"/>
          <w:jc w:val="center"/>
        </w:trPr>
        <w:tc>
          <w:tcPr>
            <w:tcW w:w="3099" w:type="pct"/>
            <w:tcBorders>
              <w:top w:val="nil"/>
              <w:left w:val="single" w:sz="4" w:space="0" w:color="auto"/>
              <w:bottom w:val="nil"/>
              <w:right w:val="nil"/>
            </w:tcBorders>
            <w:shd w:val="clear" w:color="auto" w:fill="auto"/>
            <w:hideMark/>
          </w:tcPr>
          <w:p w14:paraId="4C27EA57" w14:textId="77777777" w:rsidR="00761B6C" w:rsidRPr="00F837C1" w:rsidRDefault="00761B6C" w:rsidP="001F5EBE">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Flux de trésorerie nets provenant des activités d'investissement</w:t>
            </w:r>
          </w:p>
        </w:tc>
        <w:tc>
          <w:tcPr>
            <w:tcW w:w="950" w:type="pct"/>
            <w:tcBorders>
              <w:left w:val="single" w:sz="4" w:space="0" w:color="auto"/>
              <w:bottom w:val="nil"/>
              <w:right w:val="single" w:sz="4" w:space="0" w:color="auto"/>
            </w:tcBorders>
            <w:shd w:val="clear" w:color="auto" w:fill="auto"/>
            <w:vAlign w:val="center"/>
          </w:tcPr>
          <w:p w14:paraId="3255EB71"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 </w:t>
            </w:r>
          </w:p>
        </w:tc>
        <w:tc>
          <w:tcPr>
            <w:tcW w:w="950" w:type="pct"/>
            <w:tcBorders>
              <w:top w:val="nil"/>
              <w:left w:val="single" w:sz="4" w:space="0" w:color="auto"/>
              <w:bottom w:val="nil"/>
              <w:right w:val="single" w:sz="4" w:space="0" w:color="auto"/>
            </w:tcBorders>
            <w:shd w:val="clear" w:color="auto" w:fill="auto"/>
            <w:noWrap/>
            <w:vAlign w:val="bottom"/>
          </w:tcPr>
          <w:p w14:paraId="25360DBE"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p>
        </w:tc>
      </w:tr>
      <w:tr w:rsidR="00761B6C" w:rsidRPr="00F837C1" w14:paraId="63591CE2" w14:textId="77777777" w:rsidTr="00F837C1">
        <w:trPr>
          <w:trHeight w:val="285"/>
          <w:jc w:val="center"/>
        </w:trPr>
        <w:tc>
          <w:tcPr>
            <w:tcW w:w="3099" w:type="pct"/>
            <w:tcBorders>
              <w:top w:val="nil"/>
              <w:left w:val="single" w:sz="4" w:space="0" w:color="auto"/>
              <w:bottom w:val="nil"/>
              <w:right w:val="nil"/>
            </w:tcBorders>
            <w:shd w:val="clear" w:color="auto" w:fill="auto"/>
            <w:hideMark/>
          </w:tcPr>
          <w:p w14:paraId="69EAD70C"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(Augmentation)/diminution des placements</w:t>
            </w:r>
          </w:p>
        </w:tc>
        <w:tc>
          <w:tcPr>
            <w:tcW w:w="950" w:type="pct"/>
            <w:tcBorders>
              <w:top w:val="nil"/>
              <w:left w:val="single" w:sz="4" w:space="0" w:color="auto"/>
              <w:bottom w:val="nil"/>
              <w:right w:val="single" w:sz="4" w:space="0" w:color="auto"/>
            </w:tcBorders>
            <w:shd w:val="clear" w:color="auto" w:fill="auto"/>
            <w:vAlign w:val="center"/>
          </w:tcPr>
          <w:p w14:paraId="7148CC49"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–62 188</w:t>
            </w:r>
          </w:p>
        </w:tc>
        <w:tc>
          <w:tcPr>
            <w:tcW w:w="950" w:type="pct"/>
            <w:tcBorders>
              <w:top w:val="nil"/>
              <w:left w:val="single" w:sz="4" w:space="0" w:color="auto"/>
              <w:bottom w:val="nil"/>
              <w:right w:val="single" w:sz="4" w:space="0" w:color="auto"/>
            </w:tcBorders>
            <w:shd w:val="clear" w:color="auto" w:fill="auto"/>
            <w:noWrap/>
            <w:vAlign w:val="center"/>
          </w:tcPr>
          <w:p w14:paraId="10D20010"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15 667</w:t>
            </w:r>
          </w:p>
        </w:tc>
      </w:tr>
      <w:tr w:rsidR="00761B6C" w:rsidRPr="00F837C1" w14:paraId="11A9FBB3" w14:textId="77777777" w:rsidTr="00F837C1">
        <w:trPr>
          <w:trHeight w:val="285"/>
          <w:jc w:val="center"/>
        </w:trPr>
        <w:tc>
          <w:tcPr>
            <w:tcW w:w="3099" w:type="pct"/>
            <w:tcBorders>
              <w:top w:val="nil"/>
              <w:left w:val="single" w:sz="4" w:space="0" w:color="auto"/>
              <w:bottom w:val="nil"/>
              <w:right w:val="nil"/>
            </w:tcBorders>
            <w:shd w:val="clear" w:color="auto" w:fill="auto"/>
            <w:hideMark/>
          </w:tcPr>
          <w:p w14:paraId="6CB5F758"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Intérêts reçus sur placement à court terme</w:t>
            </w:r>
          </w:p>
        </w:tc>
        <w:tc>
          <w:tcPr>
            <w:tcW w:w="950" w:type="pct"/>
            <w:tcBorders>
              <w:top w:val="nil"/>
              <w:left w:val="single" w:sz="4" w:space="0" w:color="auto"/>
              <w:bottom w:val="nil"/>
              <w:right w:val="single" w:sz="4" w:space="0" w:color="auto"/>
            </w:tcBorders>
            <w:shd w:val="clear" w:color="auto" w:fill="auto"/>
            <w:vAlign w:val="center"/>
          </w:tcPr>
          <w:p w14:paraId="1BDEE4BB"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400</w:t>
            </w:r>
          </w:p>
        </w:tc>
        <w:tc>
          <w:tcPr>
            <w:tcW w:w="950" w:type="pct"/>
            <w:tcBorders>
              <w:top w:val="nil"/>
              <w:left w:val="single" w:sz="4" w:space="0" w:color="auto"/>
              <w:bottom w:val="nil"/>
              <w:right w:val="single" w:sz="4" w:space="0" w:color="auto"/>
            </w:tcBorders>
            <w:shd w:val="clear" w:color="auto" w:fill="auto"/>
            <w:noWrap/>
            <w:vAlign w:val="center"/>
          </w:tcPr>
          <w:p w14:paraId="50F993DA"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926</w:t>
            </w:r>
          </w:p>
        </w:tc>
      </w:tr>
      <w:tr w:rsidR="00761B6C" w:rsidRPr="00F837C1" w14:paraId="30F5753E" w14:textId="77777777" w:rsidTr="00F837C1">
        <w:trPr>
          <w:trHeight w:val="285"/>
          <w:jc w:val="center"/>
        </w:trPr>
        <w:tc>
          <w:tcPr>
            <w:tcW w:w="3099" w:type="pct"/>
            <w:tcBorders>
              <w:top w:val="nil"/>
              <w:left w:val="single" w:sz="4" w:space="0" w:color="auto"/>
              <w:bottom w:val="nil"/>
              <w:right w:val="nil"/>
            </w:tcBorders>
            <w:shd w:val="clear" w:color="auto" w:fill="auto"/>
            <w:hideMark/>
          </w:tcPr>
          <w:p w14:paraId="4129ABEA"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(Acquisition)/Vente d'immobilisations corporelles</w:t>
            </w:r>
          </w:p>
        </w:tc>
        <w:tc>
          <w:tcPr>
            <w:tcW w:w="950" w:type="pct"/>
            <w:tcBorders>
              <w:top w:val="nil"/>
              <w:left w:val="single" w:sz="4" w:space="0" w:color="auto"/>
              <w:bottom w:val="nil"/>
              <w:right w:val="single" w:sz="4" w:space="0" w:color="auto"/>
            </w:tcBorders>
            <w:shd w:val="clear" w:color="auto" w:fill="auto"/>
            <w:vAlign w:val="center"/>
          </w:tcPr>
          <w:p w14:paraId="76B4F816"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–798</w:t>
            </w:r>
          </w:p>
        </w:tc>
        <w:tc>
          <w:tcPr>
            <w:tcW w:w="950" w:type="pct"/>
            <w:tcBorders>
              <w:top w:val="nil"/>
              <w:left w:val="single" w:sz="4" w:space="0" w:color="auto"/>
              <w:bottom w:val="nil"/>
              <w:right w:val="single" w:sz="4" w:space="0" w:color="auto"/>
            </w:tcBorders>
            <w:shd w:val="clear" w:color="auto" w:fill="auto"/>
            <w:noWrap/>
            <w:vAlign w:val="center"/>
          </w:tcPr>
          <w:p w14:paraId="179E5A28"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–656</w:t>
            </w:r>
          </w:p>
        </w:tc>
      </w:tr>
      <w:tr w:rsidR="00761B6C" w:rsidRPr="00F837C1" w14:paraId="79A94132" w14:textId="77777777" w:rsidTr="00F837C1">
        <w:trPr>
          <w:trHeight w:val="285"/>
          <w:jc w:val="center"/>
        </w:trPr>
        <w:tc>
          <w:tcPr>
            <w:tcW w:w="3099" w:type="pct"/>
            <w:tcBorders>
              <w:top w:val="nil"/>
              <w:left w:val="single" w:sz="4" w:space="0" w:color="auto"/>
              <w:bottom w:val="nil"/>
              <w:right w:val="nil"/>
            </w:tcBorders>
            <w:shd w:val="clear" w:color="auto" w:fill="auto"/>
            <w:hideMark/>
          </w:tcPr>
          <w:p w14:paraId="539F94A7"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(Acquisition)/Vente d'immobilisations incorporelles</w:t>
            </w:r>
          </w:p>
        </w:tc>
        <w:tc>
          <w:tcPr>
            <w:tcW w:w="950" w:type="pct"/>
            <w:tcBorders>
              <w:top w:val="nil"/>
              <w:left w:val="single" w:sz="4" w:space="0" w:color="auto"/>
              <w:bottom w:val="nil"/>
              <w:right w:val="single" w:sz="4" w:space="0" w:color="auto"/>
            </w:tcBorders>
            <w:shd w:val="clear" w:color="auto" w:fill="auto"/>
            <w:vAlign w:val="center"/>
          </w:tcPr>
          <w:p w14:paraId="2C16AF4C"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–722</w:t>
            </w:r>
          </w:p>
        </w:tc>
        <w:tc>
          <w:tcPr>
            <w:tcW w:w="950" w:type="pct"/>
            <w:tcBorders>
              <w:top w:val="nil"/>
              <w:left w:val="single" w:sz="4" w:space="0" w:color="auto"/>
              <w:bottom w:val="nil"/>
              <w:right w:val="single" w:sz="4" w:space="0" w:color="auto"/>
            </w:tcBorders>
            <w:shd w:val="clear" w:color="auto" w:fill="auto"/>
            <w:noWrap/>
            <w:vAlign w:val="center"/>
          </w:tcPr>
          <w:p w14:paraId="7D4FCE46"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–792</w:t>
            </w:r>
          </w:p>
        </w:tc>
      </w:tr>
      <w:tr w:rsidR="00761B6C" w:rsidRPr="00F837C1" w14:paraId="1C7E6939" w14:textId="77777777" w:rsidTr="00F837C1">
        <w:trPr>
          <w:trHeight w:val="255"/>
          <w:jc w:val="center"/>
        </w:trPr>
        <w:tc>
          <w:tcPr>
            <w:tcW w:w="3099" w:type="pct"/>
            <w:tcBorders>
              <w:top w:val="nil"/>
              <w:left w:val="single" w:sz="4" w:space="0" w:color="auto"/>
              <w:bottom w:val="nil"/>
              <w:right w:val="nil"/>
            </w:tcBorders>
            <w:shd w:val="clear" w:color="auto" w:fill="auto"/>
            <w:hideMark/>
          </w:tcPr>
          <w:p w14:paraId="6D371F69"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(Acquisition)/Vente de biens en construction</w:t>
            </w:r>
          </w:p>
        </w:tc>
        <w:tc>
          <w:tcPr>
            <w:tcW w:w="950" w:type="pct"/>
            <w:tcBorders>
              <w:top w:val="nil"/>
              <w:left w:val="single" w:sz="4" w:space="0" w:color="auto"/>
              <w:bottom w:val="single" w:sz="4" w:space="0" w:color="auto"/>
              <w:right w:val="single" w:sz="4" w:space="0" w:color="auto"/>
            </w:tcBorders>
            <w:shd w:val="clear" w:color="auto" w:fill="auto"/>
            <w:vAlign w:val="center"/>
          </w:tcPr>
          <w:p w14:paraId="76BCEFE9"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–4 252</w:t>
            </w:r>
          </w:p>
        </w:tc>
        <w:tc>
          <w:tcPr>
            <w:tcW w:w="950" w:type="pct"/>
            <w:tcBorders>
              <w:top w:val="nil"/>
              <w:left w:val="single" w:sz="4" w:space="0" w:color="auto"/>
              <w:bottom w:val="nil"/>
              <w:right w:val="single" w:sz="4" w:space="0" w:color="auto"/>
            </w:tcBorders>
            <w:shd w:val="clear" w:color="auto" w:fill="auto"/>
            <w:noWrap/>
            <w:vAlign w:val="center"/>
          </w:tcPr>
          <w:p w14:paraId="494CA5B8"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–2 881</w:t>
            </w:r>
          </w:p>
        </w:tc>
      </w:tr>
      <w:tr w:rsidR="00761B6C" w:rsidRPr="00F837C1" w14:paraId="2D51C265" w14:textId="77777777" w:rsidTr="00F837C1">
        <w:trPr>
          <w:trHeight w:val="285"/>
          <w:jc w:val="center"/>
        </w:trPr>
        <w:tc>
          <w:tcPr>
            <w:tcW w:w="3099" w:type="pct"/>
            <w:tcBorders>
              <w:top w:val="single" w:sz="4" w:space="0" w:color="auto"/>
              <w:left w:val="single" w:sz="4" w:space="0" w:color="auto"/>
              <w:bottom w:val="single" w:sz="4" w:space="0" w:color="auto"/>
              <w:right w:val="nil"/>
            </w:tcBorders>
            <w:shd w:val="clear" w:color="auto" w:fill="auto"/>
            <w:hideMark/>
          </w:tcPr>
          <w:p w14:paraId="38978055" w14:textId="77777777" w:rsidR="00761B6C" w:rsidRPr="00F837C1" w:rsidRDefault="00761B6C" w:rsidP="001F5EBE">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Flux de trésorerie nets provenant des activités d'investissement</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7230171" w14:textId="77777777" w:rsidR="00761B6C" w:rsidRPr="00F837C1" w:rsidRDefault="00761B6C" w:rsidP="001F5EBE">
            <w:pPr>
              <w:pStyle w:val="Tabletext"/>
              <w:spacing w:before="20" w:after="20"/>
              <w:jc w:val="right"/>
              <w:rPr>
                <w:rFonts w:asciiTheme="minorHAnsi" w:hAnsiTheme="minorHAnsi"/>
                <w:b/>
                <w:bCs/>
                <w:sz w:val="20"/>
                <w:lang w:eastAsia="zh-CN"/>
              </w:rPr>
            </w:pPr>
            <w:r w:rsidRPr="00F837C1">
              <w:rPr>
                <w:rFonts w:asciiTheme="minorHAnsi" w:hAnsiTheme="minorHAnsi" w:cs="Calibri"/>
                <w:b/>
                <w:bCs/>
                <w:sz w:val="20"/>
              </w:rPr>
              <w:t>–67 560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4FB0740"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theme="minorHAnsi"/>
                <w:b/>
                <w:bCs/>
                <w:sz w:val="20"/>
                <w:lang w:eastAsia="zh-CN"/>
              </w:rPr>
              <w:t>12 264</w:t>
            </w:r>
          </w:p>
        </w:tc>
      </w:tr>
      <w:tr w:rsidR="00761B6C" w:rsidRPr="00F837C1" w14:paraId="63489459" w14:textId="77777777" w:rsidTr="00F837C1">
        <w:trPr>
          <w:trHeight w:val="285"/>
          <w:jc w:val="center"/>
        </w:trPr>
        <w:tc>
          <w:tcPr>
            <w:tcW w:w="3099" w:type="pct"/>
            <w:tcBorders>
              <w:top w:val="nil"/>
              <w:left w:val="single" w:sz="4" w:space="0" w:color="auto"/>
              <w:bottom w:val="nil"/>
              <w:right w:val="nil"/>
            </w:tcBorders>
            <w:shd w:val="clear" w:color="auto" w:fill="auto"/>
          </w:tcPr>
          <w:p w14:paraId="349B739C" w14:textId="77777777" w:rsidR="00761B6C" w:rsidRPr="00F837C1" w:rsidRDefault="00761B6C" w:rsidP="001F5EBE">
            <w:pPr>
              <w:pStyle w:val="Tablehead"/>
              <w:spacing w:before="20" w:after="20"/>
              <w:jc w:val="left"/>
              <w:rPr>
                <w:rFonts w:asciiTheme="minorHAnsi" w:hAnsiTheme="minorHAnsi" w:cstheme="minorHAnsi"/>
                <w:color w:val="000000"/>
                <w:sz w:val="20"/>
                <w:lang w:eastAsia="zh-CN"/>
              </w:rPr>
            </w:pPr>
            <w:r w:rsidRPr="00F837C1">
              <w:rPr>
                <w:rFonts w:asciiTheme="minorHAnsi" w:hAnsiTheme="minorHAnsi" w:cstheme="minorHAnsi"/>
                <w:sz w:val="20"/>
              </w:rPr>
              <w:t>Flux de trésorerie des activités de financement</w:t>
            </w:r>
          </w:p>
        </w:tc>
        <w:tc>
          <w:tcPr>
            <w:tcW w:w="950" w:type="pct"/>
            <w:tcBorders>
              <w:left w:val="single" w:sz="4" w:space="0" w:color="auto"/>
              <w:bottom w:val="nil"/>
              <w:right w:val="single" w:sz="4" w:space="0" w:color="auto"/>
            </w:tcBorders>
            <w:shd w:val="clear" w:color="auto" w:fill="auto"/>
            <w:vAlign w:val="center"/>
          </w:tcPr>
          <w:p w14:paraId="4AAEF61F" w14:textId="77777777" w:rsidR="00761B6C" w:rsidRPr="00F837C1" w:rsidRDefault="00761B6C" w:rsidP="001F5EBE">
            <w:pPr>
              <w:pStyle w:val="Tabletext"/>
              <w:spacing w:before="20" w:after="20"/>
              <w:jc w:val="right"/>
              <w:rPr>
                <w:rFonts w:asciiTheme="minorHAnsi" w:hAnsiTheme="minorHAnsi"/>
                <w:sz w:val="20"/>
                <w:lang w:eastAsia="zh-CN"/>
              </w:rPr>
            </w:pPr>
            <w:r w:rsidRPr="00F837C1">
              <w:rPr>
                <w:rFonts w:asciiTheme="minorHAnsi" w:hAnsiTheme="minorHAnsi" w:cs="Calibri"/>
                <w:sz w:val="20"/>
              </w:rPr>
              <w:t> </w:t>
            </w:r>
          </w:p>
        </w:tc>
        <w:tc>
          <w:tcPr>
            <w:tcW w:w="950" w:type="pct"/>
            <w:tcBorders>
              <w:top w:val="nil"/>
              <w:left w:val="single" w:sz="4" w:space="0" w:color="auto"/>
              <w:bottom w:val="nil"/>
              <w:right w:val="single" w:sz="4" w:space="0" w:color="auto"/>
            </w:tcBorders>
            <w:shd w:val="clear" w:color="auto" w:fill="auto"/>
            <w:noWrap/>
            <w:vAlign w:val="bottom"/>
          </w:tcPr>
          <w:p w14:paraId="3524E3EC"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p>
        </w:tc>
      </w:tr>
      <w:tr w:rsidR="00761B6C" w:rsidRPr="00F837C1" w14:paraId="40E4666F" w14:textId="77777777" w:rsidTr="00F837C1">
        <w:trPr>
          <w:trHeight w:val="285"/>
          <w:jc w:val="center"/>
        </w:trPr>
        <w:tc>
          <w:tcPr>
            <w:tcW w:w="3099" w:type="pct"/>
            <w:tcBorders>
              <w:top w:val="nil"/>
              <w:left w:val="single" w:sz="4" w:space="0" w:color="auto"/>
              <w:bottom w:val="nil"/>
              <w:right w:val="nil"/>
            </w:tcBorders>
            <w:shd w:val="clear" w:color="auto" w:fill="auto"/>
            <w:hideMark/>
          </w:tcPr>
          <w:p w14:paraId="726FFC56" w14:textId="77777777" w:rsidR="00761B6C" w:rsidRPr="00F837C1" w:rsidRDefault="00761B6C" w:rsidP="001F5EBE">
            <w:pPr>
              <w:pStyle w:val="Tabletext"/>
              <w:spacing w:before="20" w:after="20"/>
              <w:rPr>
                <w:rFonts w:asciiTheme="minorHAnsi" w:hAnsiTheme="minorHAnsi" w:cstheme="minorHAnsi"/>
                <w:sz w:val="20"/>
                <w:lang w:eastAsia="zh-CN"/>
              </w:rPr>
            </w:pPr>
            <w:r w:rsidRPr="00F837C1">
              <w:rPr>
                <w:rFonts w:asciiTheme="minorHAnsi" w:hAnsiTheme="minorHAnsi" w:cstheme="minorHAnsi"/>
                <w:sz w:val="20"/>
                <w:lang w:eastAsia="zh-CN"/>
              </w:rPr>
              <w:t>(Augmentation) diminution des investissements financés par le prêt de la FIPOI</w:t>
            </w:r>
          </w:p>
        </w:tc>
        <w:tc>
          <w:tcPr>
            <w:tcW w:w="950" w:type="pct"/>
            <w:tcBorders>
              <w:top w:val="nil"/>
              <w:left w:val="single" w:sz="4" w:space="0" w:color="auto"/>
              <w:bottom w:val="single" w:sz="4" w:space="0" w:color="auto"/>
              <w:right w:val="single" w:sz="4" w:space="0" w:color="auto"/>
            </w:tcBorders>
            <w:shd w:val="clear" w:color="auto" w:fill="auto"/>
            <w:vAlign w:val="center"/>
          </w:tcPr>
          <w:p w14:paraId="4D305F8F" w14:textId="77777777" w:rsidR="00761B6C" w:rsidRPr="00F837C1" w:rsidRDefault="00761B6C" w:rsidP="001F5EBE">
            <w:pPr>
              <w:pStyle w:val="Tabletext"/>
              <w:spacing w:before="20" w:after="20"/>
              <w:jc w:val="right"/>
              <w:rPr>
                <w:rFonts w:asciiTheme="minorHAnsi" w:hAnsiTheme="minorHAnsi" w:cs="Calibri"/>
                <w:sz w:val="20"/>
              </w:rPr>
            </w:pPr>
            <w:r w:rsidRPr="00F837C1">
              <w:rPr>
                <w:rFonts w:asciiTheme="minorHAnsi" w:hAnsiTheme="minorHAnsi" w:cs="Calibri"/>
                <w:sz w:val="20"/>
              </w:rPr>
              <w:t>2 161 </w:t>
            </w:r>
          </w:p>
        </w:tc>
        <w:tc>
          <w:tcPr>
            <w:tcW w:w="950" w:type="pct"/>
            <w:tcBorders>
              <w:top w:val="nil"/>
              <w:left w:val="single" w:sz="4" w:space="0" w:color="auto"/>
              <w:bottom w:val="nil"/>
              <w:right w:val="single" w:sz="4" w:space="0" w:color="auto"/>
            </w:tcBorders>
            <w:shd w:val="clear" w:color="auto" w:fill="auto"/>
            <w:noWrap/>
            <w:vAlign w:val="center"/>
          </w:tcPr>
          <w:p w14:paraId="53CED594"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F837C1">
              <w:rPr>
                <w:rFonts w:asciiTheme="minorHAnsi" w:hAnsiTheme="minorHAnsi" w:cstheme="minorHAnsi"/>
                <w:sz w:val="20"/>
                <w:lang w:eastAsia="zh-CN"/>
              </w:rPr>
              <w:t>1 757</w:t>
            </w:r>
          </w:p>
        </w:tc>
      </w:tr>
      <w:tr w:rsidR="00761B6C" w:rsidRPr="00F837C1" w14:paraId="298BAC9E" w14:textId="77777777" w:rsidTr="00F837C1">
        <w:trPr>
          <w:trHeight w:val="285"/>
          <w:jc w:val="center"/>
        </w:trPr>
        <w:tc>
          <w:tcPr>
            <w:tcW w:w="3099" w:type="pct"/>
            <w:tcBorders>
              <w:top w:val="single" w:sz="4" w:space="0" w:color="auto"/>
              <w:left w:val="single" w:sz="4" w:space="0" w:color="auto"/>
              <w:bottom w:val="single" w:sz="4" w:space="0" w:color="auto"/>
              <w:right w:val="nil"/>
            </w:tcBorders>
            <w:shd w:val="clear" w:color="auto" w:fill="auto"/>
            <w:hideMark/>
          </w:tcPr>
          <w:p w14:paraId="153A77BC" w14:textId="77777777" w:rsidR="00761B6C" w:rsidRPr="00F837C1" w:rsidRDefault="00761B6C" w:rsidP="001F5EBE">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Flux de trésorerie provenant des activités de financement</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101EBE" w14:textId="77777777" w:rsidR="00761B6C" w:rsidRPr="00F837C1" w:rsidRDefault="00761B6C" w:rsidP="001F5EBE">
            <w:pPr>
              <w:pStyle w:val="Tabletext"/>
              <w:spacing w:before="20" w:after="20"/>
              <w:jc w:val="right"/>
              <w:rPr>
                <w:rFonts w:asciiTheme="minorHAnsi" w:hAnsiTheme="minorHAnsi"/>
                <w:b/>
                <w:bCs/>
                <w:sz w:val="20"/>
                <w:lang w:eastAsia="zh-CN"/>
              </w:rPr>
            </w:pPr>
            <w:r w:rsidRPr="00F837C1">
              <w:rPr>
                <w:rFonts w:asciiTheme="minorHAnsi" w:hAnsiTheme="minorHAnsi" w:cs="Calibri"/>
                <w:b/>
                <w:bCs/>
                <w:sz w:val="20"/>
              </w:rPr>
              <w:t>2 161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7848C0"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theme="minorHAnsi"/>
                <w:b/>
                <w:bCs/>
                <w:sz w:val="20"/>
                <w:lang w:eastAsia="zh-CN"/>
              </w:rPr>
              <w:t>1 757</w:t>
            </w:r>
          </w:p>
        </w:tc>
      </w:tr>
      <w:tr w:rsidR="00761B6C" w:rsidRPr="00F837C1" w14:paraId="5CF40515" w14:textId="77777777" w:rsidTr="00F837C1">
        <w:trPr>
          <w:trHeight w:val="285"/>
          <w:jc w:val="center"/>
        </w:trPr>
        <w:tc>
          <w:tcPr>
            <w:tcW w:w="3099" w:type="pct"/>
            <w:tcBorders>
              <w:top w:val="single" w:sz="4" w:space="0" w:color="auto"/>
              <w:left w:val="single" w:sz="4" w:space="0" w:color="auto"/>
              <w:bottom w:val="single" w:sz="4" w:space="0" w:color="auto"/>
              <w:right w:val="nil"/>
            </w:tcBorders>
            <w:shd w:val="clear" w:color="auto" w:fill="auto"/>
            <w:hideMark/>
          </w:tcPr>
          <w:p w14:paraId="6E69EC15" w14:textId="77777777" w:rsidR="00761B6C" w:rsidRPr="00F837C1" w:rsidRDefault="00761B6C" w:rsidP="001F5EBE">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Augmentation/(diminution) nette de trésorerie et équivalents de trésorerie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092D4CB" w14:textId="77777777" w:rsidR="00761B6C" w:rsidRPr="00F837C1" w:rsidRDefault="00761B6C" w:rsidP="001F5EBE">
            <w:pPr>
              <w:pStyle w:val="Tabletext"/>
              <w:spacing w:before="20" w:after="20"/>
              <w:jc w:val="right"/>
              <w:rPr>
                <w:rFonts w:asciiTheme="minorHAnsi" w:hAnsiTheme="minorHAnsi"/>
                <w:b/>
                <w:bCs/>
                <w:sz w:val="20"/>
                <w:lang w:eastAsia="zh-CN"/>
              </w:rPr>
            </w:pPr>
            <w:r w:rsidRPr="00F837C1">
              <w:rPr>
                <w:rFonts w:asciiTheme="minorHAnsi" w:hAnsiTheme="minorHAnsi" w:cs="Calibri"/>
                <w:b/>
                <w:bCs/>
                <w:sz w:val="20"/>
              </w:rPr>
              <w:t>–79 446</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BFA50A1"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theme="minorHAnsi"/>
                <w:b/>
                <w:bCs/>
                <w:sz w:val="20"/>
                <w:lang w:eastAsia="zh-CN"/>
              </w:rPr>
              <w:t>17 026</w:t>
            </w:r>
          </w:p>
        </w:tc>
      </w:tr>
      <w:tr w:rsidR="00761B6C" w:rsidRPr="00F837C1" w14:paraId="383DA572" w14:textId="77777777" w:rsidTr="00F837C1">
        <w:trPr>
          <w:trHeight w:val="285"/>
          <w:jc w:val="center"/>
        </w:trPr>
        <w:tc>
          <w:tcPr>
            <w:tcW w:w="3099" w:type="pct"/>
            <w:tcBorders>
              <w:top w:val="nil"/>
              <w:left w:val="single" w:sz="4" w:space="0" w:color="auto"/>
              <w:bottom w:val="nil"/>
              <w:right w:val="nil"/>
            </w:tcBorders>
            <w:shd w:val="clear" w:color="auto" w:fill="auto"/>
            <w:hideMark/>
          </w:tcPr>
          <w:p w14:paraId="1873D33E" w14:textId="77777777" w:rsidR="00761B6C" w:rsidRPr="00F837C1" w:rsidRDefault="00761B6C" w:rsidP="001F5EBE">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color w:val="000000"/>
                <w:sz w:val="20"/>
                <w:lang w:eastAsia="zh-CN"/>
              </w:rPr>
              <w:t>Trésorerie et équivalents de trésorerie à l'ouverture de l'exercice</w:t>
            </w:r>
          </w:p>
        </w:tc>
        <w:tc>
          <w:tcPr>
            <w:tcW w:w="950" w:type="pct"/>
            <w:tcBorders>
              <w:left w:val="single" w:sz="4" w:space="0" w:color="auto"/>
              <w:bottom w:val="nil"/>
              <w:right w:val="single" w:sz="4" w:space="0" w:color="auto"/>
            </w:tcBorders>
            <w:shd w:val="clear" w:color="auto" w:fill="auto"/>
            <w:vAlign w:val="center"/>
          </w:tcPr>
          <w:p w14:paraId="2E7BB87B" w14:textId="77777777" w:rsidR="00761B6C" w:rsidRPr="00F837C1" w:rsidRDefault="00761B6C" w:rsidP="001F5EBE">
            <w:pPr>
              <w:pStyle w:val="Tabletext"/>
              <w:spacing w:before="20" w:after="20"/>
              <w:jc w:val="right"/>
              <w:rPr>
                <w:rFonts w:asciiTheme="minorHAnsi" w:hAnsiTheme="minorHAnsi"/>
                <w:b/>
                <w:bCs/>
                <w:sz w:val="20"/>
                <w:lang w:eastAsia="zh-CN"/>
              </w:rPr>
            </w:pPr>
            <w:r w:rsidRPr="00F837C1">
              <w:rPr>
                <w:rFonts w:asciiTheme="minorHAnsi" w:hAnsiTheme="minorHAnsi" w:cs="Calibri"/>
                <w:b/>
                <w:bCs/>
                <w:sz w:val="20"/>
              </w:rPr>
              <w:t>178 852</w:t>
            </w:r>
          </w:p>
        </w:tc>
        <w:tc>
          <w:tcPr>
            <w:tcW w:w="950" w:type="pct"/>
            <w:tcBorders>
              <w:top w:val="nil"/>
              <w:left w:val="single" w:sz="4" w:space="0" w:color="auto"/>
              <w:bottom w:val="nil"/>
              <w:right w:val="single" w:sz="4" w:space="0" w:color="auto"/>
            </w:tcBorders>
            <w:shd w:val="clear" w:color="auto" w:fill="auto"/>
            <w:noWrap/>
            <w:vAlign w:val="center"/>
          </w:tcPr>
          <w:p w14:paraId="5B61210C" w14:textId="77777777" w:rsidR="00761B6C" w:rsidRPr="00F837C1" w:rsidRDefault="00761B6C" w:rsidP="001F5EBE">
            <w:pPr>
              <w:pStyle w:val="Tablehead"/>
              <w:spacing w:before="20" w:after="20"/>
              <w:jc w:val="right"/>
              <w:rPr>
                <w:rFonts w:asciiTheme="minorHAnsi" w:hAnsiTheme="minorHAnsi" w:cstheme="minorHAnsi"/>
                <w:bCs/>
                <w:sz w:val="20"/>
                <w:lang w:eastAsia="zh-CN"/>
              </w:rPr>
            </w:pPr>
            <w:r w:rsidRPr="00F837C1">
              <w:rPr>
                <w:rFonts w:asciiTheme="minorHAnsi" w:hAnsiTheme="minorHAnsi" w:cstheme="minorHAnsi"/>
                <w:bCs/>
                <w:sz w:val="20"/>
                <w:lang w:eastAsia="zh-CN"/>
              </w:rPr>
              <w:t>161 826</w:t>
            </w:r>
          </w:p>
        </w:tc>
      </w:tr>
      <w:tr w:rsidR="00761B6C" w:rsidRPr="00F837C1" w14:paraId="66094D67" w14:textId="77777777" w:rsidTr="00F837C1">
        <w:trPr>
          <w:trHeight w:val="255"/>
          <w:jc w:val="center"/>
        </w:trPr>
        <w:tc>
          <w:tcPr>
            <w:tcW w:w="3099" w:type="pct"/>
            <w:tcBorders>
              <w:top w:val="nil"/>
              <w:left w:val="single" w:sz="4" w:space="0" w:color="auto"/>
              <w:bottom w:val="single" w:sz="4" w:space="0" w:color="auto"/>
              <w:right w:val="nil"/>
            </w:tcBorders>
            <w:shd w:val="clear" w:color="auto" w:fill="auto"/>
            <w:hideMark/>
          </w:tcPr>
          <w:p w14:paraId="3000E952" w14:textId="77777777" w:rsidR="00761B6C" w:rsidRPr="00F837C1" w:rsidRDefault="00761B6C" w:rsidP="001F5EBE">
            <w:pPr>
              <w:pStyle w:val="Tablehead"/>
              <w:spacing w:before="20" w:after="20"/>
              <w:jc w:val="left"/>
              <w:rPr>
                <w:rFonts w:asciiTheme="minorHAnsi" w:hAnsiTheme="minorHAnsi" w:cstheme="minorHAnsi"/>
                <w:sz w:val="20"/>
                <w:lang w:eastAsia="zh-CN"/>
              </w:rPr>
            </w:pPr>
            <w:r w:rsidRPr="00F837C1">
              <w:rPr>
                <w:rFonts w:asciiTheme="minorHAnsi" w:hAnsiTheme="minorHAnsi" w:cstheme="minorHAnsi"/>
                <w:sz w:val="20"/>
                <w:lang w:eastAsia="zh-CN"/>
              </w:rPr>
              <w:t>Trésorerie et équivalents de trésorerie à la clôture de l'exercice</w:t>
            </w:r>
          </w:p>
        </w:tc>
        <w:tc>
          <w:tcPr>
            <w:tcW w:w="950" w:type="pct"/>
            <w:tcBorders>
              <w:top w:val="nil"/>
              <w:left w:val="single" w:sz="4" w:space="0" w:color="auto"/>
              <w:bottom w:val="single" w:sz="4" w:space="0" w:color="auto"/>
              <w:right w:val="single" w:sz="4" w:space="0" w:color="auto"/>
            </w:tcBorders>
            <w:shd w:val="clear" w:color="auto" w:fill="auto"/>
            <w:vAlign w:val="center"/>
          </w:tcPr>
          <w:p w14:paraId="2E03BFA3" w14:textId="77777777" w:rsidR="00761B6C" w:rsidRPr="00F837C1" w:rsidRDefault="00761B6C" w:rsidP="001F5EBE">
            <w:pPr>
              <w:pStyle w:val="Tabletext"/>
              <w:spacing w:before="20" w:after="20"/>
              <w:jc w:val="right"/>
              <w:rPr>
                <w:rFonts w:asciiTheme="minorHAnsi" w:hAnsiTheme="minorHAnsi"/>
                <w:b/>
                <w:bCs/>
                <w:sz w:val="20"/>
                <w:lang w:eastAsia="zh-CN"/>
              </w:rPr>
            </w:pPr>
            <w:r w:rsidRPr="00F837C1">
              <w:rPr>
                <w:rFonts w:asciiTheme="minorHAnsi" w:hAnsiTheme="minorHAnsi" w:cs="Calibri"/>
                <w:b/>
                <w:bCs/>
                <w:sz w:val="20"/>
              </w:rPr>
              <w:t>99 406</w:t>
            </w:r>
          </w:p>
        </w:tc>
        <w:tc>
          <w:tcPr>
            <w:tcW w:w="950" w:type="pct"/>
            <w:tcBorders>
              <w:top w:val="nil"/>
              <w:left w:val="single" w:sz="4" w:space="0" w:color="auto"/>
              <w:bottom w:val="single" w:sz="4" w:space="0" w:color="auto"/>
              <w:right w:val="single" w:sz="4" w:space="0" w:color="auto"/>
            </w:tcBorders>
            <w:shd w:val="clear" w:color="auto" w:fill="auto"/>
            <w:noWrap/>
            <w:vAlign w:val="center"/>
          </w:tcPr>
          <w:p w14:paraId="60DBA9AD" w14:textId="77777777" w:rsidR="00761B6C" w:rsidRPr="00F837C1" w:rsidRDefault="00761B6C" w:rsidP="001F5EB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F837C1">
              <w:rPr>
                <w:rFonts w:asciiTheme="minorHAnsi" w:hAnsiTheme="minorHAnsi" w:cstheme="minorHAnsi"/>
                <w:b/>
                <w:bCs/>
                <w:sz w:val="20"/>
                <w:lang w:eastAsia="zh-CN"/>
              </w:rPr>
              <w:t>178 852</w:t>
            </w:r>
          </w:p>
        </w:tc>
      </w:tr>
    </w:tbl>
    <w:p w14:paraId="0DEB566B" w14:textId="77777777" w:rsidR="00761B6C" w:rsidRPr="00236418" w:rsidRDefault="00761B6C" w:rsidP="00761B6C">
      <w:pPr>
        <w:pStyle w:val="Heading1"/>
        <w:jc w:val="center"/>
      </w:pPr>
      <w:bookmarkStart w:id="662" w:name="_Toc452139413"/>
      <w:bookmarkStart w:id="663" w:name="_Toc452139812"/>
      <w:bookmarkStart w:id="664" w:name="_Toc452140679"/>
      <w:bookmarkStart w:id="665" w:name="_Toc511649926"/>
      <w:bookmarkStart w:id="666" w:name="_Toc511651182"/>
      <w:bookmarkStart w:id="667" w:name="_Toc511724047"/>
      <w:bookmarkStart w:id="668" w:name="_Toc511739036"/>
      <w:bookmarkStart w:id="669" w:name="_Toc511740816"/>
      <w:bookmarkStart w:id="670" w:name="_Toc511741205"/>
      <w:bookmarkStart w:id="671" w:name="_Toc10450711"/>
      <w:bookmarkStart w:id="672" w:name="_Toc41567343"/>
      <w:bookmarkStart w:id="673" w:name="_Toc41567829"/>
      <w:bookmarkStart w:id="674" w:name="_Toc41814941"/>
      <w:bookmarkStart w:id="675" w:name="_Toc73354430"/>
      <w:bookmarkStart w:id="676" w:name="_Toc73356385"/>
      <w:r w:rsidRPr="00236418">
        <w:lastRenderedPageBreak/>
        <w:t xml:space="preserve">V – État de la comparaison des montants budgétés et des montants </w:t>
      </w:r>
      <w:r w:rsidRPr="00236418">
        <w:br/>
        <w:t>effectifs pour l</w:t>
      </w:r>
      <w:r>
        <w:t>'</w:t>
      </w:r>
      <w:r w:rsidRPr="00236418">
        <w:t xml:space="preserve">exercice </w:t>
      </w:r>
      <w:bookmarkEnd w:id="655"/>
      <w:bookmarkEnd w:id="656"/>
      <w:bookmarkEnd w:id="657"/>
      <w:bookmarkEnd w:id="658"/>
      <w:bookmarkEnd w:id="659"/>
      <w:bookmarkEnd w:id="660"/>
      <w:bookmarkEnd w:id="662"/>
      <w:bookmarkEnd w:id="663"/>
      <w:bookmarkEnd w:id="664"/>
      <w:bookmarkEnd w:id="665"/>
      <w:bookmarkEnd w:id="666"/>
      <w:bookmarkEnd w:id="667"/>
      <w:bookmarkEnd w:id="668"/>
      <w:bookmarkEnd w:id="669"/>
      <w:bookmarkEnd w:id="670"/>
      <w:r w:rsidRPr="00236418">
        <w:t>20</w:t>
      </w:r>
      <w:bookmarkEnd w:id="671"/>
      <w:bookmarkEnd w:id="672"/>
      <w:bookmarkEnd w:id="673"/>
      <w:bookmarkEnd w:id="674"/>
      <w:r>
        <w:t>20</w:t>
      </w:r>
      <w:bookmarkEnd w:id="675"/>
      <w:bookmarkEnd w:id="676"/>
    </w:p>
    <w:p w14:paraId="185EECDD" w14:textId="77777777" w:rsidR="00761B6C" w:rsidRPr="00236418" w:rsidRDefault="00761B6C" w:rsidP="00761B6C">
      <w:pPr>
        <w:spacing w:after="240"/>
        <w:jc w:val="center"/>
        <w:rPr>
          <w:b/>
          <w:bCs/>
        </w:rPr>
      </w:pPr>
      <w:r w:rsidRPr="00236418">
        <w:rPr>
          <w:b/>
          <w:bCs/>
        </w:rPr>
        <w:t>(en milliers</w:t>
      </w:r>
      <w:r>
        <w:rPr>
          <w:b/>
          <w:bCs/>
        </w:rPr>
        <w:t xml:space="preserve"> </w:t>
      </w:r>
      <w:r w:rsidRPr="00236418">
        <w:rPr>
          <w:b/>
          <w:bCs/>
        </w:rPr>
        <w:t>CHF)</w:t>
      </w:r>
      <w:bookmarkStart w:id="677" w:name="_MON_1396355631"/>
      <w:bookmarkStart w:id="678" w:name="_MON_1396442559"/>
      <w:bookmarkStart w:id="679" w:name="_MON_1396103722"/>
      <w:bookmarkStart w:id="680" w:name="_MON_1396355177"/>
      <w:bookmarkEnd w:id="677"/>
      <w:bookmarkEnd w:id="678"/>
      <w:bookmarkEnd w:id="679"/>
      <w:bookmarkEnd w:id="680"/>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
      </w:tblPr>
      <w:tblGrid>
        <w:gridCol w:w="3402"/>
        <w:gridCol w:w="1134"/>
        <w:gridCol w:w="1390"/>
        <w:gridCol w:w="1154"/>
        <w:gridCol w:w="1087"/>
        <w:gridCol w:w="1330"/>
        <w:gridCol w:w="1310"/>
      </w:tblGrid>
      <w:tr w:rsidR="00761B6C" w:rsidRPr="00236418" w14:paraId="06BA0A3E" w14:textId="77777777" w:rsidTr="00761B6C">
        <w:trPr>
          <w:jc w:val="center"/>
        </w:trPr>
        <w:tc>
          <w:tcPr>
            <w:tcW w:w="3402" w:type="dxa"/>
            <w:vMerge w:val="restart"/>
            <w:tcMar>
              <w:left w:w="57" w:type="dxa"/>
              <w:right w:w="57" w:type="dxa"/>
            </w:tcMar>
            <w:vAlign w:val="center"/>
          </w:tcPr>
          <w:p w14:paraId="0CB19149" w14:textId="77777777" w:rsidR="00761B6C" w:rsidRPr="00236418" w:rsidRDefault="00761B6C" w:rsidP="00761B6C">
            <w:pPr>
              <w:pStyle w:val="Tablehead"/>
              <w:spacing w:before="0" w:after="20"/>
              <w:rPr>
                <w:sz w:val="18"/>
                <w:szCs w:val="18"/>
                <w:lang w:eastAsia="fr-FR"/>
              </w:rPr>
            </w:pPr>
            <w:r w:rsidRPr="00236418">
              <w:rPr>
                <w:sz w:val="18"/>
                <w:szCs w:val="18"/>
              </w:rPr>
              <w:t>Produits</w:t>
            </w:r>
          </w:p>
        </w:tc>
        <w:tc>
          <w:tcPr>
            <w:tcW w:w="4765" w:type="dxa"/>
            <w:gridSpan w:val="4"/>
          </w:tcPr>
          <w:p w14:paraId="131F5D70" w14:textId="77777777" w:rsidR="00761B6C" w:rsidRPr="00236418" w:rsidRDefault="00761B6C" w:rsidP="00761B6C">
            <w:pPr>
              <w:pStyle w:val="Tablehead"/>
              <w:spacing w:before="0" w:after="20"/>
              <w:rPr>
                <w:sz w:val="18"/>
                <w:szCs w:val="18"/>
                <w:lang w:eastAsia="fr-FR"/>
              </w:rPr>
            </w:pPr>
            <w:r w:rsidRPr="00236418">
              <w:rPr>
                <w:sz w:val="18"/>
                <w:szCs w:val="18"/>
              </w:rPr>
              <w:t>Montants budgétés</w:t>
            </w:r>
          </w:p>
        </w:tc>
        <w:tc>
          <w:tcPr>
            <w:tcW w:w="1330" w:type="dxa"/>
            <w:vMerge w:val="restart"/>
            <w:tcMar>
              <w:left w:w="57" w:type="dxa"/>
              <w:right w:w="57" w:type="dxa"/>
            </w:tcMar>
            <w:vAlign w:val="center"/>
          </w:tcPr>
          <w:p w14:paraId="355042D7" w14:textId="77777777" w:rsidR="00761B6C" w:rsidRPr="00236418" w:rsidRDefault="00761B6C" w:rsidP="00761B6C">
            <w:pPr>
              <w:pStyle w:val="Tablehead"/>
              <w:spacing w:before="0" w:after="20"/>
              <w:rPr>
                <w:sz w:val="18"/>
                <w:szCs w:val="18"/>
                <w:lang w:eastAsia="fr-FR"/>
              </w:rPr>
            </w:pPr>
            <w:r w:rsidRPr="00236418">
              <w:rPr>
                <w:sz w:val="18"/>
                <w:szCs w:val="18"/>
              </w:rPr>
              <w:t>Montants</w:t>
            </w:r>
            <w:r w:rsidRPr="00236418">
              <w:rPr>
                <w:sz w:val="18"/>
                <w:szCs w:val="18"/>
              </w:rPr>
              <w:br/>
              <w:t>effectifs sur une base</w:t>
            </w:r>
            <w:r w:rsidRPr="00236418">
              <w:rPr>
                <w:sz w:val="18"/>
                <w:szCs w:val="18"/>
              </w:rPr>
              <w:br/>
              <w:t>comparable</w:t>
            </w:r>
          </w:p>
        </w:tc>
        <w:tc>
          <w:tcPr>
            <w:tcW w:w="1310" w:type="dxa"/>
            <w:vMerge w:val="restart"/>
            <w:tcMar>
              <w:left w:w="57" w:type="dxa"/>
              <w:right w:w="57" w:type="dxa"/>
            </w:tcMar>
            <w:vAlign w:val="center"/>
          </w:tcPr>
          <w:p w14:paraId="632111F0" w14:textId="77777777" w:rsidR="00761B6C" w:rsidRPr="00236418" w:rsidRDefault="00761B6C" w:rsidP="00761B6C">
            <w:pPr>
              <w:pStyle w:val="Tablehead"/>
              <w:spacing w:before="0" w:after="20"/>
              <w:rPr>
                <w:sz w:val="18"/>
                <w:szCs w:val="18"/>
                <w:lang w:eastAsia="fr-FR"/>
              </w:rPr>
            </w:pPr>
            <w:r w:rsidRPr="00236418">
              <w:rPr>
                <w:sz w:val="18"/>
                <w:szCs w:val="18"/>
              </w:rPr>
              <w:t>Différence entre budget final et montants effectifs</w:t>
            </w:r>
          </w:p>
        </w:tc>
      </w:tr>
      <w:tr w:rsidR="00761B6C" w:rsidRPr="00236418" w14:paraId="3943B796" w14:textId="77777777" w:rsidTr="00761B6C">
        <w:trPr>
          <w:jc w:val="center"/>
        </w:trPr>
        <w:tc>
          <w:tcPr>
            <w:tcW w:w="3402" w:type="dxa"/>
            <w:vMerge/>
            <w:tcMar>
              <w:left w:w="57" w:type="dxa"/>
              <w:right w:w="57" w:type="dxa"/>
            </w:tcMar>
            <w:vAlign w:val="center"/>
          </w:tcPr>
          <w:p w14:paraId="2A27AF23" w14:textId="77777777" w:rsidR="00761B6C" w:rsidRPr="00236418" w:rsidRDefault="00761B6C" w:rsidP="00761B6C">
            <w:pPr>
              <w:pStyle w:val="Tablehead"/>
              <w:spacing w:before="0" w:after="20"/>
              <w:rPr>
                <w:sz w:val="18"/>
                <w:szCs w:val="18"/>
                <w:lang w:eastAsia="fr-FR"/>
              </w:rPr>
            </w:pPr>
          </w:p>
        </w:tc>
        <w:tc>
          <w:tcPr>
            <w:tcW w:w="1134" w:type="dxa"/>
            <w:tcMar>
              <w:left w:w="57" w:type="dxa"/>
              <w:right w:w="57" w:type="dxa"/>
            </w:tcMar>
            <w:vAlign w:val="center"/>
          </w:tcPr>
          <w:p w14:paraId="4F76978C" w14:textId="77777777" w:rsidR="00761B6C" w:rsidRPr="00236418" w:rsidRDefault="00761B6C" w:rsidP="00761B6C">
            <w:pPr>
              <w:pStyle w:val="Tablehead"/>
              <w:spacing w:before="0" w:after="20"/>
              <w:rPr>
                <w:sz w:val="18"/>
                <w:szCs w:val="18"/>
              </w:rPr>
            </w:pPr>
            <w:r w:rsidRPr="00236418">
              <w:rPr>
                <w:sz w:val="18"/>
                <w:szCs w:val="18"/>
              </w:rPr>
              <w:t>Budget</w:t>
            </w:r>
          </w:p>
          <w:p w14:paraId="13A0BACA" w14:textId="77777777" w:rsidR="00761B6C" w:rsidRPr="00236418" w:rsidRDefault="00761B6C" w:rsidP="00761B6C">
            <w:pPr>
              <w:pStyle w:val="Tablehead"/>
              <w:spacing w:before="0" w:after="20"/>
              <w:rPr>
                <w:sz w:val="18"/>
                <w:szCs w:val="18"/>
                <w:lang w:eastAsia="fr-FR"/>
              </w:rPr>
            </w:pPr>
            <w:r w:rsidRPr="00236418">
              <w:rPr>
                <w:sz w:val="18"/>
                <w:szCs w:val="18"/>
              </w:rPr>
              <w:t>initial</w:t>
            </w:r>
          </w:p>
        </w:tc>
        <w:tc>
          <w:tcPr>
            <w:tcW w:w="1390" w:type="dxa"/>
            <w:vAlign w:val="center"/>
          </w:tcPr>
          <w:p w14:paraId="182AA490" w14:textId="77777777" w:rsidR="00761B6C" w:rsidRPr="00236418" w:rsidRDefault="00761B6C" w:rsidP="00761B6C">
            <w:pPr>
              <w:pStyle w:val="Tablehead"/>
              <w:spacing w:before="0" w:after="20"/>
              <w:rPr>
                <w:sz w:val="18"/>
                <w:szCs w:val="18"/>
              </w:rPr>
            </w:pPr>
            <w:r w:rsidRPr="00236418">
              <w:rPr>
                <w:rFonts w:asciiTheme="minorHAnsi" w:hAnsiTheme="minorHAnsi" w:cs="Arial"/>
                <w:bCs/>
                <w:color w:val="000000"/>
                <w:sz w:val="18"/>
                <w:szCs w:val="18"/>
                <w:lang w:eastAsia="zh-CN"/>
              </w:rPr>
              <w:t>Activités reportées</w:t>
            </w:r>
          </w:p>
        </w:tc>
        <w:tc>
          <w:tcPr>
            <w:tcW w:w="1154" w:type="dxa"/>
            <w:tcMar>
              <w:left w:w="57" w:type="dxa"/>
              <w:right w:w="57" w:type="dxa"/>
            </w:tcMar>
            <w:vAlign w:val="center"/>
          </w:tcPr>
          <w:p w14:paraId="36F7DF3C" w14:textId="77777777" w:rsidR="00761B6C" w:rsidRPr="00236418" w:rsidRDefault="00761B6C" w:rsidP="00761B6C">
            <w:pPr>
              <w:pStyle w:val="Tablehead"/>
              <w:spacing w:before="0" w:after="20"/>
              <w:rPr>
                <w:sz w:val="18"/>
                <w:szCs w:val="18"/>
                <w:lang w:eastAsia="fr-FR"/>
              </w:rPr>
            </w:pPr>
            <w:r w:rsidRPr="00236418">
              <w:rPr>
                <w:sz w:val="18"/>
                <w:szCs w:val="18"/>
              </w:rPr>
              <w:t>Transferts budgétaires</w:t>
            </w:r>
          </w:p>
        </w:tc>
        <w:tc>
          <w:tcPr>
            <w:tcW w:w="1087" w:type="dxa"/>
            <w:tcMar>
              <w:left w:w="57" w:type="dxa"/>
              <w:right w:w="57" w:type="dxa"/>
            </w:tcMar>
            <w:vAlign w:val="center"/>
          </w:tcPr>
          <w:p w14:paraId="5E3BE01B" w14:textId="77777777" w:rsidR="00761B6C" w:rsidRPr="00236418" w:rsidRDefault="00761B6C" w:rsidP="00761B6C">
            <w:pPr>
              <w:pStyle w:val="Tablehead"/>
              <w:spacing w:before="0" w:after="20"/>
              <w:rPr>
                <w:sz w:val="18"/>
                <w:szCs w:val="18"/>
                <w:lang w:eastAsia="fr-FR"/>
              </w:rPr>
            </w:pPr>
            <w:r w:rsidRPr="00236418">
              <w:rPr>
                <w:sz w:val="18"/>
                <w:szCs w:val="18"/>
                <w:lang w:eastAsia="fr-FR"/>
              </w:rPr>
              <w:t>Budget final</w:t>
            </w:r>
          </w:p>
        </w:tc>
        <w:tc>
          <w:tcPr>
            <w:tcW w:w="1330" w:type="dxa"/>
            <w:vMerge/>
            <w:tcMar>
              <w:left w:w="57" w:type="dxa"/>
              <w:right w:w="57" w:type="dxa"/>
            </w:tcMar>
            <w:vAlign w:val="center"/>
          </w:tcPr>
          <w:p w14:paraId="3A114772" w14:textId="77777777" w:rsidR="00761B6C" w:rsidRPr="00236418" w:rsidRDefault="00761B6C" w:rsidP="00761B6C">
            <w:pPr>
              <w:pStyle w:val="Tablehead"/>
              <w:spacing w:before="0" w:after="20"/>
              <w:rPr>
                <w:sz w:val="18"/>
                <w:szCs w:val="18"/>
                <w:lang w:eastAsia="fr-FR"/>
              </w:rPr>
            </w:pPr>
          </w:p>
        </w:tc>
        <w:tc>
          <w:tcPr>
            <w:tcW w:w="1310" w:type="dxa"/>
            <w:vMerge/>
            <w:tcMar>
              <w:left w:w="57" w:type="dxa"/>
              <w:right w:w="57" w:type="dxa"/>
            </w:tcMar>
            <w:vAlign w:val="center"/>
          </w:tcPr>
          <w:p w14:paraId="43EEBFDF" w14:textId="77777777" w:rsidR="00761B6C" w:rsidRPr="00236418" w:rsidRDefault="00761B6C" w:rsidP="00761B6C">
            <w:pPr>
              <w:pStyle w:val="Tablehead"/>
              <w:spacing w:before="0" w:after="20"/>
              <w:rPr>
                <w:sz w:val="18"/>
                <w:szCs w:val="18"/>
                <w:lang w:eastAsia="fr-FR"/>
              </w:rPr>
            </w:pPr>
          </w:p>
        </w:tc>
      </w:tr>
      <w:tr w:rsidR="00761B6C" w:rsidRPr="00236418" w14:paraId="0C9C08FB" w14:textId="77777777" w:rsidTr="00761B6C">
        <w:trPr>
          <w:jc w:val="center"/>
        </w:trPr>
        <w:tc>
          <w:tcPr>
            <w:tcW w:w="3402" w:type="dxa"/>
            <w:vMerge/>
            <w:tcBorders>
              <w:bottom w:val="single" w:sz="4" w:space="0" w:color="auto"/>
            </w:tcBorders>
            <w:tcMar>
              <w:left w:w="57" w:type="dxa"/>
              <w:right w:w="57" w:type="dxa"/>
            </w:tcMar>
            <w:vAlign w:val="center"/>
          </w:tcPr>
          <w:p w14:paraId="75E6CCB5" w14:textId="77777777" w:rsidR="00761B6C" w:rsidRPr="00236418" w:rsidRDefault="00761B6C" w:rsidP="00761B6C">
            <w:pPr>
              <w:pStyle w:val="Tablehead"/>
              <w:spacing w:before="0" w:after="20"/>
              <w:rPr>
                <w:sz w:val="18"/>
                <w:szCs w:val="18"/>
                <w:lang w:eastAsia="fr-FR"/>
              </w:rPr>
            </w:pPr>
          </w:p>
        </w:tc>
        <w:tc>
          <w:tcPr>
            <w:tcW w:w="1134" w:type="dxa"/>
            <w:tcBorders>
              <w:bottom w:val="single" w:sz="4" w:space="0" w:color="auto"/>
            </w:tcBorders>
            <w:tcMar>
              <w:left w:w="57" w:type="dxa"/>
              <w:right w:w="57" w:type="dxa"/>
            </w:tcMar>
            <w:vAlign w:val="center"/>
          </w:tcPr>
          <w:p w14:paraId="32482614"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c>
          <w:tcPr>
            <w:tcW w:w="1390" w:type="dxa"/>
            <w:tcBorders>
              <w:bottom w:val="single" w:sz="4" w:space="0" w:color="auto"/>
            </w:tcBorders>
          </w:tcPr>
          <w:p w14:paraId="14E99D84"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c>
          <w:tcPr>
            <w:tcW w:w="1154" w:type="dxa"/>
            <w:tcBorders>
              <w:bottom w:val="single" w:sz="4" w:space="0" w:color="auto"/>
            </w:tcBorders>
            <w:tcMar>
              <w:left w:w="57" w:type="dxa"/>
              <w:right w:w="57" w:type="dxa"/>
            </w:tcMar>
            <w:vAlign w:val="center"/>
          </w:tcPr>
          <w:p w14:paraId="614C9908"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c>
          <w:tcPr>
            <w:tcW w:w="1087" w:type="dxa"/>
            <w:tcBorders>
              <w:bottom w:val="single" w:sz="4" w:space="0" w:color="auto"/>
            </w:tcBorders>
            <w:tcMar>
              <w:left w:w="57" w:type="dxa"/>
              <w:right w:w="57" w:type="dxa"/>
            </w:tcMar>
            <w:vAlign w:val="center"/>
          </w:tcPr>
          <w:p w14:paraId="5297BE11"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c>
          <w:tcPr>
            <w:tcW w:w="1330" w:type="dxa"/>
            <w:tcBorders>
              <w:bottom w:val="single" w:sz="4" w:space="0" w:color="auto"/>
            </w:tcBorders>
            <w:tcMar>
              <w:left w:w="57" w:type="dxa"/>
              <w:right w:w="57" w:type="dxa"/>
            </w:tcMar>
            <w:vAlign w:val="center"/>
          </w:tcPr>
          <w:p w14:paraId="22637D2D"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c>
          <w:tcPr>
            <w:tcW w:w="1310" w:type="dxa"/>
            <w:tcBorders>
              <w:bottom w:val="single" w:sz="4" w:space="0" w:color="auto"/>
            </w:tcBorders>
            <w:tcMar>
              <w:left w:w="57" w:type="dxa"/>
              <w:right w:w="57" w:type="dxa"/>
            </w:tcMar>
            <w:vAlign w:val="center"/>
          </w:tcPr>
          <w:p w14:paraId="5DC5E982"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r>
      <w:tr w:rsidR="00761B6C" w:rsidRPr="00236418" w14:paraId="664102E2" w14:textId="77777777" w:rsidTr="00761B6C">
        <w:trPr>
          <w:jc w:val="center"/>
        </w:trPr>
        <w:tc>
          <w:tcPr>
            <w:tcW w:w="3402" w:type="dxa"/>
            <w:tcBorders>
              <w:bottom w:val="nil"/>
            </w:tcBorders>
            <w:tcMar>
              <w:left w:w="57" w:type="dxa"/>
              <w:right w:w="57" w:type="dxa"/>
            </w:tcMar>
          </w:tcPr>
          <w:p w14:paraId="5911361C" w14:textId="77777777" w:rsidR="00761B6C" w:rsidRPr="00236418" w:rsidRDefault="00761B6C" w:rsidP="00761B6C">
            <w:pPr>
              <w:pStyle w:val="Tabletext"/>
              <w:spacing w:before="0" w:after="20"/>
              <w:rPr>
                <w:b/>
                <w:bCs/>
                <w:sz w:val="18"/>
                <w:szCs w:val="18"/>
                <w:lang w:eastAsia="fr-FR"/>
              </w:rPr>
            </w:pPr>
            <w:r w:rsidRPr="00236418">
              <w:rPr>
                <w:b/>
                <w:bCs/>
                <w:sz w:val="18"/>
                <w:szCs w:val="18"/>
              </w:rPr>
              <w:t>Contributions mises en recouvrement</w:t>
            </w:r>
          </w:p>
        </w:tc>
        <w:tc>
          <w:tcPr>
            <w:tcW w:w="1134" w:type="dxa"/>
            <w:tcBorders>
              <w:bottom w:val="nil"/>
            </w:tcBorders>
            <w:tcMar>
              <w:left w:w="57" w:type="dxa"/>
              <w:right w:w="57" w:type="dxa"/>
            </w:tcMar>
            <w:vAlign w:val="center"/>
          </w:tcPr>
          <w:p w14:paraId="0455C178"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125 552</w:t>
            </w:r>
          </w:p>
        </w:tc>
        <w:tc>
          <w:tcPr>
            <w:tcW w:w="1390" w:type="dxa"/>
            <w:tcBorders>
              <w:bottom w:val="nil"/>
            </w:tcBorders>
            <w:vAlign w:val="center"/>
          </w:tcPr>
          <w:p w14:paraId="68EBBE48" w14:textId="77777777" w:rsidR="00761B6C" w:rsidRPr="00180211" w:rsidRDefault="00761B6C" w:rsidP="00761B6C">
            <w:pPr>
              <w:pStyle w:val="Tabletext"/>
              <w:spacing w:before="0" w:after="40"/>
              <w:jc w:val="right"/>
              <w:rPr>
                <w:sz w:val="18"/>
                <w:szCs w:val="18"/>
                <w:lang w:eastAsia="zh-CN"/>
              </w:rPr>
            </w:pPr>
            <w:r w:rsidRPr="00180211">
              <w:rPr>
                <w:sz w:val="18"/>
                <w:szCs w:val="18"/>
                <w:lang w:eastAsia="zh-CN"/>
              </w:rPr>
              <w:t> </w:t>
            </w:r>
          </w:p>
        </w:tc>
        <w:tc>
          <w:tcPr>
            <w:tcW w:w="1154" w:type="dxa"/>
            <w:tcBorders>
              <w:bottom w:val="nil"/>
            </w:tcBorders>
            <w:tcMar>
              <w:left w:w="57" w:type="dxa"/>
              <w:right w:w="57" w:type="dxa"/>
            </w:tcMar>
            <w:vAlign w:val="center"/>
          </w:tcPr>
          <w:p w14:paraId="36EFB802" w14:textId="77777777" w:rsidR="00761B6C" w:rsidRPr="00180211" w:rsidRDefault="00761B6C" w:rsidP="00761B6C">
            <w:pPr>
              <w:pStyle w:val="Tabletext"/>
              <w:spacing w:before="0" w:after="40"/>
              <w:jc w:val="right"/>
              <w:rPr>
                <w:sz w:val="18"/>
                <w:szCs w:val="18"/>
                <w:lang w:eastAsia="zh-CN"/>
              </w:rPr>
            </w:pPr>
            <w:r w:rsidRPr="00180211">
              <w:rPr>
                <w:sz w:val="18"/>
                <w:szCs w:val="18"/>
                <w:lang w:eastAsia="zh-CN"/>
              </w:rPr>
              <w:t> </w:t>
            </w:r>
          </w:p>
        </w:tc>
        <w:tc>
          <w:tcPr>
            <w:tcW w:w="1087" w:type="dxa"/>
            <w:tcBorders>
              <w:bottom w:val="nil"/>
            </w:tcBorders>
            <w:tcMar>
              <w:left w:w="57" w:type="dxa"/>
              <w:right w:w="57" w:type="dxa"/>
            </w:tcMar>
            <w:vAlign w:val="center"/>
          </w:tcPr>
          <w:p w14:paraId="2572F520"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125 552</w:t>
            </w:r>
          </w:p>
        </w:tc>
        <w:tc>
          <w:tcPr>
            <w:tcW w:w="1330" w:type="dxa"/>
            <w:tcBorders>
              <w:bottom w:val="nil"/>
            </w:tcBorders>
            <w:tcMar>
              <w:left w:w="57" w:type="dxa"/>
              <w:right w:w="57" w:type="dxa"/>
            </w:tcMar>
            <w:vAlign w:val="center"/>
          </w:tcPr>
          <w:p w14:paraId="4632A2A5"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125 741</w:t>
            </w:r>
          </w:p>
        </w:tc>
        <w:tc>
          <w:tcPr>
            <w:tcW w:w="1310" w:type="dxa"/>
            <w:tcBorders>
              <w:bottom w:val="nil"/>
            </w:tcBorders>
            <w:tcMar>
              <w:left w:w="57" w:type="dxa"/>
              <w:right w:w="57" w:type="dxa"/>
            </w:tcMar>
            <w:vAlign w:val="center"/>
          </w:tcPr>
          <w:p w14:paraId="1F965B80"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189</w:t>
            </w:r>
          </w:p>
        </w:tc>
      </w:tr>
      <w:tr w:rsidR="00761B6C" w:rsidRPr="00236418" w14:paraId="48B8D5A1" w14:textId="77777777" w:rsidTr="00761B6C">
        <w:trPr>
          <w:jc w:val="center"/>
        </w:trPr>
        <w:tc>
          <w:tcPr>
            <w:tcW w:w="3402" w:type="dxa"/>
            <w:tcBorders>
              <w:top w:val="nil"/>
              <w:bottom w:val="nil"/>
            </w:tcBorders>
            <w:tcMar>
              <w:left w:w="57" w:type="dxa"/>
              <w:right w:w="57" w:type="dxa"/>
            </w:tcMar>
          </w:tcPr>
          <w:p w14:paraId="67187995" w14:textId="77777777" w:rsidR="00761B6C" w:rsidRPr="00236418" w:rsidRDefault="00761B6C" w:rsidP="00761B6C">
            <w:pPr>
              <w:pStyle w:val="Tabletext"/>
              <w:spacing w:before="0" w:after="20"/>
              <w:rPr>
                <w:b/>
                <w:bCs/>
                <w:sz w:val="18"/>
                <w:szCs w:val="18"/>
                <w:lang w:eastAsia="fr-FR"/>
              </w:rPr>
            </w:pPr>
            <w:r w:rsidRPr="00236418">
              <w:rPr>
                <w:b/>
                <w:bCs/>
                <w:sz w:val="18"/>
                <w:szCs w:val="18"/>
              </w:rPr>
              <w:t>Recouvrement des coûts</w:t>
            </w:r>
          </w:p>
        </w:tc>
        <w:tc>
          <w:tcPr>
            <w:tcW w:w="1134" w:type="dxa"/>
            <w:tcBorders>
              <w:top w:val="nil"/>
              <w:bottom w:val="nil"/>
            </w:tcBorders>
            <w:tcMar>
              <w:left w:w="57" w:type="dxa"/>
              <w:right w:w="57" w:type="dxa"/>
            </w:tcMar>
            <w:vAlign w:val="center"/>
          </w:tcPr>
          <w:p w14:paraId="30FD2F08"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37 875</w:t>
            </w:r>
          </w:p>
        </w:tc>
        <w:tc>
          <w:tcPr>
            <w:tcW w:w="1390" w:type="dxa"/>
            <w:tcBorders>
              <w:top w:val="nil"/>
              <w:bottom w:val="nil"/>
            </w:tcBorders>
            <w:vAlign w:val="center"/>
          </w:tcPr>
          <w:p w14:paraId="7C0220F1" w14:textId="77777777" w:rsidR="00761B6C" w:rsidRPr="00180211" w:rsidRDefault="00761B6C" w:rsidP="00761B6C">
            <w:pPr>
              <w:pStyle w:val="Tabletext"/>
              <w:spacing w:before="0" w:after="40"/>
              <w:jc w:val="right"/>
              <w:rPr>
                <w:sz w:val="18"/>
                <w:szCs w:val="18"/>
                <w:lang w:eastAsia="zh-CN"/>
              </w:rPr>
            </w:pPr>
            <w:r w:rsidRPr="00180211">
              <w:rPr>
                <w:sz w:val="18"/>
                <w:szCs w:val="18"/>
                <w:lang w:eastAsia="zh-CN"/>
              </w:rPr>
              <w:t> </w:t>
            </w:r>
          </w:p>
        </w:tc>
        <w:tc>
          <w:tcPr>
            <w:tcW w:w="1154" w:type="dxa"/>
            <w:tcBorders>
              <w:top w:val="nil"/>
              <w:bottom w:val="nil"/>
            </w:tcBorders>
            <w:tcMar>
              <w:left w:w="57" w:type="dxa"/>
              <w:right w:w="57" w:type="dxa"/>
            </w:tcMar>
            <w:vAlign w:val="center"/>
          </w:tcPr>
          <w:p w14:paraId="78B6B1FC" w14:textId="77777777" w:rsidR="00761B6C" w:rsidRPr="00180211" w:rsidRDefault="00761B6C" w:rsidP="00761B6C">
            <w:pPr>
              <w:pStyle w:val="Tabletext"/>
              <w:spacing w:before="0" w:after="40"/>
              <w:jc w:val="right"/>
              <w:rPr>
                <w:sz w:val="18"/>
                <w:szCs w:val="18"/>
                <w:lang w:eastAsia="zh-CN"/>
              </w:rPr>
            </w:pPr>
            <w:r w:rsidRPr="00180211">
              <w:rPr>
                <w:sz w:val="18"/>
                <w:szCs w:val="18"/>
                <w:lang w:eastAsia="zh-CN"/>
              </w:rPr>
              <w:t> </w:t>
            </w:r>
          </w:p>
        </w:tc>
        <w:tc>
          <w:tcPr>
            <w:tcW w:w="1087" w:type="dxa"/>
            <w:tcBorders>
              <w:top w:val="nil"/>
              <w:bottom w:val="nil"/>
            </w:tcBorders>
            <w:tcMar>
              <w:left w:w="57" w:type="dxa"/>
              <w:right w:w="57" w:type="dxa"/>
            </w:tcMar>
            <w:vAlign w:val="center"/>
          </w:tcPr>
          <w:p w14:paraId="13D71B3E"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37 875</w:t>
            </w:r>
          </w:p>
        </w:tc>
        <w:tc>
          <w:tcPr>
            <w:tcW w:w="1330" w:type="dxa"/>
            <w:tcBorders>
              <w:top w:val="nil"/>
              <w:bottom w:val="nil"/>
            </w:tcBorders>
            <w:tcMar>
              <w:left w:w="57" w:type="dxa"/>
              <w:right w:w="57" w:type="dxa"/>
            </w:tcMar>
            <w:vAlign w:val="center"/>
          </w:tcPr>
          <w:p w14:paraId="3E3CD564"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31 271</w:t>
            </w:r>
          </w:p>
        </w:tc>
        <w:tc>
          <w:tcPr>
            <w:tcW w:w="1310" w:type="dxa"/>
            <w:tcBorders>
              <w:top w:val="nil"/>
              <w:bottom w:val="nil"/>
            </w:tcBorders>
            <w:tcMar>
              <w:left w:w="57" w:type="dxa"/>
              <w:right w:w="57" w:type="dxa"/>
            </w:tcMar>
            <w:vAlign w:val="center"/>
          </w:tcPr>
          <w:p w14:paraId="3ED33C30"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–6 604</w:t>
            </w:r>
          </w:p>
        </w:tc>
      </w:tr>
      <w:tr w:rsidR="00761B6C" w:rsidRPr="00236418" w14:paraId="49D331D7" w14:textId="77777777" w:rsidTr="00761B6C">
        <w:trPr>
          <w:jc w:val="center"/>
        </w:trPr>
        <w:tc>
          <w:tcPr>
            <w:tcW w:w="3402" w:type="dxa"/>
            <w:tcBorders>
              <w:top w:val="nil"/>
              <w:bottom w:val="nil"/>
            </w:tcBorders>
            <w:tcMar>
              <w:left w:w="57" w:type="dxa"/>
              <w:right w:w="57" w:type="dxa"/>
            </w:tcMar>
          </w:tcPr>
          <w:p w14:paraId="75E8534F" w14:textId="77777777" w:rsidR="00761B6C" w:rsidRPr="00236418" w:rsidRDefault="00761B6C" w:rsidP="00761B6C">
            <w:pPr>
              <w:pStyle w:val="Tabletext"/>
              <w:spacing w:before="0" w:after="20"/>
              <w:rPr>
                <w:b/>
                <w:bCs/>
                <w:sz w:val="18"/>
                <w:szCs w:val="18"/>
              </w:rPr>
            </w:pPr>
            <w:r w:rsidRPr="00236418">
              <w:rPr>
                <w:rFonts w:asciiTheme="minorHAnsi" w:hAnsiTheme="minorHAnsi" w:cs="Arial"/>
                <w:b/>
                <w:bCs/>
                <w:color w:val="000000"/>
                <w:sz w:val="18"/>
                <w:szCs w:val="18"/>
                <w:lang w:eastAsia="zh-CN"/>
              </w:rPr>
              <w:t>Intérêts</w:t>
            </w:r>
          </w:p>
        </w:tc>
        <w:tc>
          <w:tcPr>
            <w:tcW w:w="1134" w:type="dxa"/>
            <w:tcBorders>
              <w:top w:val="nil"/>
              <w:bottom w:val="nil"/>
            </w:tcBorders>
            <w:tcMar>
              <w:left w:w="57" w:type="dxa"/>
              <w:right w:w="57" w:type="dxa"/>
            </w:tcMar>
            <w:vAlign w:val="center"/>
          </w:tcPr>
          <w:p w14:paraId="6CD0E506"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300</w:t>
            </w:r>
          </w:p>
        </w:tc>
        <w:tc>
          <w:tcPr>
            <w:tcW w:w="1390" w:type="dxa"/>
            <w:tcBorders>
              <w:top w:val="nil"/>
              <w:bottom w:val="nil"/>
            </w:tcBorders>
            <w:vAlign w:val="center"/>
          </w:tcPr>
          <w:p w14:paraId="24EF039A" w14:textId="77777777" w:rsidR="00761B6C" w:rsidRPr="00180211" w:rsidRDefault="00761B6C" w:rsidP="00761B6C">
            <w:pPr>
              <w:pStyle w:val="Tabletext"/>
              <w:spacing w:before="0" w:after="40"/>
              <w:jc w:val="right"/>
              <w:rPr>
                <w:sz w:val="18"/>
                <w:szCs w:val="18"/>
                <w:lang w:eastAsia="zh-CN"/>
              </w:rPr>
            </w:pPr>
            <w:r w:rsidRPr="00180211">
              <w:rPr>
                <w:sz w:val="18"/>
                <w:szCs w:val="18"/>
                <w:lang w:eastAsia="zh-CN"/>
              </w:rPr>
              <w:t> </w:t>
            </w:r>
          </w:p>
        </w:tc>
        <w:tc>
          <w:tcPr>
            <w:tcW w:w="1154" w:type="dxa"/>
            <w:tcBorders>
              <w:top w:val="nil"/>
              <w:bottom w:val="nil"/>
            </w:tcBorders>
            <w:tcMar>
              <w:left w:w="57" w:type="dxa"/>
              <w:right w:w="57" w:type="dxa"/>
            </w:tcMar>
            <w:vAlign w:val="center"/>
          </w:tcPr>
          <w:p w14:paraId="0069FE7F" w14:textId="77777777" w:rsidR="00761B6C" w:rsidRPr="00180211" w:rsidRDefault="00761B6C" w:rsidP="00761B6C">
            <w:pPr>
              <w:pStyle w:val="Tabletext"/>
              <w:spacing w:before="0" w:after="40"/>
              <w:jc w:val="right"/>
              <w:rPr>
                <w:sz w:val="18"/>
                <w:szCs w:val="18"/>
                <w:lang w:eastAsia="zh-CN"/>
              </w:rPr>
            </w:pPr>
            <w:r w:rsidRPr="00180211">
              <w:rPr>
                <w:sz w:val="18"/>
                <w:szCs w:val="18"/>
                <w:lang w:eastAsia="zh-CN"/>
              </w:rPr>
              <w:t> </w:t>
            </w:r>
          </w:p>
        </w:tc>
        <w:tc>
          <w:tcPr>
            <w:tcW w:w="1087" w:type="dxa"/>
            <w:tcBorders>
              <w:top w:val="nil"/>
              <w:bottom w:val="nil"/>
            </w:tcBorders>
            <w:tcMar>
              <w:left w:w="57" w:type="dxa"/>
              <w:right w:w="57" w:type="dxa"/>
            </w:tcMar>
            <w:vAlign w:val="center"/>
          </w:tcPr>
          <w:p w14:paraId="7D54EF8D"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300</w:t>
            </w:r>
          </w:p>
        </w:tc>
        <w:tc>
          <w:tcPr>
            <w:tcW w:w="1330" w:type="dxa"/>
            <w:tcBorders>
              <w:top w:val="nil"/>
              <w:bottom w:val="nil"/>
            </w:tcBorders>
            <w:tcMar>
              <w:left w:w="57" w:type="dxa"/>
              <w:right w:w="57" w:type="dxa"/>
            </w:tcMar>
            <w:vAlign w:val="center"/>
          </w:tcPr>
          <w:p w14:paraId="3E76F4E0"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125</w:t>
            </w:r>
          </w:p>
        </w:tc>
        <w:tc>
          <w:tcPr>
            <w:tcW w:w="1310" w:type="dxa"/>
            <w:tcBorders>
              <w:top w:val="nil"/>
              <w:bottom w:val="nil"/>
            </w:tcBorders>
            <w:tcMar>
              <w:left w:w="57" w:type="dxa"/>
              <w:right w:w="57" w:type="dxa"/>
            </w:tcMar>
            <w:vAlign w:val="center"/>
          </w:tcPr>
          <w:p w14:paraId="749D18F4"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–175</w:t>
            </w:r>
          </w:p>
        </w:tc>
      </w:tr>
      <w:tr w:rsidR="00761B6C" w:rsidRPr="00236418" w14:paraId="65124068" w14:textId="77777777" w:rsidTr="00761B6C">
        <w:trPr>
          <w:jc w:val="center"/>
        </w:trPr>
        <w:tc>
          <w:tcPr>
            <w:tcW w:w="3402" w:type="dxa"/>
            <w:tcBorders>
              <w:top w:val="nil"/>
              <w:bottom w:val="nil"/>
            </w:tcBorders>
            <w:tcMar>
              <w:left w:w="57" w:type="dxa"/>
              <w:right w:w="57" w:type="dxa"/>
            </w:tcMar>
          </w:tcPr>
          <w:p w14:paraId="462BDFD8" w14:textId="77777777" w:rsidR="00761B6C" w:rsidRPr="00236418" w:rsidRDefault="00761B6C" w:rsidP="00761B6C">
            <w:pPr>
              <w:pStyle w:val="Tabletext"/>
              <w:spacing w:before="0" w:after="20"/>
              <w:rPr>
                <w:b/>
                <w:bCs/>
                <w:sz w:val="18"/>
                <w:szCs w:val="18"/>
                <w:lang w:eastAsia="fr-FR"/>
              </w:rPr>
            </w:pPr>
            <w:r w:rsidRPr="00236418">
              <w:rPr>
                <w:b/>
                <w:bCs/>
                <w:sz w:val="18"/>
                <w:szCs w:val="18"/>
              </w:rPr>
              <w:t>Autres produits</w:t>
            </w:r>
          </w:p>
        </w:tc>
        <w:tc>
          <w:tcPr>
            <w:tcW w:w="1134" w:type="dxa"/>
            <w:tcBorders>
              <w:top w:val="nil"/>
              <w:bottom w:val="nil"/>
            </w:tcBorders>
            <w:tcMar>
              <w:left w:w="57" w:type="dxa"/>
              <w:right w:w="57" w:type="dxa"/>
            </w:tcMar>
            <w:vAlign w:val="center"/>
          </w:tcPr>
          <w:p w14:paraId="1C373A09"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100</w:t>
            </w:r>
          </w:p>
        </w:tc>
        <w:tc>
          <w:tcPr>
            <w:tcW w:w="1390" w:type="dxa"/>
            <w:tcBorders>
              <w:top w:val="nil"/>
              <w:bottom w:val="nil"/>
            </w:tcBorders>
            <w:vAlign w:val="center"/>
          </w:tcPr>
          <w:p w14:paraId="0DBA3993" w14:textId="77777777" w:rsidR="00761B6C" w:rsidRPr="00180211" w:rsidRDefault="00761B6C" w:rsidP="00761B6C">
            <w:pPr>
              <w:pStyle w:val="Tabletext"/>
              <w:spacing w:before="0" w:after="40"/>
              <w:jc w:val="right"/>
              <w:rPr>
                <w:sz w:val="18"/>
                <w:szCs w:val="18"/>
                <w:lang w:eastAsia="zh-CN"/>
              </w:rPr>
            </w:pPr>
            <w:r w:rsidRPr="00180211">
              <w:rPr>
                <w:sz w:val="18"/>
                <w:szCs w:val="18"/>
                <w:lang w:eastAsia="zh-CN"/>
              </w:rPr>
              <w:t> </w:t>
            </w:r>
          </w:p>
        </w:tc>
        <w:tc>
          <w:tcPr>
            <w:tcW w:w="1154" w:type="dxa"/>
            <w:tcBorders>
              <w:top w:val="nil"/>
              <w:bottom w:val="nil"/>
            </w:tcBorders>
            <w:tcMar>
              <w:left w:w="57" w:type="dxa"/>
              <w:right w:w="57" w:type="dxa"/>
            </w:tcMar>
            <w:vAlign w:val="center"/>
          </w:tcPr>
          <w:p w14:paraId="3C3F68C3" w14:textId="77777777" w:rsidR="00761B6C" w:rsidRPr="00180211" w:rsidRDefault="00761B6C" w:rsidP="00761B6C">
            <w:pPr>
              <w:pStyle w:val="Tabletext"/>
              <w:spacing w:before="0" w:after="40"/>
              <w:jc w:val="right"/>
              <w:rPr>
                <w:sz w:val="18"/>
                <w:szCs w:val="18"/>
                <w:lang w:eastAsia="zh-CN"/>
              </w:rPr>
            </w:pPr>
            <w:r w:rsidRPr="00180211">
              <w:rPr>
                <w:sz w:val="18"/>
                <w:szCs w:val="18"/>
                <w:lang w:eastAsia="zh-CN"/>
              </w:rPr>
              <w:t> </w:t>
            </w:r>
          </w:p>
        </w:tc>
        <w:tc>
          <w:tcPr>
            <w:tcW w:w="1087" w:type="dxa"/>
            <w:tcBorders>
              <w:top w:val="nil"/>
              <w:bottom w:val="nil"/>
            </w:tcBorders>
            <w:tcMar>
              <w:left w:w="57" w:type="dxa"/>
              <w:right w:w="57" w:type="dxa"/>
            </w:tcMar>
            <w:vAlign w:val="center"/>
          </w:tcPr>
          <w:p w14:paraId="67A2C8B2"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100</w:t>
            </w:r>
          </w:p>
        </w:tc>
        <w:tc>
          <w:tcPr>
            <w:tcW w:w="1330" w:type="dxa"/>
            <w:tcBorders>
              <w:top w:val="nil"/>
              <w:bottom w:val="nil"/>
            </w:tcBorders>
            <w:tcMar>
              <w:left w:w="57" w:type="dxa"/>
              <w:right w:w="57" w:type="dxa"/>
            </w:tcMar>
            <w:vAlign w:val="center"/>
          </w:tcPr>
          <w:p w14:paraId="6AFA35EB"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–1 834</w:t>
            </w:r>
          </w:p>
        </w:tc>
        <w:tc>
          <w:tcPr>
            <w:tcW w:w="1310" w:type="dxa"/>
            <w:tcBorders>
              <w:top w:val="nil"/>
              <w:bottom w:val="nil"/>
            </w:tcBorders>
            <w:tcMar>
              <w:left w:w="57" w:type="dxa"/>
              <w:right w:w="57" w:type="dxa"/>
            </w:tcMar>
            <w:vAlign w:val="center"/>
          </w:tcPr>
          <w:p w14:paraId="1BF36FBC"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–1 934</w:t>
            </w:r>
          </w:p>
        </w:tc>
      </w:tr>
      <w:tr w:rsidR="00761B6C" w:rsidRPr="00236418" w14:paraId="2290D551" w14:textId="77777777" w:rsidTr="00761B6C">
        <w:trPr>
          <w:jc w:val="center"/>
        </w:trPr>
        <w:tc>
          <w:tcPr>
            <w:tcW w:w="3402" w:type="dxa"/>
            <w:tcBorders>
              <w:top w:val="nil"/>
              <w:bottom w:val="nil"/>
            </w:tcBorders>
            <w:tcMar>
              <w:left w:w="57" w:type="dxa"/>
              <w:right w:w="57" w:type="dxa"/>
            </w:tcMar>
          </w:tcPr>
          <w:p w14:paraId="083DD011" w14:textId="77777777" w:rsidR="00761B6C" w:rsidRPr="00236418" w:rsidRDefault="00761B6C" w:rsidP="00761B6C">
            <w:pPr>
              <w:pStyle w:val="Tabletext"/>
              <w:spacing w:before="0" w:after="20"/>
              <w:rPr>
                <w:b/>
                <w:bCs/>
                <w:sz w:val="18"/>
                <w:szCs w:val="18"/>
              </w:rPr>
            </w:pPr>
            <w:r>
              <w:rPr>
                <w:b/>
                <w:bCs/>
                <w:sz w:val="18"/>
                <w:szCs w:val="18"/>
              </w:rPr>
              <w:t>Activités reportées</w:t>
            </w:r>
          </w:p>
        </w:tc>
        <w:tc>
          <w:tcPr>
            <w:tcW w:w="1134" w:type="dxa"/>
            <w:tcBorders>
              <w:top w:val="nil"/>
              <w:bottom w:val="nil"/>
            </w:tcBorders>
            <w:tcMar>
              <w:left w:w="57" w:type="dxa"/>
              <w:right w:w="57" w:type="dxa"/>
            </w:tcMar>
            <w:vAlign w:val="center"/>
          </w:tcPr>
          <w:p w14:paraId="4663E06F" w14:textId="77777777" w:rsidR="00761B6C" w:rsidRPr="00180211" w:rsidRDefault="00761B6C" w:rsidP="00761B6C">
            <w:pPr>
              <w:pStyle w:val="Tabletext"/>
              <w:spacing w:before="0" w:after="40"/>
              <w:jc w:val="right"/>
              <w:rPr>
                <w:b/>
                <w:bCs/>
                <w:sz w:val="18"/>
                <w:szCs w:val="18"/>
                <w:lang w:eastAsia="zh-CN"/>
              </w:rPr>
            </w:pPr>
          </w:p>
        </w:tc>
        <w:tc>
          <w:tcPr>
            <w:tcW w:w="1390" w:type="dxa"/>
            <w:tcBorders>
              <w:top w:val="nil"/>
              <w:bottom w:val="nil"/>
            </w:tcBorders>
            <w:vAlign w:val="center"/>
          </w:tcPr>
          <w:p w14:paraId="00A5EE60" w14:textId="77777777" w:rsidR="00761B6C" w:rsidRPr="00F837C1" w:rsidRDefault="00761B6C" w:rsidP="00761B6C">
            <w:pPr>
              <w:pStyle w:val="Tabletext"/>
              <w:spacing w:before="0" w:after="40"/>
              <w:jc w:val="right"/>
              <w:rPr>
                <w:b/>
                <w:sz w:val="18"/>
                <w:szCs w:val="18"/>
                <w:lang w:eastAsia="zh-CN"/>
              </w:rPr>
            </w:pPr>
            <w:r w:rsidRPr="00F837C1">
              <w:rPr>
                <w:b/>
                <w:sz w:val="18"/>
                <w:szCs w:val="18"/>
                <w:lang w:eastAsia="zh-CN"/>
              </w:rPr>
              <w:t>–1 867</w:t>
            </w:r>
          </w:p>
        </w:tc>
        <w:tc>
          <w:tcPr>
            <w:tcW w:w="1154" w:type="dxa"/>
            <w:tcBorders>
              <w:top w:val="nil"/>
              <w:bottom w:val="nil"/>
            </w:tcBorders>
            <w:tcMar>
              <w:left w:w="57" w:type="dxa"/>
              <w:right w:w="57" w:type="dxa"/>
            </w:tcMar>
            <w:vAlign w:val="center"/>
          </w:tcPr>
          <w:p w14:paraId="78B68980" w14:textId="77777777" w:rsidR="00761B6C" w:rsidRPr="00180211" w:rsidRDefault="00761B6C" w:rsidP="00761B6C">
            <w:pPr>
              <w:pStyle w:val="Tabletext"/>
              <w:spacing w:before="0" w:after="40"/>
              <w:jc w:val="right"/>
              <w:rPr>
                <w:sz w:val="18"/>
                <w:szCs w:val="18"/>
                <w:lang w:eastAsia="zh-CN"/>
              </w:rPr>
            </w:pPr>
          </w:p>
        </w:tc>
        <w:tc>
          <w:tcPr>
            <w:tcW w:w="1087" w:type="dxa"/>
            <w:tcBorders>
              <w:top w:val="nil"/>
              <w:bottom w:val="nil"/>
            </w:tcBorders>
            <w:tcMar>
              <w:left w:w="57" w:type="dxa"/>
              <w:right w:w="57" w:type="dxa"/>
            </w:tcMar>
            <w:vAlign w:val="center"/>
          </w:tcPr>
          <w:p w14:paraId="0DC5EF49"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–1 867</w:t>
            </w:r>
          </w:p>
        </w:tc>
        <w:tc>
          <w:tcPr>
            <w:tcW w:w="1330" w:type="dxa"/>
            <w:tcBorders>
              <w:top w:val="nil"/>
              <w:bottom w:val="nil"/>
            </w:tcBorders>
            <w:tcMar>
              <w:left w:w="57" w:type="dxa"/>
              <w:right w:w="57" w:type="dxa"/>
            </w:tcMar>
            <w:vAlign w:val="center"/>
          </w:tcPr>
          <w:p w14:paraId="7D79853A"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–1 867</w:t>
            </w:r>
          </w:p>
        </w:tc>
        <w:tc>
          <w:tcPr>
            <w:tcW w:w="1310" w:type="dxa"/>
            <w:tcBorders>
              <w:top w:val="nil"/>
              <w:bottom w:val="nil"/>
            </w:tcBorders>
            <w:tcMar>
              <w:left w:w="57" w:type="dxa"/>
              <w:right w:w="57" w:type="dxa"/>
            </w:tcMar>
            <w:vAlign w:val="center"/>
          </w:tcPr>
          <w:p w14:paraId="39F90DBD" w14:textId="77777777" w:rsidR="00761B6C" w:rsidRPr="00180211" w:rsidRDefault="00761B6C" w:rsidP="00761B6C">
            <w:pPr>
              <w:pStyle w:val="Tabletext"/>
              <w:spacing w:before="0" w:after="40"/>
              <w:jc w:val="right"/>
              <w:rPr>
                <w:b/>
                <w:bCs/>
                <w:sz w:val="18"/>
                <w:szCs w:val="18"/>
                <w:lang w:eastAsia="zh-CN"/>
              </w:rPr>
            </w:pPr>
          </w:p>
        </w:tc>
      </w:tr>
      <w:tr w:rsidR="00761B6C" w:rsidRPr="00236418" w14:paraId="047A0961" w14:textId="77777777" w:rsidTr="00761B6C">
        <w:trPr>
          <w:jc w:val="center"/>
        </w:trPr>
        <w:tc>
          <w:tcPr>
            <w:tcW w:w="3402" w:type="dxa"/>
            <w:tcBorders>
              <w:top w:val="nil"/>
            </w:tcBorders>
            <w:tcMar>
              <w:left w:w="57" w:type="dxa"/>
              <w:right w:w="57" w:type="dxa"/>
            </w:tcMar>
          </w:tcPr>
          <w:p w14:paraId="29544D1C" w14:textId="77777777" w:rsidR="00761B6C" w:rsidRPr="00236418" w:rsidRDefault="00761B6C" w:rsidP="00761B6C">
            <w:pPr>
              <w:pStyle w:val="Tabletext"/>
              <w:spacing w:before="0" w:after="20"/>
              <w:rPr>
                <w:b/>
                <w:bCs/>
                <w:sz w:val="18"/>
                <w:szCs w:val="18"/>
                <w:lang w:eastAsia="fr-FR"/>
              </w:rPr>
            </w:pPr>
            <w:r w:rsidRPr="00236418">
              <w:rPr>
                <w:b/>
                <w:bCs/>
                <w:sz w:val="18"/>
                <w:szCs w:val="18"/>
              </w:rPr>
              <w:t>Prélèvement sur le Fonds de réserve</w:t>
            </w:r>
          </w:p>
        </w:tc>
        <w:tc>
          <w:tcPr>
            <w:tcW w:w="1134" w:type="dxa"/>
            <w:tcBorders>
              <w:top w:val="nil"/>
            </w:tcBorders>
            <w:tcMar>
              <w:left w:w="57" w:type="dxa"/>
              <w:right w:w="57" w:type="dxa"/>
            </w:tcMar>
            <w:vAlign w:val="center"/>
          </w:tcPr>
          <w:p w14:paraId="221EE5FE" w14:textId="77777777" w:rsidR="00761B6C" w:rsidRPr="00180211" w:rsidRDefault="00761B6C" w:rsidP="00761B6C">
            <w:pPr>
              <w:pStyle w:val="Tabletext"/>
              <w:spacing w:before="0" w:after="40"/>
              <w:jc w:val="right"/>
              <w:rPr>
                <w:b/>
                <w:bCs/>
                <w:sz w:val="18"/>
                <w:szCs w:val="18"/>
                <w:lang w:eastAsia="zh-CN"/>
              </w:rPr>
            </w:pPr>
          </w:p>
        </w:tc>
        <w:tc>
          <w:tcPr>
            <w:tcW w:w="1390" w:type="dxa"/>
            <w:tcBorders>
              <w:top w:val="nil"/>
            </w:tcBorders>
            <w:vAlign w:val="center"/>
          </w:tcPr>
          <w:p w14:paraId="166A0B4E" w14:textId="77777777" w:rsidR="00761B6C" w:rsidRPr="00180211" w:rsidRDefault="00761B6C" w:rsidP="00761B6C">
            <w:pPr>
              <w:pStyle w:val="Tabletext"/>
              <w:spacing w:before="0" w:after="40"/>
              <w:jc w:val="right"/>
              <w:rPr>
                <w:sz w:val="18"/>
                <w:szCs w:val="18"/>
                <w:lang w:eastAsia="zh-CN"/>
              </w:rPr>
            </w:pPr>
          </w:p>
        </w:tc>
        <w:tc>
          <w:tcPr>
            <w:tcW w:w="1154" w:type="dxa"/>
            <w:tcBorders>
              <w:top w:val="nil"/>
            </w:tcBorders>
            <w:tcMar>
              <w:left w:w="57" w:type="dxa"/>
              <w:right w:w="57" w:type="dxa"/>
            </w:tcMar>
            <w:vAlign w:val="center"/>
          </w:tcPr>
          <w:p w14:paraId="7D40747E" w14:textId="77777777" w:rsidR="00761B6C" w:rsidRPr="00180211" w:rsidRDefault="00761B6C" w:rsidP="00761B6C">
            <w:pPr>
              <w:pStyle w:val="Tabletext"/>
              <w:spacing w:before="0" w:after="40"/>
              <w:jc w:val="right"/>
              <w:rPr>
                <w:sz w:val="18"/>
                <w:szCs w:val="18"/>
                <w:lang w:eastAsia="zh-CN"/>
              </w:rPr>
            </w:pPr>
            <w:r w:rsidRPr="00180211">
              <w:rPr>
                <w:sz w:val="18"/>
                <w:szCs w:val="18"/>
                <w:lang w:eastAsia="zh-CN"/>
              </w:rPr>
              <w:t> </w:t>
            </w:r>
          </w:p>
        </w:tc>
        <w:tc>
          <w:tcPr>
            <w:tcW w:w="1087" w:type="dxa"/>
            <w:tcBorders>
              <w:top w:val="nil"/>
            </w:tcBorders>
            <w:tcMar>
              <w:left w:w="57" w:type="dxa"/>
              <w:right w:w="57" w:type="dxa"/>
            </w:tcMar>
            <w:vAlign w:val="center"/>
          </w:tcPr>
          <w:p w14:paraId="2CC1F8B7"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w:t>
            </w:r>
          </w:p>
        </w:tc>
        <w:tc>
          <w:tcPr>
            <w:tcW w:w="1330" w:type="dxa"/>
            <w:tcBorders>
              <w:top w:val="nil"/>
            </w:tcBorders>
            <w:tcMar>
              <w:left w:w="57" w:type="dxa"/>
              <w:right w:w="57" w:type="dxa"/>
            </w:tcMar>
            <w:vAlign w:val="center"/>
          </w:tcPr>
          <w:p w14:paraId="286F5089" w14:textId="77777777" w:rsidR="00761B6C" w:rsidRPr="00180211" w:rsidRDefault="00761B6C" w:rsidP="00761B6C">
            <w:pPr>
              <w:pStyle w:val="Tabletext"/>
              <w:spacing w:before="0" w:after="40"/>
              <w:jc w:val="right"/>
              <w:rPr>
                <w:b/>
                <w:bCs/>
                <w:sz w:val="18"/>
                <w:szCs w:val="18"/>
                <w:lang w:eastAsia="zh-CN"/>
              </w:rPr>
            </w:pPr>
          </w:p>
        </w:tc>
        <w:tc>
          <w:tcPr>
            <w:tcW w:w="1310" w:type="dxa"/>
            <w:tcBorders>
              <w:top w:val="nil"/>
            </w:tcBorders>
            <w:tcMar>
              <w:left w:w="57" w:type="dxa"/>
              <w:right w:w="57" w:type="dxa"/>
            </w:tcMar>
            <w:vAlign w:val="center"/>
          </w:tcPr>
          <w:p w14:paraId="51715942"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w:t>
            </w:r>
          </w:p>
        </w:tc>
      </w:tr>
      <w:tr w:rsidR="00761B6C" w:rsidRPr="00236418" w14:paraId="0C339170" w14:textId="77777777" w:rsidTr="00761B6C">
        <w:trPr>
          <w:jc w:val="center"/>
        </w:trPr>
        <w:tc>
          <w:tcPr>
            <w:tcW w:w="3402" w:type="dxa"/>
            <w:tcMar>
              <w:left w:w="57" w:type="dxa"/>
              <w:right w:w="57" w:type="dxa"/>
            </w:tcMar>
          </w:tcPr>
          <w:p w14:paraId="58C67DE4" w14:textId="77777777" w:rsidR="00761B6C" w:rsidRPr="00180211" w:rsidRDefault="00761B6C" w:rsidP="00761B6C">
            <w:pPr>
              <w:pStyle w:val="Tablehead"/>
              <w:spacing w:before="0" w:after="20"/>
              <w:jc w:val="left"/>
              <w:rPr>
                <w:b w:val="0"/>
                <w:sz w:val="18"/>
                <w:szCs w:val="18"/>
              </w:rPr>
            </w:pPr>
            <w:r w:rsidRPr="00180211">
              <w:rPr>
                <w:rFonts w:cs="Arial"/>
                <w:b w:val="0"/>
                <w:color w:val="000000"/>
                <w:sz w:val="18"/>
                <w:szCs w:val="18"/>
                <w:lang w:eastAsia="zh-CN"/>
              </w:rPr>
              <w:t>Économies découlant de la mise en œuvre du budget</w:t>
            </w:r>
          </w:p>
        </w:tc>
        <w:tc>
          <w:tcPr>
            <w:tcW w:w="1134" w:type="dxa"/>
            <w:tcMar>
              <w:left w:w="57" w:type="dxa"/>
              <w:right w:w="57" w:type="dxa"/>
            </w:tcMar>
            <w:vAlign w:val="center"/>
          </w:tcPr>
          <w:p w14:paraId="51D881BF"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3 651</w:t>
            </w:r>
          </w:p>
        </w:tc>
        <w:tc>
          <w:tcPr>
            <w:tcW w:w="1390" w:type="dxa"/>
            <w:vAlign w:val="center"/>
          </w:tcPr>
          <w:p w14:paraId="79F66821" w14:textId="77777777" w:rsidR="00761B6C" w:rsidRPr="00180211" w:rsidRDefault="00761B6C" w:rsidP="00761B6C">
            <w:pPr>
              <w:pStyle w:val="Tabletext"/>
              <w:spacing w:before="0" w:after="40"/>
              <w:jc w:val="right"/>
              <w:rPr>
                <w:sz w:val="18"/>
                <w:szCs w:val="18"/>
                <w:lang w:eastAsia="zh-CN"/>
              </w:rPr>
            </w:pPr>
            <w:r w:rsidRPr="00180211">
              <w:rPr>
                <w:sz w:val="18"/>
                <w:szCs w:val="18"/>
                <w:lang w:eastAsia="zh-CN"/>
              </w:rPr>
              <w:t> </w:t>
            </w:r>
          </w:p>
        </w:tc>
        <w:tc>
          <w:tcPr>
            <w:tcW w:w="1154" w:type="dxa"/>
            <w:tcMar>
              <w:left w:w="57" w:type="dxa"/>
              <w:right w:w="57" w:type="dxa"/>
            </w:tcMar>
            <w:vAlign w:val="center"/>
          </w:tcPr>
          <w:p w14:paraId="7D05C1D4" w14:textId="77777777" w:rsidR="00761B6C" w:rsidRPr="00180211" w:rsidRDefault="00761B6C" w:rsidP="00761B6C">
            <w:pPr>
              <w:pStyle w:val="Tabletext"/>
              <w:spacing w:before="0" w:after="40"/>
              <w:jc w:val="right"/>
              <w:rPr>
                <w:sz w:val="18"/>
                <w:szCs w:val="18"/>
                <w:lang w:eastAsia="zh-CN"/>
              </w:rPr>
            </w:pPr>
            <w:r w:rsidRPr="00180211">
              <w:rPr>
                <w:sz w:val="18"/>
                <w:szCs w:val="18"/>
                <w:lang w:eastAsia="zh-CN"/>
              </w:rPr>
              <w:t> </w:t>
            </w:r>
          </w:p>
        </w:tc>
        <w:tc>
          <w:tcPr>
            <w:tcW w:w="1087" w:type="dxa"/>
            <w:tcMar>
              <w:left w:w="57" w:type="dxa"/>
              <w:right w:w="57" w:type="dxa"/>
            </w:tcMar>
            <w:vAlign w:val="center"/>
          </w:tcPr>
          <w:p w14:paraId="60E9EE5B" w14:textId="77777777" w:rsidR="00761B6C" w:rsidRPr="00180211" w:rsidRDefault="00761B6C" w:rsidP="00761B6C">
            <w:pPr>
              <w:pStyle w:val="Tabletext"/>
              <w:spacing w:before="0" w:after="40"/>
              <w:jc w:val="right"/>
              <w:rPr>
                <w:b/>
                <w:bCs/>
                <w:sz w:val="18"/>
                <w:szCs w:val="18"/>
                <w:lang w:eastAsia="zh-CN"/>
              </w:rPr>
            </w:pPr>
          </w:p>
        </w:tc>
        <w:tc>
          <w:tcPr>
            <w:tcW w:w="1330" w:type="dxa"/>
            <w:tcMar>
              <w:left w:w="57" w:type="dxa"/>
              <w:right w:w="57" w:type="dxa"/>
            </w:tcMar>
            <w:vAlign w:val="center"/>
          </w:tcPr>
          <w:p w14:paraId="0969FB25"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w:t>
            </w:r>
          </w:p>
        </w:tc>
        <w:tc>
          <w:tcPr>
            <w:tcW w:w="1310" w:type="dxa"/>
            <w:tcMar>
              <w:left w:w="57" w:type="dxa"/>
              <w:right w:w="57" w:type="dxa"/>
            </w:tcMar>
            <w:vAlign w:val="center"/>
          </w:tcPr>
          <w:p w14:paraId="41D46500"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–3 651</w:t>
            </w:r>
          </w:p>
        </w:tc>
      </w:tr>
      <w:tr w:rsidR="00761B6C" w:rsidRPr="00236418" w14:paraId="4894CC0E" w14:textId="77777777" w:rsidTr="00761B6C">
        <w:trPr>
          <w:jc w:val="center"/>
        </w:trPr>
        <w:tc>
          <w:tcPr>
            <w:tcW w:w="3402" w:type="dxa"/>
            <w:tcMar>
              <w:left w:w="57" w:type="dxa"/>
              <w:right w:w="57" w:type="dxa"/>
            </w:tcMar>
          </w:tcPr>
          <w:p w14:paraId="315F2066" w14:textId="77777777" w:rsidR="00761B6C" w:rsidRPr="00236418" w:rsidRDefault="00761B6C" w:rsidP="00761B6C">
            <w:pPr>
              <w:pStyle w:val="Tablehead"/>
              <w:spacing w:before="0" w:after="20"/>
              <w:jc w:val="left"/>
              <w:rPr>
                <w:bCs/>
                <w:sz w:val="18"/>
                <w:szCs w:val="18"/>
              </w:rPr>
            </w:pPr>
            <w:r w:rsidRPr="00236418">
              <w:rPr>
                <w:bCs/>
                <w:sz w:val="18"/>
                <w:szCs w:val="18"/>
              </w:rPr>
              <w:t>Total des produits</w:t>
            </w:r>
          </w:p>
        </w:tc>
        <w:tc>
          <w:tcPr>
            <w:tcW w:w="1134" w:type="dxa"/>
            <w:tcMar>
              <w:left w:w="57" w:type="dxa"/>
              <w:right w:w="57" w:type="dxa"/>
            </w:tcMar>
            <w:vAlign w:val="center"/>
          </w:tcPr>
          <w:p w14:paraId="296AB110"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167 478</w:t>
            </w:r>
          </w:p>
        </w:tc>
        <w:tc>
          <w:tcPr>
            <w:tcW w:w="1390" w:type="dxa"/>
            <w:vAlign w:val="center"/>
          </w:tcPr>
          <w:p w14:paraId="7D177BA4"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–1 867</w:t>
            </w:r>
          </w:p>
        </w:tc>
        <w:tc>
          <w:tcPr>
            <w:tcW w:w="1154" w:type="dxa"/>
            <w:tcMar>
              <w:left w:w="57" w:type="dxa"/>
              <w:right w:w="57" w:type="dxa"/>
            </w:tcMar>
            <w:vAlign w:val="center"/>
          </w:tcPr>
          <w:p w14:paraId="08EF31B3" w14:textId="77777777" w:rsidR="00761B6C" w:rsidRPr="00180211" w:rsidRDefault="00761B6C" w:rsidP="00761B6C">
            <w:pPr>
              <w:pStyle w:val="Tabletext"/>
              <w:spacing w:before="0" w:after="40"/>
              <w:jc w:val="right"/>
              <w:rPr>
                <w:b/>
                <w:bCs/>
                <w:sz w:val="18"/>
                <w:szCs w:val="18"/>
                <w:lang w:eastAsia="zh-CN"/>
              </w:rPr>
            </w:pPr>
          </w:p>
        </w:tc>
        <w:tc>
          <w:tcPr>
            <w:tcW w:w="1087" w:type="dxa"/>
            <w:tcMar>
              <w:left w:w="57" w:type="dxa"/>
              <w:right w:w="57" w:type="dxa"/>
            </w:tcMar>
            <w:vAlign w:val="center"/>
          </w:tcPr>
          <w:p w14:paraId="5B5261E3"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165 611</w:t>
            </w:r>
          </w:p>
        </w:tc>
        <w:tc>
          <w:tcPr>
            <w:tcW w:w="1330" w:type="dxa"/>
            <w:tcMar>
              <w:left w:w="57" w:type="dxa"/>
              <w:right w:w="57" w:type="dxa"/>
            </w:tcMar>
            <w:vAlign w:val="center"/>
          </w:tcPr>
          <w:p w14:paraId="028234B5"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153 435</w:t>
            </w:r>
          </w:p>
        </w:tc>
        <w:tc>
          <w:tcPr>
            <w:tcW w:w="1310" w:type="dxa"/>
            <w:tcMar>
              <w:left w:w="57" w:type="dxa"/>
              <w:right w:w="57" w:type="dxa"/>
            </w:tcMar>
            <w:vAlign w:val="center"/>
          </w:tcPr>
          <w:p w14:paraId="582CC52A" w14:textId="77777777" w:rsidR="00761B6C" w:rsidRPr="00180211" w:rsidRDefault="00761B6C" w:rsidP="00761B6C">
            <w:pPr>
              <w:pStyle w:val="Tabletext"/>
              <w:spacing w:before="0" w:after="40"/>
              <w:jc w:val="right"/>
              <w:rPr>
                <w:b/>
                <w:bCs/>
                <w:sz w:val="18"/>
                <w:szCs w:val="18"/>
                <w:lang w:eastAsia="zh-CN"/>
              </w:rPr>
            </w:pPr>
            <w:r w:rsidRPr="00180211">
              <w:rPr>
                <w:b/>
                <w:bCs/>
                <w:sz w:val="18"/>
                <w:szCs w:val="18"/>
                <w:lang w:eastAsia="zh-CN"/>
              </w:rPr>
              <w:t>–12 176</w:t>
            </w:r>
          </w:p>
        </w:tc>
      </w:tr>
      <w:tr w:rsidR="00761B6C" w:rsidRPr="00236418" w14:paraId="4906C44E" w14:textId="77777777" w:rsidTr="00761B6C">
        <w:trPr>
          <w:jc w:val="center"/>
        </w:trPr>
        <w:tc>
          <w:tcPr>
            <w:tcW w:w="3402" w:type="dxa"/>
            <w:vMerge w:val="restart"/>
            <w:tcMar>
              <w:left w:w="57" w:type="dxa"/>
              <w:right w:w="57" w:type="dxa"/>
            </w:tcMar>
            <w:vAlign w:val="center"/>
          </w:tcPr>
          <w:p w14:paraId="0F64FFDE" w14:textId="77777777" w:rsidR="00761B6C" w:rsidRPr="00236418" w:rsidRDefault="00761B6C" w:rsidP="00761B6C">
            <w:pPr>
              <w:pStyle w:val="Tablehead"/>
              <w:spacing w:before="0" w:after="40"/>
              <w:rPr>
                <w:sz w:val="18"/>
                <w:szCs w:val="18"/>
              </w:rPr>
            </w:pPr>
            <w:r w:rsidRPr="00236418">
              <w:rPr>
                <w:sz w:val="18"/>
                <w:szCs w:val="18"/>
              </w:rPr>
              <w:t>Charges</w:t>
            </w:r>
          </w:p>
        </w:tc>
        <w:tc>
          <w:tcPr>
            <w:tcW w:w="4765" w:type="dxa"/>
            <w:gridSpan w:val="4"/>
          </w:tcPr>
          <w:p w14:paraId="30B8A5C4" w14:textId="77777777" w:rsidR="00761B6C" w:rsidRPr="00236418" w:rsidRDefault="00761B6C" w:rsidP="00761B6C">
            <w:pPr>
              <w:pStyle w:val="Tablehead"/>
              <w:spacing w:before="0" w:after="20"/>
              <w:rPr>
                <w:sz w:val="18"/>
                <w:szCs w:val="18"/>
              </w:rPr>
            </w:pPr>
            <w:r w:rsidRPr="00236418">
              <w:rPr>
                <w:sz w:val="18"/>
                <w:szCs w:val="18"/>
              </w:rPr>
              <w:t>Montants budgétés</w:t>
            </w:r>
          </w:p>
        </w:tc>
        <w:tc>
          <w:tcPr>
            <w:tcW w:w="1330" w:type="dxa"/>
            <w:vMerge w:val="restart"/>
            <w:tcMar>
              <w:left w:w="57" w:type="dxa"/>
              <w:right w:w="57" w:type="dxa"/>
            </w:tcMar>
            <w:vAlign w:val="center"/>
          </w:tcPr>
          <w:p w14:paraId="4EAC4A38" w14:textId="28415018" w:rsidR="00761B6C" w:rsidRPr="00236418" w:rsidRDefault="00761B6C" w:rsidP="00F837C1">
            <w:pPr>
              <w:pStyle w:val="Tablehead"/>
              <w:spacing w:before="0" w:after="20"/>
              <w:rPr>
                <w:sz w:val="18"/>
                <w:szCs w:val="18"/>
              </w:rPr>
            </w:pPr>
            <w:r w:rsidRPr="00236418">
              <w:rPr>
                <w:sz w:val="18"/>
                <w:szCs w:val="18"/>
              </w:rPr>
              <w:t>Montants</w:t>
            </w:r>
            <w:r w:rsidR="00F837C1">
              <w:rPr>
                <w:sz w:val="18"/>
                <w:szCs w:val="18"/>
              </w:rPr>
              <w:br/>
            </w:r>
            <w:r w:rsidRPr="00236418">
              <w:rPr>
                <w:sz w:val="18"/>
                <w:szCs w:val="18"/>
              </w:rPr>
              <w:t>effectifs sur</w:t>
            </w:r>
            <w:r w:rsidR="00F837C1">
              <w:rPr>
                <w:sz w:val="18"/>
                <w:szCs w:val="18"/>
              </w:rPr>
              <w:br/>
            </w:r>
            <w:r w:rsidRPr="00236418">
              <w:rPr>
                <w:sz w:val="18"/>
                <w:szCs w:val="18"/>
              </w:rPr>
              <w:t>une base</w:t>
            </w:r>
            <w:r w:rsidR="00F837C1">
              <w:rPr>
                <w:sz w:val="18"/>
                <w:szCs w:val="18"/>
              </w:rPr>
              <w:br/>
            </w:r>
            <w:r w:rsidRPr="00236418">
              <w:rPr>
                <w:sz w:val="18"/>
                <w:szCs w:val="18"/>
              </w:rPr>
              <w:t>comparable</w:t>
            </w:r>
          </w:p>
        </w:tc>
        <w:tc>
          <w:tcPr>
            <w:tcW w:w="1310" w:type="dxa"/>
            <w:vMerge w:val="restart"/>
            <w:tcMar>
              <w:left w:w="57" w:type="dxa"/>
              <w:right w:w="57" w:type="dxa"/>
            </w:tcMar>
            <w:vAlign w:val="center"/>
          </w:tcPr>
          <w:p w14:paraId="42A82E58" w14:textId="77777777" w:rsidR="00761B6C" w:rsidRPr="00236418" w:rsidRDefault="00761B6C" w:rsidP="00761B6C">
            <w:pPr>
              <w:pStyle w:val="Tablehead"/>
              <w:spacing w:before="0" w:after="20"/>
              <w:rPr>
                <w:sz w:val="18"/>
                <w:szCs w:val="18"/>
              </w:rPr>
            </w:pPr>
            <w:r w:rsidRPr="00236418">
              <w:rPr>
                <w:sz w:val="18"/>
                <w:szCs w:val="18"/>
              </w:rPr>
              <w:t>Différence entre budget final et montants effectifs</w:t>
            </w:r>
          </w:p>
        </w:tc>
      </w:tr>
      <w:tr w:rsidR="00761B6C" w:rsidRPr="00236418" w14:paraId="6FF5D146" w14:textId="77777777" w:rsidTr="00761B6C">
        <w:trPr>
          <w:trHeight w:val="952"/>
          <w:jc w:val="center"/>
        </w:trPr>
        <w:tc>
          <w:tcPr>
            <w:tcW w:w="3402" w:type="dxa"/>
            <w:vMerge/>
            <w:tcMar>
              <w:left w:w="57" w:type="dxa"/>
              <w:right w:w="57" w:type="dxa"/>
            </w:tcMar>
          </w:tcPr>
          <w:p w14:paraId="23A5B21D" w14:textId="77777777" w:rsidR="00761B6C" w:rsidRPr="00236418" w:rsidRDefault="00761B6C" w:rsidP="00761B6C">
            <w:pPr>
              <w:pStyle w:val="Tablehead"/>
              <w:spacing w:before="0" w:after="40"/>
              <w:rPr>
                <w:sz w:val="18"/>
                <w:szCs w:val="18"/>
              </w:rPr>
            </w:pPr>
          </w:p>
        </w:tc>
        <w:tc>
          <w:tcPr>
            <w:tcW w:w="1134" w:type="dxa"/>
            <w:tcMar>
              <w:left w:w="57" w:type="dxa"/>
              <w:right w:w="57" w:type="dxa"/>
            </w:tcMar>
            <w:vAlign w:val="center"/>
          </w:tcPr>
          <w:p w14:paraId="26AECAD8" w14:textId="77777777" w:rsidR="00761B6C" w:rsidRPr="00236418" w:rsidRDefault="00761B6C" w:rsidP="00761B6C">
            <w:pPr>
              <w:pStyle w:val="Tablehead"/>
              <w:spacing w:before="0" w:after="20"/>
              <w:rPr>
                <w:sz w:val="18"/>
                <w:szCs w:val="18"/>
              </w:rPr>
            </w:pPr>
            <w:r w:rsidRPr="00236418">
              <w:rPr>
                <w:sz w:val="18"/>
                <w:szCs w:val="18"/>
              </w:rPr>
              <w:t>Budget</w:t>
            </w:r>
          </w:p>
          <w:p w14:paraId="1AA87ED0" w14:textId="77777777" w:rsidR="00761B6C" w:rsidRPr="00236418" w:rsidRDefault="00761B6C" w:rsidP="00761B6C">
            <w:pPr>
              <w:pStyle w:val="Tablehead"/>
              <w:spacing w:before="0" w:after="20"/>
              <w:rPr>
                <w:sz w:val="18"/>
                <w:szCs w:val="18"/>
              </w:rPr>
            </w:pPr>
            <w:r w:rsidRPr="00236418">
              <w:rPr>
                <w:sz w:val="18"/>
                <w:szCs w:val="18"/>
              </w:rPr>
              <w:t>initial</w:t>
            </w:r>
          </w:p>
        </w:tc>
        <w:tc>
          <w:tcPr>
            <w:tcW w:w="1390" w:type="dxa"/>
            <w:vAlign w:val="center"/>
          </w:tcPr>
          <w:p w14:paraId="4D15A9D5" w14:textId="77777777" w:rsidR="00761B6C" w:rsidRPr="00236418" w:rsidRDefault="00761B6C" w:rsidP="00761B6C">
            <w:pPr>
              <w:pStyle w:val="Tablehead"/>
              <w:spacing w:before="0" w:after="20"/>
              <w:rPr>
                <w:sz w:val="18"/>
                <w:szCs w:val="18"/>
              </w:rPr>
            </w:pPr>
            <w:r w:rsidRPr="00236418">
              <w:rPr>
                <w:rFonts w:asciiTheme="minorHAnsi" w:hAnsiTheme="minorHAnsi" w:cs="Arial"/>
                <w:bCs/>
                <w:color w:val="000000"/>
                <w:sz w:val="18"/>
                <w:szCs w:val="18"/>
                <w:lang w:eastAsia="zh-CN"/>
              </w:rPr>
              <w:t>Activités reportées</w:t>
            </w:r>
          </w:p>
        </w:tc>
        <w:tc>
          <w:tcPr>
            <w:tcW w:w="1154" w:type="dxa"/>
            <w:tcMar>
              <w:left w:w="57" w:type="dxa"/>
              <w:right w:w="57" w:type="dxa"/>
            </w:tcMar>
            <w:vAlign w:val="center"/>
          </w:tcPr>
          <w:p w14:paraId="53213A07" w14:textId="77777777" w:rsidR="00761B6C" w:rsidRPr="00236418" w:rsidRDefault="00761B6C" w:rsidP="00761B6C">
            <w:pPr>
              <w:pStyle w:val="Tablehead"/>
              <w:spacing w:before="0" w:after="20"/>
              <w:rPr>
                <w:sz w:val="18"/>
                <w:szCs w:val="18"/>
              </w:rPr>
            </w:pPr>
            <w:r w:rsidRPr="00236418">
              <w:rPr>
                <w:sz w:val="18"/>
                <w:szCs w:val="18"/>
              </w:rPr>
              <w:t>Transferts budgétaires</w:t>
            </w:r>
          </w:p>
        </w:tc>
        <w:tc>
          <w:tcPr>
            <w:tcW w:w="1087" w:type="dxa"/>
            <w:tcMar>
              <w:left w:w="57" w:type="dxa"/>
              <w:right w:w="57" w:type="dxa"/>
            </w:tcMar>
            <w:vAlign w:val="center"/>
          </w:tcPr>
          <w:p w14:paraId="3CBBFCBA" w14:textId="77777777" w:rsidR="00761B6C" w:rsidRPr="00236418" w:rsidRDefault="00761B6C" w:rsidP="00761B6C">
            <w:pPr>
              <w:pStyle w:val="Tablehead"/>
              <w:spacing w:before="0" w:after="20"/>
              <w:rPr>
                <w:sz w:val="18"/>
                <w:szCs w:val="18"/>
              </w:rPr>
            </w:pPr>
            <w:r w:rsidRPr="00236418">
              <w:rPr>
                <w:sz w:val="18"/>
                <w:szCs w:val="18"/>
                <w:lang w:eastAsia="fr-FR"/>
              </w:rPr>
              <w:t>Budget final</w:t>
            </w:r>
          </w:p>
        </w:tc>
        <w:tc>
          <w:tcPr>
            <w:tcW w:w="1330" w:type="dxa"/>
            <w:vMerge/>
            <w:tcMar>
              <w:left w:w="57" w:type="dxa"/>
              <w:right w:w="57" w:type="dxa"/>
            </w:tcMar>
          </w:tcPr>
          <w:p w14:paraId="12DB51C7" w14:textId="77777777" w:rsidR="00761B6C" w:rsidRPr="00236418" w:rsidRDefault="00761B6C" w:rsidP="00761B6C">
            <w:pPr>
              <w:pStyle w:val="Tablehead"/>
              <w:spacing w:before="0" w:after="20"/>
              <w:rPr>
                <w:sz w:val="18"/>
                <w:szCs w:val="18"/>
              </w:rPr>
            </w:pPr>
          </w:p>
        </w:tc>
        <w:tc>
          <w:tcPr>
            <w:tcW w:w="1310" w:type="dxa"/>
            <w:vMerge/>
            <w:tcMar>
              <w:left w:w="57" w:type="dxa"/>
              <w:right w:w="57" w:type="dxa"/>
            </w:tcMar>
          </w:tcPr>
          <w:p w14:paraId="02DCE97B" w14:textId="77777777" w:rsidR="00761B6C" w:rsidRPr="00236418" w:rsidRDefault="00761B6C" w:rsidP="00761B6C">
            <w:pPr>
              <w:pStyle w:val="Tablehead"/>
              <w:spacing w:before="0" w:after="20"/>
              <w:rPr>
                <w:sz w:val="18"/>
                <w:szCs w:val="18"/>
              </w:rPr>
            </w:pPr>
          </w:p>
        </w:tc>
      </w:tr>
      <w:tr w:rsidR="00761B6C" w:rsidRPr="00236418" w14:paraId="5ECB1B34" w14:textId="77777777" w:rsidTr="00761B6C">
        <w:trPr>
          <w:jc w:val="center"/>
        </w:trPr>
        <w:tc>
          <w:tcPr>
            <w:tcW w:w="3402" w:type="dxa"/>
            <w:vMerge/>
            <w:tcBorders>
              <w:bottom w:val="single" w:sz="4" w:space="0" w:color="auto"/>
            </w:tcBorders>
            <w:tcMar>
              <w:left w:w="57" w:type="dxa"/>
              <w:right w:w="57" w:type="dxa"/>
            </w:tcMar>
          </w:tcPr>
          <w:p w14:paraId="446A501C" w14:textId="77777777" w:rsidR="00761B6C" w:rsidRPr="00236418" w:rsidRDefault="00761B6C" w:rsidP="00761B6C">
            <w:pPr>
              <w:pStyle w:val="Tablehead"/>
              <w:spacing w:before="0" w:after="40"/>
              <w:rPr>
                <w:sz w:val="18"/>
                <w:szCs w:val="18"/>
              </w:rPr>
            </w:pPr>
          </w:p>
        </w:tc>
        <w:tc>
          <w:tcPr>
            <w:tcW w:w="1134" w:type="dxa"/>
            <w:tcBorders>
              <w:bottom w:val="single" w:sz="4" w:space="0" w:color="auto"/>
            </w:tcBorders>
            <w:tcMar>
              <w:left w:w="57" w:type="dxa"/>
              <w:right w:w="57" w:type="dxa"/>
            </w:tcMar>
            <w:vAlign w:val="center"/>
          </w:tcPr>
          <w:p w14:paraId="3D901F4F"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c>
          <w:tcPr>
            <w:tcW w:w="1390" w:type="dxa"/>
            <w:tcBorders>
              <w:bottom w:val="single" w:sz="4" w:space="0" w:color="auto"/>
            </w:tcBorders>
          </w:tcPr>
          <w:p w14:paraId="5D0DEB12"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c>
          <w:tcPr>
            <w:tcW w:w="1154" w:type="dxa"/>
            <w:tcBorders>
              <w:bottom w:val="single" w:sz="4" w:space="0" w:color="auto"/>
            </w:tcBorders>
            <w:tcMar>
              <w:left w:w="57" w:type="dxa"/>
              <w:right w:w="57" w:type="dxa"/>
            </w:tcMar>
            <w:vAlign w:val="center"/>
          </w:tcPr>
          <w:p w14:paraId="79FFF56A"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c>
          <w:tcPr>
            <w:tcW w:w="1087" w:type="dxa"/>
            <w:tcBorders>
              <w:bottom w:val="single" w:sz="4" w:space="0" w:color="auto"/>
            </w:tcBorders>
            <w:tcMar>
              <w:left w:w="57" w:type="dxa"/>
              <w:right w:w="57" w:type="dxa"/>
            </w:tcMar>
            <w:vAlign w:val="center"/>
          </w:tcPr>
          <w:p w14:paraId="6B76E894"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c>
          <w:tcPr>
            <w:tcW w:w="1330" w:type="dxa"/>
            <w:tcBorders>
              <w:bottom w:val="single" w:sz="4" w:space="0" w:color="auto"/>
            </w:tcBorders>
            <w:tcMar>
              <w:left w:w="57" w:type="dxa"/>
              <w:right w:w="57" w:type="dxa"/>
            </w:tcMar>
            <w:vAlign w:val="center"/>
          </w:tcPr>
          <w:p w14:paraId="4BC56662"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c>
          <w:tcPr>
            <w:tcW w:w="1310" w:type="dxa"/>
            <w:tcBorders>
              <w:bottom w:val="single" w:sz="4" w:space="0" w:color="auto"/>
            </w:tcBorders>
            <w:tcMar>
              <w:left w:w="57" w:type="dxa"/>
              <w:right w:w="57" w:type="dxa"/>
            </w:tcMar>
            <w:vAlign w:val="center"/>
          </w:tcPr>
          <w:p w14:paraId="6EF597BD" w14:textId="77777777" w:rsidR="00761B6C" w:rsidRPr="00236418" w:rsidRDefault="00761B6C" w:rsidP="00761B6C">
            <w:pPr>
              <w:pStyle w:val="Tablehead"/>
              <w:spacing w:before="0" w:after="20"/>
              <w:rPr>
                <w:sz w:val="18"/>
                <w:szCs w:val="18"/>
                <w:lang w:eastAsia="fr-FR"/>
              </w:rPr>
            </w:pPr>
            <w:r w:rsidRPr="00236418">
              <w:rPr>
                <w:sz w:val="18"/>
                <w:szCs w:val="18"/>
                <w:lang w:eastAsia="fr-FR"/>
              </w:rPr>
              <w:t>31.12.20</w:t>
            </w:r>
            <w:r>
              <w:rPr>
                <w:sz w:val="18"/>
                <w:szCs w:val="18"/>
                <w:lang w:eastAsia="fr-FR"/>
              </w:rPr>
              <w:t>20</w:t>
            </w:r>
          </w:p>
        </w:tc>
      </w:tr>
      <w:tr w:rsidR="00761B6C" w:rsidRPr="00236418" w14:paraId="131DEA9A" w14:textId="77777777" w:rsidTr="00761B6C">
        <w:trPr>
          <w:jc w:val="center"/>
        </w:trPr>
        <w:tc>
          <w:tcPr>
            <w:tcW w:w="3402" w:type="dxa"/>
            <w:tcBorders>
              <w:bottom w:val="nil"/>
            </w:tcBorders>
            <w:tcMar>
              <w:left w:w="57" w:type="dxa"/>
              <w:right w:w="57" w:type="dxa"/>
            </w:tcMar>
            <w:vAlign w:val="center"/>
          </w:tcPr>
          <w:p w14:paraId="30DF894F" w14:textId="77777777" w:rsidR="00761B6C" w:rsidRPr="00236418" w:rsidRDefault="00761B6C" w:rsidP="00761B6C">
            <w:pPr>
              <w:pStyle w:val="Tabletext"/>
              <w:spacing w:before="0" w:after="40"/>
              <w:rPr>
                <w:i/>
                <w:iCs/>
                <w:sz w:val="18"/>
                <w:szCs w:val="18"/>
                <w:lang w:eastAsia="fr-FR"/>
              </w:rPr>
            </w:pPr>
            <w:r w:rsidRPr="00236418">
              <w:rPr>
                <w:i/>
                <w:iCs/>
                <w:sz w:val="18"/>
                <w:szCs w:val="18"/>
              </w:rPr>
              <w:t>Secrétariat général</w:t>
            </w:r>
          </w:p>
        </w:tc>
        <w:tc>
          <w:tcPr>
            <w:tcW w:w="1134" w:type="dxa"/>
            <w:tcBorders>
              <w:bottom w:val="nil"/>
            </w:tcBorders>
            <w:tcMar>
              <w:left w:w="57" w:type="dxa"/>
              <w:right w:w="57" w:type="dxa"/>
            </w:tcMar>
            <w:vAlign w:val="bottom"/>
          </w:tcPr>
          <w:p w14:paraId="0AA3795D"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91 920</w:t>
            </w:r>
          </w:p>
        </w:tc>
        <w:tc>
          <w:tcPr>
            <w:tcW w:w="1390" w:type="dxa"/>
            <w:tcBorders>
              <w:bottom w:val="nil"/>
            </w:tcBorders>
            <w:vAlign w:val="bottom"/>
          </w:tcPr>
          <w:p w14:paraId="3C739A36"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154" w:type="dxa"/>
            <w:tcBorders>
              <w:bottom w:val="nil"/>
            </w:tcBorders>
            <w:tcMar>
              <w:left w:w="57" w:type="dxa"/>
              <w:right w:w="57" w:type="dxa"/>
            </w:tcMar>
            <w:vAlign w:val="bottom"/>
          </w:tcPr>
          <w:p w14:paraId="39EFD0A6" w14:textId="76A3D69B"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087" w:type="dxa"/>
            <w:tcBorders>
              <w:bottom w:val="nil"/>
            </w:tcBorders>
            <w:tcMar>
              <w:left w:w="57" w:type="dxa"/>
              <w:right w:w="57" w:type="dxa"/>
            </w:tcMar>
            <w:vAlign w:val="bottom"/>
          </w:tcPr>
          <w:p w14:paraId="402451A3" w14:textId="10906D00" w:rsidR="00761B6C" w:rsidRPr="00E94FBF" w:rsidRDefault="00F837C1"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91 920</w:t>
            </w:r>
          </w:p>
        </w:tc>
        <w:tc>
          <w:tcPr>
            <w:tcW w:w="1330" w:type="dxa"/>
            <w:tcBorders>
              <w:bottom w:val="nil"/>
            </w:tcBorders>
            <w:tcMar>
              <w:left w:w="57" w:type="dxa"/>
              <w:right w:w="57" w:type="dxa"/>
            </w:tcMar>
            <w:vAlign w:val="bottom"/>
          </w:tcPr>
          <w:p w14:paraId="4C5CB22E"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84 764</w:t>
            </w:r>
          </w:p>
        </w:tc>
        <w:tc>
          <w:tcPr>
            <w:tcW w:w="1310" w:type="dxa"/>
            <w:tcBorders>
              <w:bottom w:val="nil"/>
            </w:tcBorders>
            <w:tcMar>
              <w:left w:w="57" w:type="dxa"/>
              <w:right w:w="57" w:type="dxa"/>
            </w:tcMar>
            <w:vAlign w:val="bottom"/>
          </w:tcPr>
          <w:p w14:paraId="1B2C71FE" w14:textId="48BD3F24" w:rsidR="00761B6C" w:rsidRPr="00E94FBF" w:rsidRDefault="00F837C1" w:rsidP="00761B6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7 156</w:t>
            </w:r>
          </w:p>
        </w:tc>
      </w:tr>
      <w:tr w:rsidR="00761B6C" w:rsidRPr="00236418" w14:paraId="7A8498D2" w14:textId="77777777" w:rsidTr="00761B6C">
        <w:trPr>
          <w:trHeight w:val="181"/>
          <w:jc w:val="center"/>
        </w:trPr>
        <w:tc>
          <w:tcPr>
            <w:tcW w:w="3402" w:type="dxa"/>
            <w:tcBorders>
              <w:top w:val="nil"/>
              <w:bottom w:val="nil"/>
            </w:tcBorders>
            <w:tcMar>
              <w:left w:w="57" w:type="dxa"/>
              <w:right w:w="57" w:type="dxa"/>
            </w:tcMar>
            <w:vAlign w:val="center"/>
          </w:tcPr>
          <w:p w14:paraId="7DBDDACD" w14:textId="77777777" w:rsidR="00761B6C" w:rsidRPr="00236418" w:rsidRDefault="00761B6C" w:rsidP="00761B6C">
            <w:pPr>
              <w:pStyle w:val="Tabletext"/>
              <w:spacing w:before="0" w:after="40"/>
              <w:rPr>
                <w:i/>
                <w:iCs/>
                <w:sz w:val="18"/>
                <w:szCs w:val="18"/>
                <w:lang w:eastAsia="fr-FR"/>
              </w:rPr>
            </w:pPr>
            <w:r w:rsidRPr="00236418">
              <w:rPr>
                <w:i/>
                <w:iCs/>
                <w:sz w:val="18"/>
                <w:szCs w:val="18"/>
              </w:rPr>
              <w:t>Secteur des radiocommunications</w:t>
            </w:r>
          </w:p>
        </w:tc>
        <w:tc>
          <w:tcPr>
            <w:tcW w:w="1134" w:type="dxa"/>
            <w:tcBorders>
              <w:top w:val="nil"/>
              <w:bottom w:val="nil"/>
            </w:tcBorders>
            <w:tcMar>
              <w:left w:w="57" w:type="dxa"/>
              <w:right w:w="57" w:type="dxa"/>
            </w:tcMar>
          </w:tcPr>
          <w:p w14:paraId="777FE7E6"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29 831</w:t>
            </w:r>
          </w:p>
        </w:tc>
        <w:tc>
          <w:tcPr>
            <w:tcW w:w="1390" w:type="dxa"/>
            <w:tcBorders>
              <w:top w:val="nil"/>
              <w:bottom w:val="nil"/>
            </w:tcBorders>
          </w:tcPr>
          <w:p w14:paraId="00F06575"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154" w:type="dxa"/>
            <w:tcBorders>
              <w:top w:val="nil"/>
              <w:bottom w:val="nil"/>
            </w:tcBorders>
            <w:tcMar>
              <w:left w:w="57" w:type="dxa"/>
              <w:right w:w="57" w:type="dxa"/>
            </w:tcMar>
          </w:tcPr>
          <w:p w14:paraId="2170F992"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087" w:type="dxa"/>
            <w:tcBorders>
              <w:top w:val="nil"/>
              <w:bottom w:val="nil"/>
            </w:tcBorders>
            <w:tcMar>
              <w:left w:w="57" w:type="dxa"/>
              <w:right w:w="57" w:type="dxa"/>
            </w:tcMar>
          </w:tcPr>
          <w:p w14:paraId="06231522"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29 831</w:t>
            </w:r>
          </w:p>
        </w:tc>
        <w:tc>
          <w:tcPr>
            <w:tcW w:w="1330" w:type="dxa"/>
            <w:tcBorders>
              <w:top w:val="nil"/>
              <w:bottom w:val="nil"/>
            </w:tcBorders>
            <w:tcMar>
              <w:left w:w="57" w:type="dxa"/>
              <w:right w:w="57" w:type="dxa"/>
            </w:tcMar>
          </w:tcPr>
          <w:p w14:paraId="0AEE7616"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27 278</w:t>
            </w:r>
          </w:p>
        </w:tc>
        <w:tc>
          <w:tcPr>
            <w:tcW w:w="1310" w:type="dxa"/>
            <w:tcBorders>
              <w:top w:val="nil"/>
              <w:bottom w:val="nil"/>
            </w:tcBorders>
            <w:tcMar>
              <w:left w:w="57" w:type="dxa"/>
              <w:right w:w="57" w:type="dxa"/>
            </w:tcMar>
          </w:tcPr>
          <w:p w14:paraId="7934D2B6"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2 553</w:t>
            </w:r>
          </w:p>
        </w:tc>
      </w:tr>
      <w:tr w:rsidR="00761B6C" w:rsidRPr="00236418" w14:paraId="6BD92DCA" w14:textId="77777777" w:rsidTr="00761B6C">
        <w:trPr>
          <w:jc w:val="center"/>
        </w:trPr>
        <w:tc>
          <w:tcPr>
            <w:tcW w:w="3402" w:type="dxa"/>
            <w:tcBorders>
              <w:top w:val="nil"/>
              <w:bottom w:val="nil"/>
            </w:tcBorders>
            <w:tcMar>
              <w:left w:w="57" w:type="dxa"/>
              <w:right w:w="57" w:type="dxa"/>
            </w:tcMar>
            <w:vAlign w:val="center"/>
          </w:tcPr>
          <w:p w14:paraId="4BE7ACE5" w14:textId="77777777" w:rsidR="00761B6C" w:rsidRPr="00236418" w:rsidRDefault="00761B6C" w:rsidP="00761B6C">
            <w:pPr>
              <w:pStyle w:val="Tabletext"/>
              <w:spacing w:before="0" w:after="40"/>
              <w:rPr>
                <w:i/>
                <w:iCs/>
                <w:sz w:val="18"/>
                <w:szCs w:val="18"/>
                <w:lang w:eastAsia="fr-FR"/>
              </w:rPr>
            </w:pPr>
            <w:r w:rsidRPr="00236418">
              <w:rPr>
                <w:i/>
                <w:iCs/>
                <w:sz w:val="18"/>
                <w:szCs w:val="18"/>
              </w:rPr>
              <w:t>Secteur de la normalisation des télécommunications</w:t>
            </w:r>
          </w:p>
        </w:tc>
        <w:tc>
          <w:tcPr>
            <w:tcW w:w="1134" w:type="dxa"/>
            <w:tcBorders>
              <w:top w:val="nil"/>
              <w:bottom w:val="nil"/>
            </w:tcBorders>
            <w:tcMar>
              <w:left w:w="57" w:type="dxa"/>
              <w:right w:w="57" w:type="dxa"/>
            </w:tcMar>
          </w:tcPr>
          <w:p w14:paraId="11E0A9BB"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14 328</w:t>
            </w:r>
          </w:p>
        </w:tc>
        <w:tc>
          <w:tcPr>
            <w:tcW w:w="1390" w:type="dxa"/>
            <w:tcBorders>
              <w:top w:val="nil"/>
              <w:bottom w:val="nil"/>
            </w:tcBorders>
          </w:tcPr>
          <w:p w14:paraId="72DC2AEB"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154" w:type="dxa"/>
            <w:tcBorders>
              <w:top w:val="nil"/>
              <w:bottom w:val="nil"/>
            </w:tcBorders>
            <w:tcMar>
              <w:left w:w="57" w:type="dxa"/>
              <w:right w:w="57" w:type="dxa"/>
            </w:tcMar>
          </w:tcPr>
          <w:p w14:paraId="03677E39" w14:textId="066CE5DC"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087" w:type="dxa"/>
            <w:tcBorders>
              <w:top w:val="nil"/>
              <w:bottom w:val="nil"/>
            </w:tcBorders>
            <w:tcMar>
              <w:left w:w="57" w:type="dxa"/>
              <w:right w:w="57" w:type="dxa"/>
            </w:tcMar>
          </w:tcPr>
          <w:p w14:paraId="34620622" w14:textId="0F71831B" w:rsidR="00761B6C" w:rsidRPr="00E94FBF" w:rsidRDefault="00761B6C" w:rsidP="00F837C1">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 xml:space="preserve">14 </w:t>
            </w:r>
            <w:r w:rsidR="00F837C1">
              <w:rPr>
                <w:rFonts w:asciiTheme="minorHAnsi" w:hAnsiTheme="minorHAnsi" w:cstheme="minorHAnsi"/>
                <w:i/>
                <w:iCs/>
                <w:sz w:val="18"/>
                <w:szCs w:val="18"/>
                <w:lang w:eastAsia="zh-CN"/>
              </w:rPr>
              <w:t>328</w:t>
            </w:r>
          </w:p>
        </w:tc>
        <w:tc>
          <w:tcPr>
            <w:tcW w:w="1330" w:type="dxa"/>
            <w:tcBorders>
              <w:top w:val="nil"/>
              <w:bottom w:val="nil"/>
            </w:tcBorders>
            <w:tcMar>
              <w:left w:w="57" w:type="dxa"/>
              <w:right w:w="57" w:type="dxa"/>
            </w:tcMar>
          </w:tcPr>
          <w:p w14:paraId="2F920D63"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13 080</w:t>
            </w:r>
          </w:p>
        </w:tc>
        <w:tc>
          <w:tcPr>
            <w:tcW w:w="1310" w:type="dxa"/>
            <w:tcBorders>
              <w:top w:val="nil"/>
              <w:bottom w:val="nil"/>
            </w:tcBorders>
            <w:tcMar>
              <w:left w:w="57" w:type="dxa"/>
              <w:right w:w="57" w:type="dxa"/>
            </w:tcMar>
          </w:tcPr>
          <w:p w14:paraId="111849F0" w14:textId="36B4DFA6" w:rsidR="00761B6C" w:rsidRPr="00E94FBF" w:rsidRDefault="00F837C1" w:rsidP="00761B6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1 248</w:t>
            </w:r>
          </w:p>
        </w:tc>
      </w:tr>
      <w:tr w:rsidR="00761B6C" w:rsidRPr="00236418" w14:paraId="43F57D8C" w14:textId="77777777" w:rsidTr="00761B6C">
        <w:trPr>
          <w:jc w:val="center"/>
        </w:trPr>
        <w:tc>
          <w:tcPr>
            <w:tcW w:w="3402" w:type="dxa"/>
            <w:tcBorders>
              <w:top w:val="nil"/>
              <w:bottom w:val="nil"/>
            </w:tcBorders>
            <w:tcMar>
              <w:left w:w="57" w:type="dxa"/>
              <w:right w:w="57" w:type="dxa"/>
            </w:tcMar>
            <w:vAlign w:val="center"/>
          </w:tcPr>
          <w:p w14:paraId="05BE81AB" w14:textId="77777777" w:rsidR="00761B6C" w:rsidRPr="00236418" w:rsidRDefault="00761B6C" w:rsidP="00761B6C">
            <w:pPr>
              <w:pStyle w:val="Tabletext"/>
              <w:spacing w:before="0" w:after="40"/>
              <w:rPr>
                <w:i/>
                <w:iCs/>
                <w:sz w:val="18"/>
                <w:szCs w:val="18"/>
                <w:lang w:eastAsia="fr-FR"/>
              </w:rPr>
            </w:pPr>
            <w:r w:rsidRPr="00236418">
              <w:rPr>
                <w:i/>
                <w:iCs/>
                <w:sz w:val="18"/>
                <w:szCs w:val="18"/>
              </w:rPr>
              <w:t>Secteur du développement des télécommunications</w:t>
            </w:r>
          </w:p>
        </w:tc>
        <w:tc>
          <w:tcPr>
            <w:tcW w:w="1134" w:type="dxa"/>
            <w:tcBorders>
              <w:top w:val="nil"/>
              <w:bottom w:val="nil"/>
            </w:tcBorders>
            <w:tcMar>
              <w:left w:w="57" w:type="dxa"/>
              <w:right w:w="57" w:type="dxa"/>
            </w:tcMar>
          </w:tcPr>
          <w:p w14:paraId="78812428"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31 399</w:t>
            </w:r>
          </w:p>
        </w:tc>
        <w:tc>
          <w:tcPr>
            <w:tcW w:w="1390" w:type="dxa"/>
            <w:tcBorders>
              <w:top w:val="nil"/>
              <w:bottom w:val="nil"/>
            </w:tcBorders>
          </w:tcPr>
          <w:p w14:paraId="0D5504BA"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154" w:type="dxa"/>
            <w:tcBorders>
              <w:top w:val="nil"/>
              <w:bottom w:val="nil"/>
            </w:tcBorders>
            <w:tcMar>
              <w:left w:w="57" w:type="dxa"/>
              <w:right w:w="57" w:type="dxa"/>
            </w:tcMar>
          </w:tcPr>
          <w:p w14:paraId="11A30028" w14:textId="1ABACB9E"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087" w:type="dxa"/>
            <w:tcBorders>
              <w:top w:val="nil"/>
              <w:bottom w:val="nil"/>
            </w:tcBorders>
            <w:tcMar>
              <w:left w:w="57" w:type="dxa"/>
              <w:right w:w="57" w:type="dxa"/>
            </w:tcMar>
          </w:tcPr>
          <w:p w14:paraId="3549B4EE" w14:textId="3F816241" w:rsidR="00761B6C" w:rsidRPr="00E94FBF" w:rsidRDefault="00F837C1"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31 399</w:t>
            </w:r>
          </w:p>
        </w:tc>
        <w:tc>
          <w:tcPr>
            <w:tcW w:w="1330" w:type="dxa"/>
            <w:tcBorders>
              <w:top w:val="nil"/>
              <w:bottom w:val="nil"/>
            </w:tcBorders>
            <w:tcMar>
              <w:left w:w="57" w:type="dxa"/>
              <w:right w:w="57" w:type="dxa"/>
            </w:tcMar>
          </w:tcPr>
          <w:p w14:paraId="67AEE35A"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29 795</w:t>
            </w:r>
          </w:p>
        </w:tc>
        <w:tc>
          <w:tcPr>
            <w:tcW w:w="1310" w:type="dxa"/>
            <w:tcBorders>
              <w:top w:val="nil"/>
              <w:bottom w:val="nil"/>
            </w:tcBorders>
            <w:tcMar>
              <w:left w:w="57" w:type="dxa"/>
              <w:right w:w="57" w:type="dxa"/>
            </w:tcMar>
          </w:tcPr>
          <w:p w14:paraId="3B54EC2E" w14:textId="23EFDA1E" w:rsidR="00761B6C" w:rsidRPr="00E94FBF" w:rsidRDefault="00F837C1" w:rsidP="00761B6C">
            <w:pPr>
              <w:pStyle w:val="TableText0"/>
              <w:spacing w:before="0"/>
              <w:jc w:val="right"/>
              <w:rPr>
                <w:rFonts w:asciiTheme="minorHAnsi" w:hAnsiTheme="minorHAnsi" w:cstheme="minorHAnsi"/>
                <w:i/>
                <w:iCs/>
                <w:sz w:val="18"/>
                <w:szCs w:val="18"/>
                <w:lang w:eastAsia="zh-CN"/>
              </w:rPr>
            </w:pPr>
            <w:r>
              <w:rPr>
                <w:rFonts w:asciiTheme="minorHAnsi" w:hAnsiTheme="minorHAnsi" w:cstheme="minorHAnsi"/>
                <w:i/>
                <w:iCs/>
                <w:sz w:val="18"/>
                <w:szCs w:val="18"/>
                <w:lang w:eastAsia="zh-CN"/>
              </w:rPr>
              <w:t>1 604</w:t>
            </w:r>
          </w:p>
        </w:tc>
      </w:tr>
      <w:tr w:rsidR="00761B6C" w:rsidRPr="00236418" w14:paraId="475F96E2" w14:textId="77777777" w:rsidTr="00761B6C">
        <w:trPr>
          <w:jc w:val="center"/>
        </w:trPr>
        <w:tc>
          <w:tcPr>
            <w:tcW w:w="3402" w:type="dxa"/>
            <w:tcBorders>
              <w:top w:val="nil"/>
            </w:tcBorders>
            <w:tcMar>
              <w:left w:w="57" w:type="dxa"/>
              <w:right w:w="57" w:type="dxa"/>
            </w:tcMar>
            <w:vAlign w:val="center"/>
          </w:tcPr>
          <w:p w14:paraId="3BDE3FB9" w14:textId="77777777" w:rsidR="00761B6C" w:rsidRPr="00236418" w:rsidRDefault="00761B6C" w:rsidP="00761B6C">
            <w:pPr>
              <w:pStyle w:val="Tabletext"/>
              <w:spacing w:before="0" w:after="40"/>
              <w:rPr>
                <w:i/>
                <w:iCs/>
                <w:sz w:val="18"/>
                <w:szCs w:val="18"/>
                <w:lang w:eastAsia="fr-FR"/>
              </w:rPr>
            </w:pPr>
            <w:r>
              <w:rPr>
                <w:i/>
                <w:iCs/>
                <w:sz w:val="18"/>
                <w:szCs w:val="18"/>
                <w:lang w:eastAsia="fr-FR"/>
              </w:rPr>
              <w:t>Activités reportées</w:t>
            </w:r>
          </w:p>
        </w:tc>
        <w:tc>
          <w:tcPr>
            <w:tcW w:w="1134" w:type="dxa"/>
            <w:tcBorders>
              <w:top w:val="nil"/>
            </w:tcBorders>
            <w:tcMar>
              <w:left w:w="57" w:type="dxa"/>
              <w:right w:w="57" w:type="dxa"/>
            </w:tcMar>
          </w:tcPr>
          <w:p w14:paraId="583F6A35"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390" w:type="dxa"/>
            <w:tcBorders>
              <w:top w:val="nil"/>
            </w:tcBorders>
          </w:tcPr>
          <w:p w14:paraId="13DA5078"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–1 867</w:t>
            </w:r>
          </w:p>
        </w:tc>
        <w:tc>
          <w:tcPr>
            <w:tcW w:w="1154" w:type="dxa"/>
            <w:tcBorders>
              <w:top w:val="nil"/>
            </w:tcBorders>
            <w:tcMar>
              <w:left w:w="57" w:type="dxa"/>
              <w:right w:w="57" w:type="dxa"/>
            </w:tcMar>
          </w:tcPr>
          <w:p w14:paraId="394DBD92"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087" w:type="dxa"/>
            <w:tcBorders>
              <w:top w:val="nil"/>
            </w:tcBorders>
            <w:tcMar>
              <w:left w:w="57" w:type="dxa"/>
              <w:right w:w="57" w:type="dxa"/>
            </w:tcMar>
          </w:tcPr>
          <w:p w14:paraId="766E69CB"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–1 867</w:t>
            </w:r>
          </w:p>
        </w:tc>
        <w:tc>
          <w:tcPr>
            <w:tcW w:w="1330" w:type="dxa"/>
            <w:tcBorders>
              <w:top w:val="nil"/>
            </w:tcBorders>
            <w:tcMar>
              <w:left w:w="57" w:type="dxa"/>
              <w:right w:w="57" w:type="dxa"/>
            </w:tcMar>
          </w:tcPr>
          <w:p w14:paraId="04DD9633"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310" w:type="dxa"/>
            <w:tcBorders>
              <w:top w:val="nil"/>
            </w:tcBorders>
            <w:tcMar>
              <w:left w:w="57" w:type="dxa"/>
              <w:right w:w="57" w:type="dxa"/>
            </w:tcMar>
          </w:tcPr>
          <w:p w14:paraId="43D7C2F9"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p>
        </w:tc>
      </w:tr>
      <w:tr w:rsidR="00761B6C" w:rsidRPr="00236418" w14:paraId="53E961C7" w14:textId="77777777" w:rsidTr="00761B6C">
        <w:trPr>
          <w:jc w:val="center"/>
        </w:trPr>
        <w:tc>
          <w:tcPr>
            <w:tcW w:w="3402" w:type="dxa"/>
            <w:tcBorders>
              <w:bottom w:val="single" w:sz="4" w:space="0" w:color="auto"/>
            </w:tcBorders>
            <w:tcMar>
              <w:left w:w="57" w:type="dxa"/>
              <w:right w:w="57" w:type="dxa"/>
            </w:tcMar>
          </w:tcPr>
          <w:p w14:paraId="392C406E" w14:textId="77777777" w:rsidR="00761B6C" w:rsidRPr="00236418" w:rsidRDefault="00761B6C" w:rsidP="00761B6C">
            <w:pPr>
              <w:pStyle w:val="Tablehead"/>
              <w:spacing w:before="0" w:after="0"/>
              <w:jc w:val="left"/>
              <w:rPr>
                <w:sz w:val="18"/>
                <w:szCs w:val="18"/>
              </w:rPr>
            </w:pPr>
            <w:r w:rsidRPr="00236418">
              <w:rPr>
                <w:sz w:val="18"/>
                <w:szCs w:val="18"/>
              </w:rPr>
              <w:t>Total des charges</w:t>
            </w:r>
          </w:p>
        </w:tc>
        <w:tc>
          <w:tcPr>
            <w:tcW w:w="1134" w:type="dxa"/>
            <w:tcBorders>
              <w:bottom w:val="single" w:sz="4" w:space="0" w:color="auto"/>
            </w:tcBorders>
            <w:tcMar>
              <w:left w:w="57" w:type="dxa"/>
              <w:right w:w="57" w:type="dxa"/>
            </w:tcMar>
            <w:vAlign w:val="bottom"/>
          </w:tcPr>
          <w:p w14:paraId="71B09E1D"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167 478</w:t>
            </w:r>
          </w:p>
        </w:tc>
        <w:tc>
          <w:tcPr>
            <w:tcW w:w="1390" w:type="dxa"/>
            <w:tcBorders>
              <w:bottom w:val="single" w:sz="4" w:space="0" w:color="auto"/>
            </w:tcBorders>
            <w:vAlign w:val="bottom"/>
          </w:tcPr>
          <w:p w14:paraId="1FAEBCCB"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w:t>
            </w:r>
          </w:p>
        </w:tc>
        <w:tc>
          <w:tcPr>
            <w:tcW w:w="1154" w:type="dxa"/>
            <w:tcBorders>
              <w:bottom w:val="single" w:sz="4" w:space="0" w:color="auto"/>
            </w:tcBorders>
            <w:tcMar>
              <w:left w:w="57" w:type="dxa"/>
              <w:right w:w="57" w:type="dxa"/>
            </w:tcMar>
            <w:vAlign w:val="bottom"/>
          </w:tcPr>
          <w:p w14:paraId="0D8D6DC6"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w:t>
            </w:r>
          </w:p>
        </w:tc>
        <w:tc>
          <w:tcPr>
            <w:tcW w:w="1087" w:type="dxa"/>
            <w:tcBorders>
              <w:bottom w:val="single" w:sz="4" w:space="0" w:color="auto"/>
            </w:tcBorders>
            <w:tcMar>
              <w:left w:w="57" w:type="dxa"/>
              <w:right w:w="57" w:type="dxa"/>
            </w:tcMar>
            <w:vAlign w:val="bottom"/>
          </w:tcPr>
          <w:p w14:paraId="05B8F6FC"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165 611</w:t>
            </w:r>
          </w:p>
        </w:tc>
        <w:tc>
          <w:tcPr>
            <w:tcW w:w="1330" w:type="dxa"/>
            <w:tcBorders>
              <w:bottom w:val="single" w:sz="4" w:space="0" w:color="auto"/>
            </w:tcBorders>
            <w:tcMar>
              <w:left w:w="57" w:type="dxa"/>
              <w:right w:w="57" w:type="dxa"/>
            </w:tcMar>
            <w:vAlign w:val="bottom"/>
          </w:tcPr>
          <w:p w14:paraId="23E7E1EA"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154 918</w:t>
            </w:r>
          </w:p>
        </w:tc>
        <w:tc>
          <w:tcPr>
            <w:tcW w:w="1310" w:type="dxa"/>
            <w:tcBorders>
              <w:bottom w:val="single" w:sz="4" w:space="0" w:color="auto"/>
            </w:tcBorders>
            <w:tcMar>
              <w:left w:w="57" w:type="dxa"/>
              <w:right w:w="57" w:type="dxa"/>
            </w:tcMar>
            <w:vAlign w:val="bottom"/>
          </w:tcPr>
          <w:p w14:paraId="11D2829C"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10 693</w:t>
            </w:r>
          </w:p>
        </w:tc>
      </w:tr>
      <w:tr w:rsidR="00761B6C" w:rsidRPr="00236418" w14:paraId="41FE295B" w14:textId="77777777" w:rsidTr="00761B6C">
        <w:trPr>
          <w:jc w:val="center"/>
        </w:trPr>
        <w:tc>
          <w:tcPr>
            <w:tcW w:w="3402" w:type="dxa"/>
            <w:tcBorders>
              <w:bottom w:val="single" w:sz="4" w:space="0" w:color="auto"/>
            </w:tcBorders>
            <w:tcMar>
              <w:left w:w="57" w:type="dxa"/>
              <w:right w:w="57" w:type="dxa"/>
            </w:tcMar>
          </w:tcPr>
          <w:p w14:paraId="3B58F798" w14:textId="77777777" w:rsidR="00761B6C" w:rsidRPr="00236418" w:rsidRDefault="00761B6C" w:rsidP="00761B6C">
            <w:pPr>
              <w:pStyle w:val="Tabletext"/>
              <w:spacing w:before="0" w:after="20"/>
              <w:rPr>
                <w:b/>
                <w:sz w:val="18"/>
                <w:szCs w:val="18"/>
                <w:lang w:eastAsia="fr-FR"/>
              </w:rPr>
            </w:pPr>
            <w:r w:rsidRPr="00236418">
              <w:rPr>
                <w:b/>
                <w:sz w:val="18"/>
                <w:szCs w:val="18"/>
              </w:rPr>
              <w:t>Résultats</w:t>
            </w:r>
          </w:p>
        </w:tc>
        <w:tc>
          <w:tcPr>
            <w:tcW w:w="1134" w:type="dxa"/>
            <w:tcBorders>
              <w:bottom w:val="single" w:sz="4" w:space="0" w:color="auto"/>
            </w:tcBorders>
            <w:tcMar>
              <w:left w:w="57" w:type="dxa"/>
              <w:right w:w="57" w:type="dxa"/>
            </w:tcMar>
            <w:vAlign w:val="bottom"/>
          </w:tcPr>
          <w:p w14:paraId="5F1F5610"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390" w:type="dxa"/>
            <w:tcBorders>
              <w:bottom w:val="single" w:sz="4" w:space="0" w:color="auto"/>
            </w:tcBorders>
            <w:vAlign w:val="bottom"/>
          </w:tcPr>
          <w:p w14:paraId="50358777"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154" w:type="dxa"/>
            <w:tcBorders>
              <w:bottom w:val="single" w:sz="4" w:space="0" w:color="auto"/>
            </w:tcBorders>
            <w:tcMar>
              <w:left w:w="57" w:type="dxa"/>
              <w:right w:w="57" w:type="dxa"/>
            </w:tcMar>
            <w:vAlign w:val="bottom"/>
          </w:tcPr>
          <w:p w14:paraId="309AD066"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087" w:type="dxa"/>
            <w:tcBorders>
              <w:bottom w:val="single" w:sz="4" w:space="0" w:color="auto"/>
            </w:tcBorders>
            <w:tcMar>
              <w:left w:w="57" w:type="dxa"/>
              <w:right w:w="57" w:type="dxa"/>
            </w:tcMar>
            <w:vAlign w:val="bottom"/>
          </w:tcPr>
          <w:p w14:paraId="3E39AFAC"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p>
        </w:tc>
        <w:tc>
          <w:tcPr>
            <w:tcW w:w="1330" w:type="dxa"/>
            <w:tcBorders>
              <w:bottom w:val="single" w:sz="4" w:space="0" w:color="auto"/>
            </w:tcBorders>
            <w:tcMar>
              <w:left w:w="57" w:type="dxa"/>
              <w:right w:w="57" w:type="dxa"/>
            </w:tcMar>
            <w:vAlign w:val="bottom"/>
          </w:tcPr>
          <w:p w14:paraId="4615326D"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–1 483</w:t>
            </w:r>
          </w:p>
        </w:tc>
        <w:tc>
          <w:tcPr>
            <w:tcW w:w="1310" w:type="dxa"/>
            <w:tcBorders>
              <w:bottom w:val="single" w:sz="4" w:space="0" w:color="auto"/>
            </w:tcBorders>
            <w:tcMar>
              <w:left w:w="57" w:type="dxa"/>
              <w:right w:w="57" w:type="dxa"/>
            </w:tcMar>
            <w:vAlign w:val="bottom"/>
          </w:tcPr>
          <w:p w14:paraId="363C4A61"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r>
      <w:tr w:rsidR="00761B6C" w:rsidRPr="00236418" w14:paraId="402EA38C" w14:textId="77777777" w:rsidTr="00761B6C">
        <w:trPr>
          <w:jc w:val="center"/>
        </w:trPr>
        <w:tc>
          <w:tcPr>
            <w:tcW w:w="3402" w:type="dxa"/>
            <w:tcBorders>
              <w:top w:val="single" w:sz="4" w:space="0" w:color="auto"/>
              <w:bottom w:val="nil"/>
            </w:tcBorders>
            <w:tcMar>
              <w:left w:w="57" w:type="dxa"/>
              <w:right w:w="57" w:type="dxa"/>
            </w:tcMar>
          </w:tcPr>
          <w:p w14:paraId="4E8551CA" w14:textId="77777777" w:rsidR="00761B6C" w:rsidRPr="00236418" w:rsidRDefault="00761B6C" w:rsidP="00761B6C">
            <w:pPr>
              <w:pStyle w:val="Tabletext"/>
              <w:spacing w:before="0" w:after="0"/>
              <w:rPr>
                <w:i/>
                <w:iCs/>
                <w:sz w:val="18"/>
                <w:szCs w:val="18"/>
                <w:lang w:eastAsia="fr-FR"/>
              </w:rPr>
            </w:pPr>
            <w:r w:rsidRPr="00236418">
              <w:rPr>
                <w:i/>
                <w:iCs/>
                <w:sz w:val="18"/>
                <w:szCs w:val="18"/>
              </w:rPr>
              <w:t>ASHI</w:t>
            </w:r>
          </w:p>
        </w:tc>
        <w:tc>
          <w:tcPr>
            <w:tcW w:w="1134" w:type="dxa"/>
            <w:tcBorders>
              <w:top w:val="single" w:sz="4" w:space="0" w:color="auto"/>
              <w:bottom w:val="nil"/>
            </w:tcBorders>
            <w:tcMar>
              <w:left w:w="57" w:type="dxa"/>
              <w:right w:w="57" w:type="dxa"/>
            </w:tcMar>
            <w:vAlign w:val="bottom"/>
          </w:tcPr>
          <w:p w14:paraId="6B9F8207"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single" w:sz="4" w:space="0" w:color="auto"/>
              <w:bottom w:val="nil"/>
            </w:tcBorders>
            <w:vAlign w:val="bottom"/>
          </w:tcPr>
          <w:p w14:paraId="614C49F7"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single" w:sz="4" w:space="0" w:color="auto"/>
              <w:bottom w:val="nil"/>
            </w:tcBorders>
            <w:tcMar>
              <w:left w:w="57" w:type="dxa"/>
              <w:right w:w="57" w:type="dxa"/>
            </w:tcMar>
            <w:vAlign w:val="bottom"/>
          </w:tcPr>
          <w:p w14:paraId="46BE79A6"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single" w:sz="4" w:space="0" w:color="auto"/>
              <w:bottom w:val="nil"/>
            </w:tcBorders>
            <w:tcMar>
              <w:left w:w="57" w:type="dxa"/>
              <w:right w:w="57" w:type="dxa"/>
            </w:tcMar>
            <w:vAlign w:val="bottom"/>
          </w:tcPr>
          <w:p w14:paraId="144DA4E2"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single" w:sz="4" w:space="0" w:color="auto"/>
              <w:bottom w:val="nil"/>
            </w:tcBorders>
            <w:tcMar>
              <w:left w:w="57" w:type="dxa"/>
              <w:right w:w="57" w:type="dxa"/>
            </w:tcMar>
            <w:vAlign w:val="bottom"/>
          </w:tcPr>
          <w:p w14:paraId="01BB21D6"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–22 789</w:t>
            </w:r>
          </w:p>
        </w:tc>
        <w:tc>
          <w:tcPr>
            <w:tcW w:w="1310" w:type="dxa"/>
            <w:tcBorders>
              <w:top w:val="single" w:sz="4" w:space="0" w:color="auto"/>
              <w:bottom w:val="nil"/>
            </w:tcBorders>
            <w:tcMar>
              <w:left w:w="57" w:type="dxa"/>
              <w:right w:w="57" w:type="dxa"/>
            </w:tcMar>
            <w:vAlign w:val="bottom"/>
          </w:tcPr>
          <w:p w14:paraId="030DB6E8"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0192262A" w14:textId="77777777" w:rsidTr="00761B6C">
        <w:trPr>
          <w:jc w:val="center"/>
        </w:trPr>
        <w:tc>
          <w:tcPr>
            <w:tcW w:w="3402" w:type="dxa"/>
            <w:tcBorders>
              <w:top w:val="nil"/>
              <w:bottom w:val="nil"/>
            </w:tcBorders>
            <w:tcMar>
              <w:left w:w="57" w:type="dxa"/>
              <w:right w:w="57" w:type="dxa"/>
            </w:tcMar>
          </w:tcPr>
          <w:p w14:paraId="58450459" w14:textId="77777777" w:rsidR="00761B6C" w:rsidRPr="00236418" w:rsidRDefault="00761B6C" w:rsidP="00761B6C">
            <w:pPr>
              <w:pStyle w:val="Tabletext"/>
              <w:spacing w:before="0" w:after="0"/>
              <w:rPr>
                <w:i/>
                <w:iCs/>
                <w:sz w:val="18"/>
                <w:szCs w:val="18"/>
              </w:rPr>
            </w:pPr>
            <w:r w:rsidRPr="00236418">
              <w:rPr>
                <w:i/>
                <w:iCs/>
                <w:sz w:val="18"/>
                <w:szCs w:val="18"/>
              </w:rPr>
              <w:t>Capitalisation des immobilisations</w:t>
            </w:r>
          </w:p>
        </w:tc>
        <w:tc>
          <w:tcPr>
            <w:tcW w:w="1134" w:type="dxa"/>
            <w:tcBorders>
              <w:top w:val="nil"/>
              <w:bottom w:val="nil"/>
            </w:tcBorders>
            <w:tcMar>
              <w:left w:w="57" w:type="dxa"/>
              <w:right w:w="57" w:type="dxa"/>
            </w:tcMar>
          </w:tcPr>
          <w:p w14:paraId="6AC4C25D"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1961698A"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491AA16F"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1DAFF20C"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01E57E38"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1 545</w:t>
            </w:r>
          </w:p>
        </w:tc>
        <w:tc>
          <w:tcPr>
            <w:tcW w:w="1310" w:type="dxa"/>
            <w:tcBorders>
              <w:top w:val="nil"/>
              <w:bottom w:val="nil"/>
            </w:tcBorders>
            <w:tcMar>
              <w:left w:w="57" w:type="dxa"/>
              <w:right w:w="57" w:type="dxa"/>
            </w:tcMar>
            <w:vAlign w:val="bottom"/>
          </w:tcPr>
          <w:p w14:paraId="5C27E53C"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2B2D3BA8" w14:textId="77777777" w:rsidTr="00761B6C">
        <w:trPr>
          <w:jc w:val="center"/>
        </w:trPr>
        <w:tc>
          <w:tcPr>
            <w:tcW w:w="3402" w:type="dxa"/>
            <w:tcBorders>
              <w:top w:val="nil"/>
              <w:bottom w:val="nil"/>
            </w:tcBorders>
            <w:tcMar>
              <w:left w:w="57" w:type="dxa"/>
              <w:right w:w="57" w:type="dxa"/>
            </w:tcMar>
          </w:tcPr>
          <w:p w14:paraId="5ECECAEF" w14:textId="77777777" w:rsidR="00761B6C" w:rsidRPr="00236418" w:rsidRDefault="00761B6C" w:rsidP="00761B6C">
            <w:pPr>
              <w:pStyle w:val="Tabletext"/>
              <w:spacing w:before="0" w:after="0"/>
              <w:rPr>
                <w:i/>
                <w:iCs/>
                <w:sz w:val="18"/>
                <w:szCs w:val="18"/>
              </w:rPr>
            </w:pPr>
            <w:r w:rsidRPr="00236418">
              <w:rPr>
                <w:rFonts w:asciiTheme="minorHAnsi" w:hAnsiTheme="minorHAnsi" w:cs="Arial"/>
                <w:i/>
                <w:iCs/>
                <w:color w:val="000000"/>
                <w:sz w:val="18"/>
                <w:szCs w:val="18"/>
                <w:lang w:eastAsia="zh-CN"/>
              </w:rPr>
              <w:t>Comptabilisation des stocks</w:t>
            </w:r>
          </w:p>
        </w:tc>
        <w:tc>
          <w:tcPr>
            <w:tcW w:w="1134" w:type="dxa"/>
            <w:tcBorders>
              <w:top w:val="nil"/>
              <w:bottom w:val="nil"/>
            </w:tcBorders>
            <w:tcMar>
              <w:left w:w="57" w:type="dxa"/>
              <w:right w:w="57" w:type="dxa"/>
            </w:tcMar>
          </w:tcPr>
          <w:p w14:paraId="3E4C1D13"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09043693"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01AE629F"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1A0A309A"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13F73853"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–75</w:t>
            </w:r>
          </w:p>
        </w:tc>
        <w:tc>
          <w:tcPr>
            <w:tcW w:w="1310" w:type="dxa"/>
            <w:tcBorders>
              <w:top w:val="nil"/>
              <w:bottom w:val="nil"/>
            </w:tcBorders>
            <w:tcMar>
              <w:left w:w="57" w:type="dxa"/>
              <w:right w:w="57" w:type="dxa"/>
            </w:tcMar>
            <w:vAlign w:val="bottom"/>
          </w:tcPr>
          <w:p w14:paraId="0E38915C"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09B22623" w14:textId="77777777" w:rsidTr="00761B6C">
        <w:trPr>
          <w:jc w:val="center"/>
        </w:trPr>
        <w:tc>
          <w:tcPr>
            <w:tcW w:w="3402" w:type="dxa"/>
            <w:tcBorders>
              <w:top w:val="nil"/>
              <w:bottom w:val="nil"/>
            </w:tcBorders>
            <w:tcMar>
              <w:left w:w="57" w:type="dxa"/>
              <w:right w:w="57" w:type="dxa"/>
            </w:tcMar>
          </w:tcPr>
          <w:p w14:paraId="01566F95" w14:textId="77777777" w:rsidR="00761B6C" w:rsidRPr="00236418" w:rsidRDefault="00761B6C" w:rsidP="00761B6C">
            <w:pPr>
              <w:pStyle w:val="Tabletext"/>
              <w:spacing w:before="0" w:after="0"/>
              <w:rPr>
                <w:i/>
                <w:iCs/>
                <w:sz w:val="18"/>
                <w:szCs w:val="18"/>
              </w:rPr>
            </w:pPr>
            <w:r w:rsidRPr="00236418">
              <w:rPr>
                <w:i/>
                <w:iCs/>
                <w:sz w:val="18"/>
                <w:szCs w:val="18"/>
              </w:rPr>
              <w:t>Amortissements</w:t>
            </w:r>
          </w:p>
        </w:tc>
        <w:tc>
          <w:tcPr>
            <w:tcW w:w="1134" w:type="dxa"/>
            <w:tcBorders>
              <w:top w:val="nil"/>
              <w:bottom w:val="nil"/>
            </w:tcBorders>
            <w:tcMar>
              <w:left w:w="57" w:type="dxa"/>
              <w:right w:w="57" w:type="dxa"/>
            </w:tcMar>
          </w:tcPr>
          <w:p w14:paraId="6C03488B"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5502FD26"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6EB67B89"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69AE23B7"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589D0184"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–16 437</w:t>
            </w:r>
          </w:p>
        </w:tc>
        <w:tc>
          <w:tcPr>
            <w:tcW w:w="1310" w:type="dxa"/>
            <w:tcBorders>
              <w:top w:val="nil"/>
              <w:bottom w:val="nil"/>
            </w:tcBorders>
            <w:tcMar>
              <w:left w:w="57" w:type="dxa"/>
              <w:right w:w="57" w:type="dxa"/>
            </w:tcMar>
            <w:vAlign w:val="bottom"/>
          </w:tcPr>
          <w:p w14:paraId="1A4FFD39"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53677FF6" w14:textId="77777777" w:rsidTr="00761B6C">
        <w:trPr>
          <w:jc w:val="center"/>
        </w:trPr>
        <w:tc>
          <w:tcPr>
            <w:tcW w:w="3402" w:type="dxa"/>
            <w:tcBorders>
              <w:top w:val="nil"/>
              <w:bottom w:val="nil"/>
            </w:tcBorders>
            <w:tcMar>
              <w:left w:w="57" w:type="dxa"/>
              <w:right w:w="57" w:type="dxa"/>
            </w:tcMar>
          </w:tcPr>
          <w:p w14:paraId="126DC98F" w14:textId="77777777" w:rsidR="00761B6C" w:rsidRPr="00236418" w:rsidRDefault="00761B6C" w:rsidP="00761B6C">
            <w:pPr>
              <w:pStyle w:val="Tabletext"/>
              <w:spacing w:before="0" w:after="0"/>
              <w:rPr>
                <w:i/>
                <w:iCs/>
                <w:sz w:val="18"/>
                <w:szCs w:val="18"/>
              </w:rPr>
            </w:pPr>
            <w:r w:rsidRPr="00236418">
              <w:rPr>
                <w:i/>
                <w:iCs/>
                <w:sz w:val="18"/>
                <w:szCs w:val="18"/>
              </w:rPr>
              <w:t>Gains et pertes de change</w:t>
            </w:r>
          </w:p>
        </w:tc>
        <w:tc>
          <w:tcPr>
            <w:tcW w:w="1134" w:type="dxa"/>
            <w:tcBorders>
              <w:top w:val="nil"/>
              <w:bottom w:val="nil"/>
            </w:tcBorders>
            <w:tcMar>
              <w:left w:w="57" w:type="dxa"/>
              <w:right w:w="57" w:type="dxa"/>
            </w:tcMar>
          </w:tcPr>
          <w:p w14:paraId="18DA394F"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06D554AF"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411E6DE7"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476B16D3"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725789AC"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–16 363</w:t>
            </w:r>
          </w:p>
        </w:tc>
        <w:tc>
          <w:tcPr>
            <w:tcW w:w="1310" w:type="dxa"/>
            <w:tcBorders>
              <w:top w:val="nil"/>
              <w:bottom w:val="nil"/>
            </w:tcBorders>
            <w:tcMar>
              <w:left w:w="57" w:type="dxa"/>
              <w:right w:w="57" w:type="dxa"/>
            </w:tcMar>
            <w:vAlign w:val="bottom"/>
          </w:tcPr>
          <w:p w14:paraId="23497057"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1B0732DB" w14:textId="77777777" w:rsidTr="00761B6C">
        <w:trPr>
          <w:jc w:val="center"/>
        </w:trPr>
        <w:tc>
          <w:tcPr>
            <w:tcW w:w="3402" w:type="dxa"/>
            <w:tcBorders>
              <w:top w:val="nil"/>
              <w:bottom w:val="nil"/>
            </w:tcBorders>
            <w:tcMar>
              <w:left w:w="57" w:type="dxa"/>
              <w:right w:w="57" w:type="dxa"/>
            </w:tcMar>
          </w:tcPr>
          <w:p w14:paraId="44A4EFB6" w14:textId="77777777" w:rsidR="00761B6C" w:rsidRPr="00236418" w:rsidRDefault="00761B6C" w:rsidP="00761B6C">
            <w:pPr>
              <w:pStyle w:val="Tabletext"/>
              <w:spacing w:before="0" w:after="0"/>
              <w:rPr>
                <w:i/>
                <w:iCs/>
                <w:sz w:val="18"/>
                <w:szCs w:val="18"/>
              </w:rPr>
            </w:pPr>
            <w:r w:rsidRPr="00236418">
              <w:rPr>
                <w:rFonts w:asciiTheme="minorHAnsi" w:hAnsiTheme="minorHAnsi" w:cs="Arial"/>
                <w:i/>
                <w:iCs/>
                <w:color w:val="000000"/>
                <w:sz w:val="18"/>
                <w:szCs w:val="18"/>
                <w:lang w:eastAsia="zh-CN"/>
              </w:rPr>
              <w:t>Remboursement du prêt de la FIPOI non considéré comme charges</w:t>
            </w:r>
          </w:p>
        </w:tc>
        <w:tc>
          <w:tcPr>
            <w:tcW w:w="1134" w:type="dxa"/>
            <w:tcBorders>
              <w:top w:val="nil"/>
              <w:bottom w:val="nil"/>
            </w:tcBorders>
            <w:tcMar>
              <w:left w:w="57" w:type="dxa"/>
              <w:right w:w="57" w:type="dxa"/>
            </w:tcMar>
          </w:tcPr>
          <w:p w14:paraId="068CEFD0"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67D8B81B"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001BD0D5"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462739DE"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69E3E638"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1 493</w:t>
            </w:r>
          </w:p>
        </w:tc>
        <w:tc>
          <w:tcPr>
            <w:tcW w:w="1310" w:type="dxa"/>
            <w:tcBorders>
              <w:top w:val="nil"/>
              <w:bottom w:val="nil"/>
            </w:tcBorders>
            <w:tcMar>
              <w:left w:w="57" w:type="dxa"/>
              <w:right w:w="57" w:type="dxa"/>
            </w:tcMar>
            <w:vAlign w:val="bottom"/>
          </w:tcPr>
          <w:p w14:paraId="6703E222"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6F7139D3" w14:textId="77777777" w:rsidTr="00761B6C">
        <w:trPr>
          <w:jc w:val="center"/>
        </w:trPr>
        <w:tc>
          <w:tcPr>
            <w:tcW w:w="3402" w:type="dxa"/>
            <w:tcBorders>
              <w:top w:val="nil"/>
              <w:bottom w:val="nil"/>
            </w:tcBorders>
            <w:tcMar>
              <w:left w:w="57" w:type="dxa"/>
              <w:right w:w="57" w:type="dxa"/>
            </w:tcMar>
          </w:tcPr>
          <w:p w14:paraId="7E36C2BD" w14:textId="77777777" w:rsidR="00761B6C" w:rsidRPr="00236418" w:rsidRDefault="00761B6C" w:rsidP="00761B6C">
            <w:pPr>
              <w:pStyle w:val="Tabletext"/>
              <w:spacing w:before="0" w:after="0"/>
              <w:rPr>
                <w:i/>
                <w:iCs/>
                <w:sz w:val="18"/>
                <w:szCs w:val="18"/>
              </w:rPr>
            </w:pPr>
            <w:r w:rsidRPr="00236418">
              <w:rPr>
                <w:i/>
                <w:iCs/>
                <w:sz w:val="18"/>
                <w:szCs w:val="18"/>
              </w:rPr>
              <w:t>Modifications et utilisation de la Provision pour créances douteuses</w:t>
            </w:r>
          </w:p>
        </w:tc>
        <w:tc>
          <w:tcPr>
            <w:tcW w:w="1134" w:type="dxa"/>
            <w:tcBorders>
              <w:top w:val="nil"/>
              <w:bottom w:val="nil"/>
            </w:tcBorders>
            <w:tcMar>
              <w:left w:w="57" w:type="dxa"/>
              <w:right w:w="57" w:type="dxa"/>
            </w:tcMar>
          </w:tcPr>
          <w:p w14:paraId="15D9BBEE"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5D0B6942"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19D1F3FA"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26897FFC"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03FFA8F0"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–1 106</w:t>
            </w:r>
          </w:p>
        </w:tc>
        <w:tc>
          <w:tcPr>
            <w:tcW w:w="1310" w:type="dxa"/>
            <w:tcBorders>
              <w:top w:val="nil"/>
              <w:bottom w:val="nil"/>
            </w:tcBorders>
            <w:tcMar>
              <w:left w:w="57" w:type="dxa"/>
              <w:right w:w="57" w:type="dxa"/>
            </w:tcMar>
            <w:vAlign w:val="bottom"/>
          </w:tcPr>
          <w:p w14:paraId="0200B01F"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4C969CB8" w14:textId="77777777" w:rsidTr="00761B6C">
        <w:trPr>
          <w:jc w:val="center"/>
        </w:trPr>
        <w:tc>
          <w:tcPr>
            <w:tcW w:w="3402" w:type="dxa"/>
            <w:tcBorders>
              <w:top w:val="nil"/>
              <w:bottom w:val="nil"/>
            </w:tcBorders>
            <w:tcMar>
              <w:left w:w="57" w:type="dxa"/>
              <w:right w:w="57" w:type="dxa"/>
            </w:tcMar>
          </w:tcPr>
          <w:p w14:paraId="65C44611" w14:textId="77777777" w:rsidR="00761B6C" w:rsidRPr="00236418" w:rsidRDefault="00761B6C" w:rsidP="00761B6C">
            <w:pPr>
              <w:pStyle w:val="Tabletext"/>
              <w:spacing w:before="0" w:after="0"/>
              <w:rPr>
                <w:i/>
                <w:iCs/>
                <w:sz w:val="18"/>
                <w:szCs w:val="18"/>
              </w:rPr>
            </w:pPr>
            <w:r w:rsidRPr="00236418">
              <w:rPr>
                <w:i/>
                <w:iCs/>
                <w:sz w:val="18"/>
                <w:szCs w:val="18"/>
              </w:rPr>
              <w:t>Ventes d</w:t>
            </w:r>
            <w:r>
              <w:rPr>
                <w:i/>
                <w:iCs/>
                <w:sz w:val="18"/>
                <w:szCs w:val="18"/>
              </w:rPr>
              <w:t>'</w:t>
            </w:r>
            <w:r w:rsidRPr="00236418">
              <w:rPr>
                <w:i/>
                <w:iCs/>
                <w:sz w:val="18"/>
                <w:szCs w:val="18"/>
              </w:rPr>
              <w:t>actifs</w:t>
            </w:r>
          </w:p>
        </w:tc>
        <w:tc>
          <w:tcPr>
            <w:tcW w:w="1134" w:type="dxa"/>
            <w:tcBorders>
              <w:top w:val="nil"/>
              <w:bottom w:val="nil"/>
            </w:tcBorders>
            <w:tcMar>
              <w:left w:w="57" w:type="dxa"/>
              <w:right w:w="57" w:type="dxa"/>
            </w:tcMar>
          </w:tcPr>
          <w:p w14:paraId="35C0F908"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471E6F3D"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759E4E00"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552343D8"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44EE9A66"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9</w:t>
            </w:r>
          </w:p>
        </w:tc>
        <w:tc>
          <w:tcPr>
            <w:tcW w:w="1310" w:type="dxa"/>
            <w:tcBorders>
              <w:top w:val="nil"/>
              <w:bottom w:val="nil"/>
            </w:tcBorders>
            <w:tcMar>
              <w:left w:w="57" w:type="dxa"/>
              <w:right w:w="57" w:type="dxa"/>
            </w:tcMar>
            <w:vAlign w:val="bottom"/>
          </w:tcPr>
          <w:p w14:paraId="10A6083C"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4E1B8426" w14:textId="77777777" w:rsidTr="00761B6C">
        <w:trPr>
          <w:jc w:val="center"/>
        </w:trPr>
        <w:tc>
          <w:tcPr>
            <w:tcW w:w="3402" w:type="dxa"/>
            <w:tcBorders>
              <w:top w:val="nil"/>
              <w:bottom w:val="nil"/>
            </w:tcBorders>
            <w:tcMar>
              <w:left w:w="57" w:type="dxa"/>
              <w:right w:w="57" w:type="dxa"/>
            </w:tcMar>
          </w:tcPr>
          <w:p w14:paraId="49071E27" w14:textId="77777777" w:rsidR="00761B6C" w:rsidRPr="00236418" w:rsidRDefault="00761B6C" w:rsidP="00761B6C">
            <w:pPr>
              <w:pStyle w:val="Tabletext"/>
              <w:spacing w:before="0" w:after="0"/>
              <w:rPr>
                <w:i/>
                <w:iCs/>
                <w:sz w:val="18"/>
                <w:szCs w:val="18"/>
              </w:rPr>
            </w:pPr>
            <w:r w:rsidRPr="00236418">
              <w:rPr>
                <w:rFonts w:asciiTheme="minorHAnsi" w:hAnsiTheme="minorHAnsi" w:cs="Arial"/>
                <w:i/>
                <w:iCs/>
                <w:color w:val="000000"/>
                <w:sz w:val="18"/>
                <w:szCs w:val="18"/>
                <w:lang w:eastAsia="zh-CN"/>
              </w:rPr>
              <w:t>Autres charges</w:t>
            </w:r>
          </w:p>
        </w:tc>
        <w:tc>
          <w:tcPr>
            <w:tcW w:w="1134" w:type="dxa"/>
            <w:tcBorders>
              <w:top w:val="nil"/>
              <w:bottom w:val="nil"/>
            </w:tcBorders>
            <w:tcMar>
              <w:left w:w="57" w:type="dxa"/>
              <w:right w:w="57" w:type="dxa"/>
            </w:tcMar>
          </w:tcPr>
          <w:p w14:paraId="311C99CE"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tcPr>
          <w:p w14:paraId="3145534C"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4B994DD2"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534B4881"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tcPr>
          <w:p w14:paraId="0A296731"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40</w:t>
            </w:r>
          </w:p>
        </w:tc>
        <w:tc>
          <w:tcPr>
            <w:tcW w:w="1310" w:type="dxa"/>
            <w:tcBorders>
              <w:top w:val="nil"/>
              <w:bottom w:val="nil"/>
            </w:tcBorders>
            <w:tcMar>
              <w:left w:w="57" w:type="dxa"/>
              <w:right w:w="57" w:type="dxa"/>
            </w:tcMar>
            <w:vAlign w:val="bottom"/>
          </w:tcPr>
          <w:p w14:paraId="71686C9C"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66F4E0F0" w14:textId="77777777" w:rsidTr="00761B6C">
        <w:trPr>
          <w:trHeight w:val="74"/>
          <w:jc w:val="center"/>
        </w:trPr>
        <w:tc>
          <w:tcPr>
            <w:tcW w:w="3402" w:type="dxa"/>
            <w:tcBorders>
              <w:top w:val="nil"/>
              <w:bottom w:val="nil"/>
            </w:tcBorders>
            <w:tcMar>
              <w:left w:w="57" w:type="dxa"/>
              <w:right w:w="57" w:type="dxa"/>
            </w:tcMar>
          </w:tcPr>
          <w:p w14:paraId="10A979CD" w14:textId="77777777" w:rsidR="00761B6C" w:rsidRPr="00236418" w:rsidRDefault="00761B6C" w:rsidP="00761B6C">
            <w:pPr>
              <w:pStyle w:val="Tabletext"/>
              <w:spacing w:before="0" w:after="0"/>
              <w:rPr>
                <w:i/>
                <w:iCs/>
                <w:sz w:val="18"/>
                <w:szCs w:val="18"/>
              </w:rPr>
            </w:pPr>
          </w:p>
        </w:tc>
        <w:tc>
          <w:tcPr>
            <w:tcW w:w="1134" w:type="dxa"/>
            <w:tcBorders>
              <w:top w:val="nil"/>
              <w:bottom w:val="nil"/>
            </w:tcBorders>
            <w:tcMar>
              <w:left w:w="57" w:type="dxa"/>
              <w:right w:w="57" w:type="dxa"/>
            </w:tcMar>
            <w:vAlign w:val="bottom"/>
          </w:tcPr>
          <w:p w14:paraId="50B278B3"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top w:val="nil"/>
              <w:bottom w:val="nil"/>
            </w:tcBorders>
            <w:vAlign w:val="bottom"/>
          </w:tcPr>
          <w:p w14:paraId="69CD52F3"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vAlign w:val="bottom"/>
          </w:tcPr>
          <w:p w14:paraId="04F43203"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vAlign w:val="bottom"/>
          </w:tcPr>
          <w:p w14:paraId="272F48A0"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vAlign w:val="bottom"/>
          </w:tcPr>
          <w:p w14:paraId="5C01EA0E"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p>
        </w:tc>
        <w:tc>
          <w:tcPr>
            <w:tcW w:w="1310" w:type="dxa"/>
            <w:tcBorders>
              <w:top w:val="nil"/>
              <w:bottom w:val="nil"/>
            </w:tcBorders>
            <w:tcMar>
              <w:left w:w="57" w:type="dxa"/>
              <w:right w:w="57" w:type="dxa"/>
            </w:tcMar>
            <w:vAlign w:val="bottom"/>
          </w:tcPr>
          <w:p w14:paraId="507D034F"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14FAB6EB" w14:textId="77777777" w:rsidTr="00761B6C">
        <w:trPr>
          <w:jc w:val="center"/>
        </w:trPr>
        <w:tc>
          <w:tcPr>
            <w:tcW w:w="3402" w:type="dxa"/>
            <w:tcMar>
              <w:left w:w="57" w:type="dxa"/>
              <w:right w:w="57" w:type="dxa"/>
            </w:tcMar>
          </w:tcPr>
          <w:p w14:paraId="5B663EF6" w14:textId="77777777" w:rsidR="00761B6C" w:rsidRPr="00236418" w:rsidRDefault="00761B6C" w:rsidP="00761B6C">
            <w:pPr>
              <w:pStyle w:val="Tablehead"/>
              <w:spacing w:before="0" w:after="0"/>
              <w:jc w:val="left"/>
              <w:rPr>
                <w:sz w:val="18"/>
                <w:szCs w:val="18"/>
              </w:rPr>
            </w:pPr>
            <w:r w:rsidRPr="00236418">
              <w:rPr>
                <w:sz w:val="18"/>
                <w:szCs w:val="18"/>
              </w:rPr>
              <w:t>Total des différences IPSAS</w:t>
            </w:r>
          </w:p>
        </w:tc>
        <w:tc>
          <w:tcPr>
            <w:tcW w:w="1134" w:type="dxa"/>
            <w:tcMar>
              <w:left w:w="57" w:type="dxa"/>
              <w:right w:w="57" w:type="dxa"/>
            </w:tcMar>
            <w:vAlign w:val="bottom"/>
          </w:tcPr>
          <w:p w14:paraId="7C8A5328"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390" w:type="dxa"/>
            <w:vAlign w:val="bottom"/>
          </w:tcPr>
          <w:p w14:paraId="61A52608"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154" w:type="dxa"/>
            <w:tcMar>
              <w:left w:w="57" w:type="dxa"/>
              <w:right w:w="57" w:type="dxa"/>
            </w:tcMar>
            <w:vAlign w:val="bottom"/>
          </w:tcPr>
          <w:p w14:paraId="17B0EE87"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087" w:type="dxa"/>
            <w:tcMar>
              <w:left w:w="57" w:type="dxa"/>
              <w:right w:w="57" w:type="dxa"/>
            </w:tcMar>
            <w:vAlign w:val="bottom"/>
          </w:tcPr>
          <w:p w14:paraId="79BB80EA"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330" w:type="dxa"/>
            <w:tcMar>
              <w:left w:w="57" w:type="dxa"/>
              <w:right w:w="57" w:type="dxa"/>
            </w:tcMar>
            <w:vAlign w:val="bottom"/>
          </w:tcPr>
          <w:p w14:paraId="294D82FA"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–53 684</w:t>
            </w:r>
          </w:p>
        </w:tc>
        <w:tc>
          <w:tcPr>
            <w:tcW w:w="1310" w:type="dxa"/>
            <w:tcMar>
              <w:left w:w="57" w:type="dxa"/>
              <w:right w:w="57" w:type="dxa"/>
            </w:tcMar>
            <w:vAlign w:val="bottom"/>
          </w:tcPr>
          <w:p w14:paraId="1DA66EF0"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p>
        </w:tc>
      </w:tr>
      <w:tr w:rsidR="00761B6C" w:rsidRPr="00236418" w14:paraId="63873679" w14:textId="77777777" w:rsidTr="00761B6C">
        <w:trPr>
          <w:jc w:val="center"/>
        </w:trPr>
        <w:tc>
          <w:tcPr>
            <w:tcW w:w="3402" w:type="dxa"/>
            <w:tcBorders>
              <w:bottom w:val="nil"/>
            </w:tcBorders>
            <w:tcMar>
              <w:left w:w="57" w:type="dxa"/>
              <w:right w:w="57" w:type="dxa"/>
            </w:tcMar>
          </w:tcPr>
          <w:p w14:paraId="71482504" w14:textId="77777777" w:rsidR="00761B6C" w:rsidRPr="00236418" w:rsidRDefault="00761B6C" w:rsidP="00761B6C">
            <w:pPr>
              <w:pStyle w:val="Tabletext"/>
              <w:spacing w:before="0" w:after="0"/>
              <w:rPr>
                <w:i/>
                <w:iCs/>
                <w:sz w:val="18"/>
                <w:szCs w:val="18"/>
              </w:rPr>
            </w:pPr>
            <w:r w:rsidRPr="00236418">
              <w:rPr>
                <w:rFonts w:asciiTheme="minorHAnsi" w:hAnsiTheme="minorHAnsi" w:cs="Arial"/>
                <w:i/>
                <w:iCs/>
                <w:color w:val="000000"/>
                <w:sz w:val="18"/>
                <w:szCs w:val="18"/>
                <w:lang w:eastAsia="zh-CN"/>
              </w:rPr>
              <w:t>Excédent/déficit Fonds 1000</w:t>
            </w:r>
          </w:p>
        </w:tc>
        <w:tc>
          <w:tcPr>
            <w:tcW w:w="1134" w:type="dxa"/>
            <w:tcBorders>
              <w:bottom w:val="nil"/>
            </w:tcBorders>
            <w:tcMar>
              <w:left w:w="57" w:type="dxa"/>
              <w:right w:w="57" w:type="dxa"/>
            </w:tcMar>
            <w:vAlign w:val="bottom"/>
          </w:tcPr>
          <w:p w14:paraId="77C10DE0"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bottom w:val="nil"/>
            </w:tcBorders>
            <w:vAlign w:val="bottom"/>
          </w:tcPr>
          <w:p w14:paraId="443E3B4B"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bottom w:val="nil"/>
            </w:tcBorders>
            <w:tcMar>
              <w:left w:w="57" w:type="dxa"/>
              <w:right w:w="57" w:type="dxa"/>
            </w:tcMar>
            <w:vAlign w:val="bottom"/>
          </w:tcPr>
          <w:p w14:paraId="22757BE6"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bottom w:val="nil"/>
            </w:tcBorders>
            <w:tcMar>
              <w:left w:w="57" w:type="dxa"/>
              <w:right w:w="57" w:type="dxa"/>
            </w:tcMar>
            <w:vAlign w:val="bottom"/>
          </w:tcPr>
          <w:p w14:paraId="101EDD41"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bottom w:val="nil"/>
            </w:tcBorders>
            <w:tcMar>
              <w:left w:w="57" w:type="dxa"/>
              <w:right w:w="57" w:type="dxa"/>
            </w:tcMar>
            <w:vAlign w:val="bottom"/>
          </w:tcPr>
          <w:p w14:paraId="0B1AD105"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–1 483</w:t>
            </w:r>
          </w:p>
        </w:tc>
        <w:tc>
          <w:tcPr>
            <w:tcW w:w="1310" w:type="dxa"/>
            <w:tcBorders>
              <w:bottom w:val="nil"/>
            </w:tcBorders>
            <w:tcMar>
              <w:left w:w="57" w:type="dxa"/>
              <w:right w:w="57" w:type="dxa"/>
            </w:tcMar>
            <w:vAlign w:val="bottom"/>
          </w:tcPr>
          <w:p w14:paraId="1ED16E75"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1348B706" w14:textId="77777777" w:rsidTr="00761B6C">
        <w:trPr>
          <w:jc w:val="center"/>
        </w:trPr>
        <w:tc>
          <w:tcPr>
            <w:tcW w:w="3402" w:type="dxa"/>
            <w:tcBorders>
              <w:bottom w:val="nil"/>
            </w:tcBorders>
            <w:tcMar>
              <w:left w:w="57" w:type="dxa"/>
              <w:right w:w="57" w:type="dxa"/>
            </w:tcMar>
          </w:tcPr>
          <w:p w14:paraId="5541B418" w14:textId="77777777" w:rsidR="00761B6C" w:rsidRPr="00236418" w:rsidRDefault="00761B6C" w:rsidP="00761B6C">
            <w:pPr>
              <w:pStyle w:val="Tabletext"/>
              <w:spacing w:before="0" w:after="0"/>
              <w:rPr>
                <w:i/>
                <w:iCs/>
                <w:sz w:val="18"/>
                <w:szCs w:val="18"/>
                <w:lang w:eastAsia="fr-FR"/>
              </w:rPr>
            </w:pPr>
            <w:r w:rsidRPr="00236418">
              <w:rPr>
                <w:i/>
                <w:iCs/>
                <w:sz w:val="18"/>
                <w:szCs w:val="18"/>
              </w:rPr>
              <w:t>Baisse des réserves du fonds d</w:t>
            </w:r>
            <w:r>
              <w:rPr>
                <w:i/>
                <w:iCs/>
                <w:sz w:val="18"/>
                <w:szCs w:val="18"/>
              </w:rPr>
              <w:t>'</w:t>
            </w:r>
            <w:r w:rsidRPr="00236418">
              <w:rPr>
                <w:i/>
                <w:iCs/>
                <w:sz w:val="18"/>
                <w:szCs w:val="18"/>
              </w:rPr>
              <w:t>investissement</w:t>
            </w:r>
          </w:p>
        </w:tc>
        <w:tc>
          <w:tcPr>
            <w:tcW w:w="1134" w:type="dxa"/>
            <w:tcBorders>
              <w:bottom w:val="nil"/>
            </w:tcBorders>
            <w:tcMar>
              <w:left w:w="57" w:type="dxa"/>
              <w:right w:w="57" w:type="dxa"/>
            </w:tcMar>
            <w:vAlign w:val="bottom"/>
          </w:tcPr>
          <w:p w14:paraId="54A6EB63"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bottom w:val="nil"/>
            </w:tcBorders>
            <w:vAlign w:val="bottom"/>
          </w:tcPr>
          <w:p w14:paraId="22A119AC"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bottom w:val="nil"/>
            </w:tcBorders>
            <w:tcMar>
              <w:left w:w="57" w:type="dxa"/>
              <w:right w:w="57" w:type="dxa"/>
            </w:tcMar>
            <w:vAlign w:val="bottom"/>
          </w:tcPr>
          <w:p w14:paraId="196293C2"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bottom w:val="nil"/>
            </w:tcBorders>
            <w:tcMar>
              <w:left w:w="57" w:type="dxa"/>
              <w:right w:w="57" w:type="dxa"/>
            </w:tcMar>
            <w:vAlign w:val="bottom"/>
          </w:tcPr>
          <w:p w14:paraId="75CB3CC2"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bottom w:val="nil"/>
            </w:tcBorders>
            <w:tcMar>
              <w:left w:w="57" w:type="dxa"/>
              <w:right w:w="57" w:type="dxa"/>
            </w:tcMar>
            <w:vAlign w:val="bottom"/>
          </w:tcPr>
          <w:p w14:paraId="10E6E307"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1 799</w:t>
            </w:r>
          </w:p>
        </w:tc>
        <w:tc>
          <w:tcPr>
            <w:tcW w:w="1310" w:type="dxa"/>
            <w:tcBorders>
              <w:bottom w:val="nil"/>
            </w:tcBorders>
            <w:tcMar>
              <w:left w:w="57" w:type="dxa"/>
              <w:right w:w="57" w:type="dxa"/>
            </w:tcMar>
            <w:vAlign w:val="bottom"/>
          </w:tcPr>
          <w:p w14:paraId="04A04376"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7DC82AEC" w14:textId="77777777" w:rsidTr="00761B6C">
        <w:trPr>
          <w:jc w:val="center"/>
        </w:trPr>
        <w:tc>
          <w:tcPr>
            <w:tcW w:w="3402" w:type="dxa"/>
            <w:tcBorders>
              <w:bottom w:val="single" w:sz="4" w:space="0" w:color="auto"/>
            </w:tcBorders>
            <w:tcMar>
              <w:left w:w="57" w:type="dxa"/>
              <w:right w:w="57" w:type="dxa"/>
            </w:tcMar>
          </w:tcPr>
          <w:p w14:paraId="67A21AA6" w14:textId="77777777" w:rsidR="00761B6C" w:rsidRPr="00236418" w:rsidRDefault="00761B6C" w:rsidP="00761B6C">
            <w:pPr>
              <w:pStyle w:val="Tabletext"/>
              <w:spacing w:before="0" w:after="20"/>
              <w:rPr>
                <w:i/>
                <w:iCs/>
                <w:sz w:val="18"/>
                <w:szCs w:val="18"/>
                <w:lang w:eastAsia="fr-FR"/>
              </w:rPr>
            </w:pPr>
            <w:r w:rsidRPr="00236418">
              <w:rPr>
                <w:i/>
                <w:iCs/>
                <w:sz w:val="18"/>
                <w:szCs w:val="18"/>
              </w:rPr>
              <w:t>Différences de périmètres</w:t>
            </w:r>
          </w:p>
        </w:tc>
        <w:tc>
          <w:tcPr>
            <w:tcW w:w="1134" w:type="dxa"/>
            <w:tcBorders>
              <w:bottom w:val="single" w:sz="4" w:space="0" w:color="auto"/>
            </w:tcBorders>
            <w:tcMar>
              <w:left w:w="57" w:type="dxa"/>
              <w:right w:w="57" w:type="dxa"/>
            </w:tcMar>
            <w:vAlign w:val="bottom"/>
          </w:tcPr>
          <w:p w14:paraId="50E5385B"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90" w:type="dxa"/>
            <w:tcBorders>
              <w:bottom w:val="single" w:sz="4" w:space="0" w:color="auto"/>
            </w:tcBorders>
            <w:vAlign w:val="bottom"/>
          </w:tcPr>
          <w:p w14:paraId="04AFE409"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154" w:type="dxa"/>
            <w:tcBorders>
              <w:bottom w:val="single" w:sz="4" w:space="0" w:color="auto"/>
            </w:tcBorders>
            <w:tcMar>
              <w:left w:w="57" w:type="dxa"/>
              <w:right w:w="57" w:type="dxa"/>
            </w:tcMar>
            <w:vAlign w:val="bottom"/>
          </w:tcPr>
          <w:p w14:paraId="6ACBF31A"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087" w:type="dxa"/>
            <w:tcBorders>
              <w:bottom w:val="single" w:sz="4" w:space="0" w:color="auto"/>
            </w:tcBorders>
            <w:tcMar>
              <w:left w:w="57" w:type="dxa"/>
              <w:right w:w="57" w:type="dxa"/>
            </w:tcMar>
            <w:vAlign w:val="bottom"/>
          </w:tcPr>
          <w:p w14:paraId="2D3A1160" w14:textId="77777777" w:rsidR="00761B6C" w:rsidRPr="00E94FBF" w:rsidRDefault="00761B6C" w:rsidP="00761B6C">
            <w:pPr>
              <w:pStyle w:val="TableText0"/>
              <w:spacing w:before="0"/>
              <w:jc w:val="right"/>
              <w:rPr>
                <w:rFonts w:asciiTheme="minorHAnsi" w:hAnsiTheme="minorHAnsi" w:cstheme="minorHAnsi"/>
                <w:sz w:val="18"/>
                <w:szCs w:val="18"/>
                <w:lang w:eastAsia="zh-CN"/>
              </w:rPr>
            </w:pPr>
            <w:r w:rsidRPr="00E94FBF">
              <w:rPr>
                <w:rFonts w:asciiTheme="minorHAnsi" w:hAnsiTheme="minorHAnsi" w:cstheme="minorHAnsi"/>
                <w:sz w:val="18"/>
                <w:szCs w:val="18"/>
                <w:lang w:eastAsia="zh-CN"/>
              </w:rPr>
              <w:t> </w:t>
            </w:r>
          </w:p>
        </w:tc>
        <w:tc>
          <w:tcPr>
            <w:tcW w:w="1330" w:type="dxa"/>
            <w:tcBorders>
              <w:bottom w:val="single" w:sz="4" w:space="0" w:color="auto"/>
            </w:tcBorders>
            <w:tcMar>
              <w:left w:w="57" w:type="dxa"/>
              <w:right w:w="57" w:type="dxa"/>
            </w:tcMar>
            <w:vAlign w:val="bottom"/>
          </w:tcPr>
          <w:p w14:paraId="27B95D21" w14:textId="77777777" w:rsidR="00761B6C" w:rsidRPr="00E94FBF" w:rsidRDefault="00761B6C" w:rsidP="00761B6C">
            <w:pPr>
              <w:pStyle w:val="TableText0"/>
              <w:spacing w:before="0"/>
              <w:jc w:val="right"/>
              <w:rPr>
                <w:rFonts w:asciiTheme="minorHAnsi" w:hAnsiTheme="minorHAnsi" w:cstheme="minorHAnsi"/>
                <w:i/>
                <w:iCs/>
                <w:sz w:val="18"/>
                <w:szCs w:val="18"/>
                <w:lang w:eastAsia="zh-CN"/>
              </w:rPr>
            </w:pPr>
            <w:r w:rsidRPr="00E94FBF">
              <w:rPr>
                <w:rFonts w:asciiTheme="minorHAnsi" w:hAnsiTheme="minorHAnsi" w:cstheme="minorHAnsi"/>
                <w:i/>
                <w:iCs/>
                <w:sz w:val="18"/>
                <w:szCs w:val="18"/>
                <w:lang w:eastAsia="zh-CN"/>
              </w:rPr>
              <w:t>6 108</w:t>
            </w:r>
          </w:p>
        </w:tc>
        <w:tc>
          <w:tcPr>
            <w:tcW w:w="1310" w:type="dxa"/>
            <w:tcBorders>
              <w:bottom w:val="single" w:sz="4" w:space="0" w:color="auto"/>
            </w:tcBorders>
            <w:tcMar>
              <w:left w:w="57" w:type="dxa"/>
              <w:right w:w="57" w:type="dxa"/>
            </w:tcMar>
            <w:vAlign w:val="bottom"/>
          </w:tcPr>
          <w:p w14:paraId="0D3678E2" w14:textId="77777777" w:rsidR="00761B6C" w:rsidRPr="00E94FBF" w:rsidRDefault="00761B6C" w:rsidP="00761B6C">
            <w:pPr>
              <w:pStyle w:val="TableText0"/>
              <w:spacing w:before="0"/>
              <w:jc w:val="right"/>
              <w:rPr>
                <w:rFonts w:asciiTheme="minorHAnsi" w:hAnsiTheme="minorHAnsi" w:cstheme="minorHAnsi"/>
                <w:sz w:val="18"/>
                <w:szCs w:val="18"/>
                <w:lang w:eastAsia="zh-CN"/>
              </w:rPr>
            </w:pPr>
          </w:p>
        </w:tc>
      </w:tr>
      <w:tr w:rsidR="00761B6C" w:rsidRPr="00236418" w14:paraId="65771855" w14:textId="77777777" w:rsidTr="00761B6C">
        <w:trPr>
          <w:jc w:val="center"/>
        </w:trPr>
        <w:tc>
          <w:tcPr>
            <w:tcW w:w="3402" w:type="dxa"/>
            <w:tcBorders>
              <w:bottom w:val="single" w:sz="4" w:space="0" w:color="auto"/>
            </w:tcBorders>
            <w:tcMar>
              <w:left w:w="57" w:type="dxa"/>
              <w:right w:w="57" w:type="dxa"/>
            </w:tcMar>
          </w:tcPr>
          <w:p w14:paraId="0323A21D" w14:textId="77777777" w:rsidR="00761B6C" w:rsidRPr="00236418" w:rsidRDefault="00761B6C" w:rsidP="00761B6C">
            <w:pPr>
              <w:pStyle w:val="Tablehead"/>
              <w:spacing w:before="0" w:after="0"/>
              <w:jc w:val="left"/>
              <w:rPr>
                <w:sz w:val="18"/>
                <w:szCs w:val="18"/>
              </w:rPr>
            </w:pPr>
            <w:r w:rsidRPr="00236418">
              <w:rPr>
                <w:sz w:val="18"/>
                <w:szCs w:val="18"/>
              </w:rPr>
              <w:t>Excédent/Déficit tel que montré dans l</w:t>
            </w:r>
            <w:r>
              <w:rPr>
                <w:sz w:val="18"/>
                <w:szCs w:val="18"/>
              </w:rPr>
              <w:t>'</w:t>
            </w:r>
            <w:r w:rsidRPr="00236418">
              <w:rPr>
                <w:sz w:val="18"/>
                <w:szCs w:val="18"/>
              </w:rPr>
              <w:t>état de la performance financière</w:t>
            </w:r>
          </w:p>
        </w:tc>
        <w:tc>
          <w:tcPr>
            <w:tcW w:w="1134" w:type="dxa"/>
            <w:tcBorders>
              <w:bottom w:val="single" w:sz="4" w:space="0" w:color="auto"/>
            </w:tcBorders>
            <w:tcMar>
              <w:left w:w="57" w:type="dxa"/>
              <w:right w:w="57" w:type="dxa"/>
            </w:tcMar>
            <w:vAlign w:val="bottom"/>
          </w:tcPr>
          <w:p w14:paraId="090EE81D"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390" w:type="dxa"/>
            <w:tcBorders>
              <w:bottom w:val="single" w:sz="4" w:space="0" w:color="auto"/>
            </w:tcBorders>
            <w:vAlign w:val="bottom"/>
          </w:tcPr>
          <w:p w14:paraId="1BEB4F25"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154" w:type="dxa"/>
            <w:tcBorders>
              <w:bottom w:val="single" w:sz="4" w:space="0" w:color="auto"/>
            </w:tcBorders>
            <w:tcMar>
              <w:left w:w="57" w:type="dxa"/>
              <w:right w:w="57" w:type="dxa"/>
            </w:tcMar>
            <w:vAlign w:val="bottom"/>
          </w:tcPr>
          <w:p w14:paraId="2D48082A"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087" w:type="dxa"/>
            <w:tcBorders>
              <w:bottom w:val="single" w:sz="4" w:space="0" w:color="auto"/>
            </w:tcBorders>
            <w:tcMar>
              <w:left w:w="57" w:type="dxa"/>
              <w:right w:w="57" w:type="dxa"/>
            </w:tcMar>
            <w:vAlign w:val="bottom"/>
          </w:tcPr>
          <w:p w14:paraId="3F6DF3A9"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 </w:t>
            </w:r>
          </w:p>
        </w:tc>
        <w:tc>
          <w:tcPr>
            <w:tcW w:w="1330" w:type="dxa"/>
            <w:tcBorders>
              <w:bottom w:val="single" w:sz="4" w:space="0" w:color="auto"/>
            </w:tcBorders>
            <w:tcMar>
              <w:left w:w="57" w:type="dxa"/>
              <w:right w:w="57" w:type="dxa"/>
            </w:tcMar>
            <w:vAlign w:val="bottom"/>
          </w:tcPr>
          <w:p w14:paraId="782965A8"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r w:rsidRPr="00E94FBF">
              <w:rPr>
                <w:rFonts w:asciiTheme="minorHAnsi" w:hAnsiTheme="minorHAnsi" w:cstheme="minorHAnsi"/>
                <w:b/>
                <w:bCs/>
                <w:sz w:val="18"/>
                <w:szCs w:val="18"/>
                <w:lang w:eastAsia="zh-CN"/>
              </w:rPr>
              <w:t>–47 259</w:t>
            </w:r>
          </w:p>
        </w:tc>
        <w:tc>
          <w:tcPr>
            <w:tcW w:w="1310" w:type="dxa"/>
            <w:tcBorders>
              <w:bottom w:val="single" w:sz="4" w:space="0" w:color="auto"/>
            </w:tcBorders>
            <w:tcMar>
              <w:left w:w="57" w:type="dxa"/>
              <w:right w:w="57" w:type="dxa"/>
            </w:tcMar>
            <w:vAlign w:val="bottom"/>
          </w:tcPr>
          <w:p w14:paraId="672DDCA8" w14:textId="77777777" w:rsidR="00761B6C" w:rsidRPr="00E94FBF" w:rsidRDefault="00761B6C" w:rsidP="00761B6C">
            <w:pPr>
              <w:pStyle w:val="TableText0"/>
              <w:spacing w:before="0"/>
              <w:jc w:val="right"/>
              <w:rPr>
                <w:rFonts w:asciiTheme="minorHAnsi" w:hAnsiTheme="minorHAnsi" w:cstheme="minorHAnsi"/>
                <w:b/>
                <w:bCs/>
                <w:sz w:val="18"/>
                <w:szCs w:val="18"/>
                <w:lang w:eastAsia="zh-CN"/>
              </w:rPr>
            </w:pPr>
          </w:p>
        </w:tc>
      </w:tr>
    </w:tbl>
    <w:p w14:paraId="24ED6606" w14:textId="77777777" w:rsidR="00761B6C" w:rsidRPr="00236418" w:rsidRDefault="00761B6C" w:rsidP="00761B6C">
      <w:pPr>
        <w:spacing w:before="240"/>
      </w:pPr>
      <w:bookmarkStart w:id="681" w:name="_Toc387166623"/>
      <w:bookmarkStart w:id="682" w:name="_Toc395260908"/>
      <w:bookmarkStart w:id="683" w:name="_Toc395261096"/>
      <w:bookmarkStart w:id="684" w:name="_Toc395511687"/>
      <w:r w:rsidRPr="00236418">
        <w:t>Pour plus d</w:t>
      </w:r>
      <w:r>
        <w:t>'</w:t>
      </w:r>
      <w:r w:rsidRPr="00236418">
        <w:t>informations, voir la Note 26.</w:t>
      </w:r>
    </w:p>
    <w:p w14:paraId="426FB24C" w14:textId="77777777" w:rsidR="00761B6C" w:rsidRPr="00236418" w:rsidRDefault="00761B6C" w:rsidP="00761B6C">
      <w:pPr>
        <w:pStyle w:val="Heading1"/>
        <w:jc w:val="center"/>
      </w:pPr>
      <w:bookmarkStart w:id="685" w:name="_Toc452138601"/>
      <w:bookmarkStart w:id="686" w:name="_Toc452139050"/>
      <w:bookmarkStart w:id="687" w:name="_Toc452139414"/>
      <w:bookmarkStart w:id="688" w:name="_Toc452139813"/>
      <w:bookmarkStart w:id="689" w:name="_Toc452140680"/>
      <w:bookmarkStart w:id="690" w:name="_Toc482801471"/>
      <w:bookmarkStart w:id="691" w:name="_Toc482888031"/>
      <w:bookmarkStart w:id="692" w:name="_Toc482888065"/>
      <w:bookmarkStart w:id="693" w:name="_Toc482888374"/>
      <w:bookmarkStart w:id="694" w:name="_Toc511649441"/>
      <w:bookmarkStart w:id="695" w:name="_Toc511649813"/>
      <w:bookmarkStart w:id="696" w:name="_Toc511649927"/>
      <w:bookmarkStart w:id="697" w:name="_Toc511651183"/>
      <w:bookmarkStart w:id="698" w:name="_Toc511724048"/>
      <w:bookmarkStart w:id="699" w:name="_Toc511739037"/>
      <w:bookmarkStart w:id="700" w:name="_Toc511740817"/>
      <w:bookmarkStart w:id="701" w:name="_Toc511741206"/>
      <w:bookmarkStart w:id="702" w:name="_Toc10450712"/>
      <w:bookmarkStart w:id="703" w:name="_Toc41567344"/>
      <w:bookmarkStart w:id="704" w:name="_Toc41567830"/>
      <w:bookmarkStart w:id="705" w:name="_Toc41814942"/>
      <w:bookmarkStart w:id="706" w:name="_Toc73354431"/>
      <w:bookmarkStart w:id="707" w:name="_Toc73356386"/>
      <w:r w:rsidRPr="00236418">
        <w:lastRenderedPageBreak/>
        <w:t>Notes relatives aux états financiers</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5217D757" w14:textId="77777777" w:rsidR="00761B6C" w:rsidRPr="00236418" w:rsidRDefault="00761B6C" w:rsidP="00761B6C">
      <w:pPr>
        <w:pStyle w:val="Heading1"/>
        <w:rPr>
          <w:sz w:val="24"/>
          <w:szCs w:val="24"/>
        </w:rPr>
      </w:pPr>
      <w:bookmarkStart w:id="708" w:name="_Toc329178761"/>
      <w:bookmarkStart w:id="709" w:name="_Toc329181734"/>
      <w:bookmarkStart w:id="710" w:name="_Toc329202549"/>
      <w:bookmarkStart w:id="711" w:name="_Toc329204981"/>
      <w:bookmarkStart w:id="712" w:name="_Toc329206818"/>
      <w:bookmarkStart w:id="713" w:name="_Toc358379902"/>
      <w:bookmarkStart w:id="714" w:name="_Toc358380442"/>
      <w:bookmarkStart w:id="715" w:name="_Toc452139814"/>
      <w:bookmarkStart w:id="716" w:name="_Toc452140681"/>
      <w:bookmarkStart w:id="717" w:name="_Toc482801472"/>
      <w:bookmarkStart w:id="718" w:name="_Toc511649442"/>
      <w:bookmarkStart w:id="719" w:name="_Toc511649814"/>
      <w:bookmarkStart w:id="720" w:name="_Toc511649928"/>
      <w:bookmarkStart w:id="721" w:name="_Toc511651184"/>
      <w:bookmarkStart w:id="722" w:name="_Toc511724049"/>
      <w:bookmarkStart w:id="723" w:name="_Toc511739038"/>
      <w:bookmarkStart w:id="724" w:name="_Toc511741207"/>
      <w:bookmarkStart w:id="725" w:name="_Toc10450713"/>
      <w:bookmarkStart w:id="726" w:name="_Toc41566318"/>
      <w:bookmarkStart w:id="727" w:name="_Toc41567345"/>
      <w:bookmarkStart w:id="728" w:name="_Toc41567831"/>
      <w:bookmarkStart w:id="729" w:name="_Toc41814943"/>
      <w:bookmarkStart w:id="730" w:name="_Toc73354432"/>
      <w:bookmarkStart w:id="731" w:name="_Toc73356387"/>
      <w:r w:rsidRPr="00236418">
        <w:rPr>
          <w:sz w:val="24"/>
          <w:szCs w:val="24"/>
        </w:rPr>
        <w:t>Note 1</w:t>
      </w:r>
      <w:r w:rsidRPr="00236418">
        <w:rPr>
          <w:sz w:val="24"/>
          <w:szCs w:val="24"/>
        </w:rPr>
        <w:tab/>
      </w:r>
      <w:bookmarkEnd w:id="708"/>
      <w:bookmarkEnd w:id="709"/>
      <w:bookmarkEnd w:id="710"/>
      <w:bookmarkEnd w:id="711"/>
      <w:bookmarkEnd w:id="712"/>
      <w:bookmarkEnd w:id="713"/>
      <w:bookmarkEnd w:id="714"/>
      <w:bookmarkEnd w:id="715"/>
      <w:bookmarkEnd w:id="716"/>
      <w:r w:rsidRPr="00236418">
        <w:rPr>
          <w:sz w:val="24"/>
          <w:szCs w:val="24"/>
        </w:rPr>
        <w:t>Objectifs de l</w:t>
      </w:r>
      <w:r>
        <w:rPr>
          <w:sz w:val="24"/>
          <w:szCs w:val="24"/>
        </w:rPr>
        <w:t>'</w:t>
      </w:r>
      <w:r w:rsidRPr="00236418">
        <w:rPr>
          <w:sz w:val="24"/>
          <w:szCs w:val="24"/>
        </w:rPr>
        <w:t>Union</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77ACF440" w14:textId="77777777" w:rsidR="00761B6C" w:rsidRPr="00236418" w:rsidRDefault="00761B6C" w:rsidP="00761B6C">
      <w:pPr>
        <w:rPr>
          <w:b/>
        </w:rPr>
      </w:pPr>
      <w:r w:rsidRPr="00236418">
        <w:t>L</w:t>
      </w:r>
      <w:r>
        <w:t>'</w:t>
      </w:r>
      <w:r w:rsidRPr="00236418">
        <w:t>Union internationale des télécommunications (UIT) est l</w:t>
      </w:r>
      <w:r>
        <w:t>'</w:t>
      </w:r>
      <w:r w:rsidRPr="00236418">
        <w:t>institution spécialisée des</w:t>
      </w:r>
      <w:hyperlink r:id="rId26" w:tgtFrame="_blank" w:history="1">
        <w:r w:rsidRPr="00236418">
          <w:rPr>
            <w:rStyle w:val="Hyperlink"/>
          </w:rPr>
          <w:t xml:space="preserve"> </w:t>
        </w:r>
        <w:r w:rsidRPr="00236418">
          <w:rPr>
            <w:rStyle w:val="Hyperlink"/>
            <w:rFonts w:cs="Calibri"/>
          </w:rPr>
          <w:t>Nations Unies</w:t>
        </w:r>
      </w:hyperlink>
      <w:r w:rsidRPr="00236418">
        <w:t xml:space="preserve"> pour les technologies de l</w:t>
      </w:r>
      <w:r>
        <w:t>'</w:t>
      </w:r>
      <w:r w:rsidRPr="00236418">
        <w:t>information et de la communication (TIC). Pôle de convergence mondial où se retrouvent pouvoirs publics et secteur privé, l</w:t>
      </w:r>
      <w:r>
        <w:t>'</w:t>
      </w:r>
      <w:r w:rsidRPr="00236418">
        <w:t xml:space="preserve">UIT aide le monde à communiquer, et ce dans trois Secteurs fondamentaux: les </w:t>
      </w:r>
      <w:hyperlink r:id="rId27" w:history="1">
        <w:r w:rsidRPr="00236418">
          <w:rPr>
            <w:rStyle w:val="Hyperlink"/>
            <w:rFonts w:cs="Calibri"/>
          </w:rPr>
          <w:t>radiocommunications</w:t>
        </w:r>
      </w:hyperlink>
      <w:r w:rsidRPr="00236418">
        <w:t xml:space="preserve">, la </w:t>
      </w:r>
      <w:hyperlink r:id="rId28" w:history="1">
        <w:r w:rsidRPr="00236418">
          <w:rPr>
            <w:rStyle w:val="Hyperlink"/>
            <w:rFonts w:cs="Calibri"/>
          </w:rPr>
          <w:t>normalisation</w:t>
        </w:r>
      </w:hyperlink>
      <w:r w:rsidRPr="00236418">
        <w:t xml:space="preserve"> et le </w:t>
      </w:r>
      <w:hyperlink r:id="rId29" w:history="1">
        <w:r w:rsidRPr="00236418">
          <w:rPr>
            <w:rStyle w:val="Hyperlink"/>
            <w:rFonts w:cs="Calibri"/>
          </w:rPr>
          <w:t>développement</w:t>
        </w:r>
      </w:hyperlink>
      <w:r w:rsidRPr="00236418">
        <w:t>. L</w:t>
      </w:r>
      <w:r>
        <w:t>'</w:t>
      </w:r>
      <w:r w:rsidRPr="00236418">
        <w:t>UIT reconnaît pleinement à chaque État le droit souverain de réglementer ses télécommunications.</w:t>
      </w:r>
    </w:p>
    <w:p w14:paraId="41233EAD" w14:textId="77777777" w:rsidR="00761B6C" w:rsidRPr="00236418" w:rsidRDefault="00761B6C" w:rsidP="00761B6C">
      <w:pPr>
        <w:rPr>
          <w:lang w:eastAsia="fr-FR"/>
        </w:rPr>
      </w:pPr>
      <w:r w:rsidRPr="00236418">
        <w:rPr>
          <w:lang w:eastAsia="fr-FR"/>
        </w:rPr>
        <w:t>L</w:t>
      </w:r>
      <w:r>
        <w:rPr>
          <w:lang w:eastAsia="fr-FR"/>
        </w:rPr>
        <w:t>'</w:t>
      </w:r>
      <w:r w:rsidRPr="00236418">
        <w:rPr>
          <w:lang w:eastAsia="fr-FR"/>
        </w:rPr>
        <w:t>UIT, qui est aussi l</w:t>
      </w:r>
      <w:r>
        <w:rPr>
          <w:lang w:eastAsia="fr-FR"/>
        </w:rPr>
        <w:t>'</w:t>
      </w:r>
      <w:r w:rsidRPr="00236418">
        <w:rPr>
          <w:lang w:eastAsia="fr-FR"/>
        </w:rPr>
        <w:t xml:space="preserve">organisatrice des manifestations </w:t>
      </w:r>
      <w:hyperlink r:id="rId30" w:history="1">
        <w:r w:rsidRPr="00236418">
          <w:rPr>
            <w:rStyle w:val="Hyperlink"/>
            <w:rFonts w:asciiTheme="minorHAnsi" w:hAnsiTheme="minorHAnsi" w:cs="Arial"/>
            <w:szCs w:val="24"/>
            <w:lang w:eastAsia="fr-FR"/>
          </w:rPr>
          <w:t>ITU TELECOM</w:t>
        </w:r>
      </w:hyperlink>
      <w:r w:rsidRPr="00236418">
        <w:rPr>
          <w:lang w:eastAsia="fr-FR"/>
        </w:rPr>
        <w:t>, a été responsable au premier chef de l</w:t>
      </w:r>
      <w:r>
        <w:rPr>
          <w:lang w:eastAsia="fr-FR"/>
        </w:rPr>
        <w:t>'</w:t>
      </w:r>
      <w:r w:rsidRPr="00236418">
        <w:rPr>
          <w:lang w:eastAsia="fr-FR"/>
        </w:rPr>
        <w:t>organisation du </w:t>
      </w:r>
      <w:hyperlink r:id="rId31" w:history="1">
        <w:r w:rsidRPr="00236418">
          <w:rPr>
            <w:rStyle w:val="Hyperlink"/>
            <w:rFonts w:asciiTheme="minorHAnsi" w:hAnsiTheme="minorHAnsi" w:cs="Arial"/>
            <w:szCs w:val="24"/>
            <w:lang w:eastAsia="fr-FR"/>
          </w:rPr>
          <w:t>Sommet mondial sur la société de l</w:t>
        </w:r>
        <w:r>
          <w:rPr>
            <w:rStyle w:val="Hyperlink"/>
            <w:rFonts w:asciiTheme="minorHAnsi" w:hAnsiTheme="minorHAnsi" w:cs="Arial"/>
            <w:szCs w:val="24"/>
            <w:lang w:eastAsia="fr-FR"/>
          </w:rPr>
          <w:t>'</w:t>
        </w:r>
        <w:r w:rsidRPr="00236418">
          <w:rPr>
            <w:rStyle w:val="Hyperlink"/>
            <w:rFonts w:asciiTheme="minorHAnsi" w:hAnsiTheme="minorHAnsi" w:cs="Arial"/>
            <w:szCs w:val="24"/>
            <w:lang w:eastAsia="fr-FR"/>
          </w:rPr>
          <w:t>information</w:t>
        </w:r>
      </w:hyperlink>
      <w:r w:rsidRPr="00236418">
        <w:rPr>
          <w:lang w:eastAsia="fr-FR"/>
        </w:rPr>
        <w:t>.</w:t>
      </w:r>
    </w:p>
    <w:p w14:paraId="00283D68" w14:textId="77777777" w:rsidR="00761B6C" w:rsidRPr="00236418" w:rsidRDefault="00761B6C" w:rsidP="00761B6C">
      <w:pPr>
        <w:rPr>
          <w:lang w:eastAsia="fr-FR"/>
        </w:rPr>
      </w:pPr>
      <w:r w:rsidRPr="00236418">
        <w:rPr>
          <w:rFonts w:asciiTheme="minorHAnsi" w:hAnsiTheme="minorHAnsi" w:cs="Arial"/>
          <w:szCs w:val="24"/>
          <w:lang w:eastAsia="fr-FR"/>
        </w:rPr>
        <w:t>L</w:t>
      </w:r>
      <w:r>
        <w:rPr>
          <w:rFonts w:asciiTheme="minorHAnsi" w:hAnsiTheme="minorHAnsi" w:cs="Arial"/>
          <w:szCs w:val="24"/>
          <w:lang w:eastAsia="fr-FR"/>
        </w:rPr>
        <w:t>'</w:t>
      </w:r>
      <w:r w:rsidRPr="00236418">
        <w:rPr>
          <w:rFonts w:asciiTheme="minorHAnsi" w:hAnsiTheme="minorHAnsi" w:cs="Arial"/>
          <w:szCs w:val="24"/>
          <w:lang w:eastAsia="fr-FR"/>
        </w:rPr>
        <w:t xml:space="preserve">UIT a son siège à Place des Nations, 1211 Genève 20, Suisse, et compte 193 </w:t>
      </w:r>
      <w:hyperlink r:id="rId32" w:history="1">
        <w:r w:rsidRPr="00236418">
          <w:rPr>
            <w:rStyle w:val="Hyperlink"/>
            <w:rFonts w:asciiTheme="minorHAnsi" w:hAnsiTheme="minorHAnsi" w:cs="Arial"/>
            <w:szCs w:val="24"/>
            <w:lang w:eastAsia="fr-FR"/>
          </w:rPr>
          <w:t>États Membres</w:t>
        </w:r>
      </w:hyperlink>
      <w:r w:rsidRPr="00236418">
        <w:rPr>
          <w:rFonts w:asciiTheme="minorHAnsi" w:hAnsiTheme="minorHAnsi" w:cs="Arial"/>
          <w:szCs w:val="24"/>
          <w:lang w:eastAsia="fr-FR"/>
        </w:rPr>
        <w:t xml:space="preserve"> et plus de 1 200 </w:t>
      </w:r>
      <w:hyperlink r:id="rId33" w:history="1">
        <w:r w:rsidRPr="00236418">
          <w:rPr>
            <w:rStyle w:val="Hyperlink"/>
            <w:rFonts w:cs="Arial"/>
            <w:szCs w:val="24"/>
            <w:lang w:eastAsia="fr-FR"/>
          </w:rPr>
          <w:t>Membres de Secteur</w:t>
        </w:r>
      </w:hyperlink>
      <w:r w:rsidRPr="00236418">
        <w:t xml:space="preserve">, </w:t>
      </w:r>
      <w:hyperlink r:id="rId34" w:history="1">
        <w:r w:rsidRPr="00236418">
          <w:rPr>
            <w:rStyle w:val="Hyperlink"/>
            <w:rFonts w:asciiTheme="minorHAnsi" w:hAnsiTheme="minorHAnsi" w:cs="Arial"/>
            <w:szCs w:val="24"/>
            <w:lang w:eastAsia="fr-FR"/>
          </w:rPr>
          <w:t>Associés</w:t>
        </w:r>
      </w:hyperlink>
      <w:r w:rsidRPr="00236418">
        <w:rPr>
          <w:rStyle w:val="Hyperlink"/>
          <w:color w:val="auto"/>
          <w:u w:val="none"/>
        </w:rPr>
        <w:t xml:space="preserve"> </w:t>
      </w:r>
      <w:r w:rsidRPr="00236418">
        <w:rPr>
          <w:rStyle w:val="Hyperlink"/>
          <w:rFonts w:asciiTheme="minorHAnsi" w:hAnsiTheme="minorHAnsi" w:cs="Arial"/>
          <w:color w:val="auto"/>
          <w:szCs w:val="24"/>
          <w:u w:val="none"/>
          <w:lang w:eastAsia="fr-FR"/>
        </w:rPr>
        <w:t xml:space="preserve">et </w:t>
      </w:r>
      <w:hyperlink r:id="rId35" w:history="1">
        <w:r w:rsidRPr="00236418">
          <w:rPr>
            <w:rStyle w:val="Hyperlink"/>
            <w:rFonts w:asciiTheme="minorHAnsi" w:hAnsiTheme="minorHAnsi" w:cs="Arial"/>
            <w:szCs w:val="24"/>
            <w:lang w:eastAsia="fr-FR"/>
          </w:rPr>
          <w:t>établissements universitaires associés à ses travaux</w:t>
        </w:r>
      </w:hyperlink>
      <w:r w:rsidRPr="00236418">
        <w:rPr>
          <w:rFonts w:asciiTheme="minorHAnsi" w:hAnsiTheme="minorHAnsi" w:cs="Arial"/>
          <w:szCs w:val="24"/>
          <w:lang w:eastAsia="fr-FR"/>
        </w:rPr>
        <w:t>. L</w:t>
      </w:r>
      <w:r>
        <w:rPr>
          <w:rFonts w:asciiTheme="minorHAnsi" w:hAnsiTheme="minorHAnsi" w:cs="Arial"/>
          <w:szCs w:val="24"/>
          <w:lang w:eastAsia="fr-FR"/>
        </w:rPr>
        <w:t>'</w:t>
      </w:r>
      <w:r w:rsidRPr="00236418">
        <w:rPr>
          <w:rFonts w:asciiTheme="minorHAnsi" w:hAnsiTheme="minorHAnsi" w:cs="Arial"/>
          <w:szCs w:val="24"/>
          <w:lang w:eastAsia="fr-FR"/>
        </w:rPr>
        <w:t>UIT a quatre bureaux régionaux, huit bureaux de zone, un bureau de liaison auprès de l</w:t>
      </w:r>
      <w:r>
        <w:rPr>
          <w:rFonts w:asciiTheme="minorHAnsi" w:hAnsiTheme="minorHAnsi" w:cs="Arial"/>
          <w:szCs w:val="24"/>
          <w:lang w:eastAsia="fr-FR"/>
        </w:rPr>
        <w:t>'</w:t>
      </w:r>
      <w:r w:rsidRPr="00236418">
        <w:rPr>
          <w:rFonts w:asciiTheme="minorHAnsi" w:hAnsiTheme="minorHAnsi" w:cs="Arial"/>
          <w:szCs w:val="24"/>
          <w:lang w:eastAsia="fr-FR"/>
        </w:rPr>
        <w:t>Organisation des Nations Unies à New York et une unité de coordination au siège pour l</w:t>
      </w:r>
      <w:r>
        <w:rPr>
          <w:rFonts w:asciiTheme="minorHAnsi" w:hAnsiTheme="minorHAnsi" w:cs="Arial"/>
          <w:szCs w:val="24"/>
          <w:lang w:eastAsia="fr-FR"/>
        </w:rPr>
        <w:t>'</w:t>
      </w:r>
      <w:r w:rsidRPr="00236418">
        <w:rPr>
          <w:rFonts w:asciiTheme="minorHAnsi" w:hAnsiTheme="minorHAnsi" w:cs="Arial"/>
          <w:szCs w:val="24"/>
          <w:lang w:eastAsia="fr-FR"/>
        </w:rPr>
        <w:t>Europe.</w:t>
      </w:r>
    </w:p>
    <w:p w14:paraId="22C867FE" w14:textId="77777777" w:rsidR="00761B6C" w:rsidRPr="00236418" w:rsidRDefault="00761B6C" w:rsidP="00761B6C">
      <w:r w:rsidRPr="00236418">
        <w:t>L</w:t>
      </w:r>
      <w:r>
        <w:t>'</w:t>
      </w:r>
      <w:r w:rsidRPr="00236418">
        <w:t>objet de l</w:t>
      </w:r>
      <w:r>
        <w:t>'</w:t>
      </w:r>
      <w:r w:rsidRPr="00236418">
        <w:t xml:space="preserve">Union est le suivant: </w:t>
      </w:r>
    </w:p>
    <w:p w14:paraId="7D4A515D" w14:textId="77777777" w:rsidR="00761B6C" w:rsidRPr="00236418" w:rsidRDefault="00761B6C" w:rsidP="00761B6C">
      <w:pPr>
        <w:pStyle w:val="enumlev1"/>
      </w:pPr>
      <w:r w:rsidRPr="00236418">
        <w:rPr>
          <w:lang w:eastAsia="fr-FR"/>
        </w:rPr>
        <w:t>–</w:t>
      </w:r>
      <w:r w:rsidRPr="00236418">
        <w:rPr>
          <w:lang w:eastAsia="fr-FR"/>
        </w:rPr>
        <w:tab/>
      </w:r>
      <w:r w:rsidRPr="00236418">
        <w:t>Maintenir et étendre la coopération internationale entre tous ses États Membres pour l</w:t>
      </w:r>
      <w:r>
        <w:t>'</w:t>
      </w:r>
      <w:r w:rsidRPr="00236418">
        <w:t>amélioration et l</w:t>
      </w:r>
      <w:r>
        <w:t>'</w:t>
      </w:r>
      <w:r w:rsidRPr="00236418">
        <w:t>emploi rationnel des télécommunications de toutes sortes.</w:t>
      </w:r>
    </w:p>
    <w:p w14:paraId="27206010" w14:textId="77777777" w:rsidR="00761B6C" w:rsidRPr="00236418" w:rsidRDefault="00761B6C" w:rsidP="00761B6C">
      <w:pPr>
        <w:pStyle w:val="enumlev1"/>
      </w:pPr>
      <w:r w:rsidRPr="00236418">
        <w:t>–</w:t>
      </w:r>
      <w:r w:rsidRPr="00236418">
        <w:tab/>
        <w:t>Favoriser le développement de moyens techniques et leur exploitation la plus efficace, en vue d</w:t>
      </w:r>
      <w:r>
        <w:t>'</w:t>
      </w:r>
      <w:r w:rsidRPr="00236418">
        <w:t>augmenter le rendement des services de télécommunication, d</w:t>
      </w:r>
      <w:r>
        <w:t>'</w:t>
      </w:r>
      <w:r w:rsidRPr="00236418">
        <w:t>accroître leur utilité et de généraliser le plus possible leur utilisation par le public.</w:t>
      </w:r>
    </w:p>
    <w:p w14:paraId="20120248" w14:textId="77777777" w:rsidR="00761B6C" w:rsidRPr="00236418" w:rsidRDefault="00761B6C" w:rsidP="00761B6C">
      <w:pPr>
        <w:pStyle w:val="enumlev1"/>
      </w:pPr>
      <w:r w:rsidRPr="00236418">
        <w:t>–</w:t>
      </w:r>
      <w:r w:rsidRPr="00236418">
        <w:tab/>
        <w:t>S</w:t>
      </w:r>
      <w:r>
        <w:t>'</w:t>
      </w:r>
      <w:r w:rsidRPr="00236418">
        <w:t>efforcer d</w:t>
      </w:r>
      <w:r>
        <w:t>'</w:t>
      </w:r>
      <w:r w:rsidRPr="00236418">
        <w:t>étendre les avantages des nouvelles technologies de télécommunication à tous les habitants de la planète.</w:t>
      </w:r>
    </w:p>
    <w:p w14:paraId="6DEE4E08" w14:textId="77777777" w:rsidR="00761B6C" w:rsidRPr="00236418" w:rsidRDefault="00761B6C" w:rsidP="00761B6C">
      <w:pPr>
        <w:pStyle w:val="enumlev1"/>
      </w:pPr>
      <w:r w:rsidRPr="00236418">
        <w:t>–</w:t>
      </w:r>
      <w:r w:rsidRPr="00236418">
        <w:tab/>
        <w:t>Promouvoir l</w:t>
      </w:r>
      <w:r>
        <w:t>'</w:t>
      </w:r>
      <w:r w:rsidRPr="00236418">
        <w:t>utilisation des services de télécommunication en vue de faciliter les relations pacifiques.</w:t>
      </w:r>
    </w:p>
    <w:p w14:paraId="6A348CDA" w14:textId="77777777" w:rsidR="00761B6C" w:rsidRPr="00236418" w:rsidRDefault="00761B6C" w:rsidP="00761B6C">
      <w:pPr>
        <w:pStyle w:val="enumlev1"/>
      </w:pPr>
      <w:r w:rsidRPr="00236418">
        <w:t>–</w:t>
      </w:r>
      <w:r w:rsidRPr="00236418">
        <w:tab/>
        <w:t>Harmoniser les efforts des États Membres et favoriser une coopération et un partenariat fructueux et constructifs entre les États Membres et les Membres des Secteurs à ces fins.</w:t>
      </w:r>
    </w:p>
    <w:p w14:paraId="7D0C8273" w14:textId="77777777" w:rsidR="00761B6C" w:rsidRPr="00236418" w:rsidRDefault="00761B6C" w:rsidP="00761B6C">
      <w:pPr>
        <w:pStyle w:val="enumlev1"/>
        <w:rPr>
          <w:b/>
        </w:rPr>
      </w:pPr>
      <w:r w:rsidRPr="00236418">
        <w:t>–</w:t>
      </w:r>
      <w:r w:rsidRPr="00236418">
        <w:tab/>
        <w:t>Promouvoir au niveau international, l</w:t>
      </w:r>
      <w:r>
        <w:t>'</w:t>
      </w:r>
      <w:r w:rsidRPr="00236418">
        <w:t>adoption d</w:t>
      </w:r>
      <w:r>
        <w:t>'</w:t>
      </w:r>
      <w:r w:rsidRPr="00236418">
        <w:t>une approche plus générale des questions de télécommunication, en raison de la mondialisation de l</w:t>
      </w:r>
      <w:r>
        <w:t>'</w:t>
      </w:r>
      <w:r w:rsidRPr="00236418">
        <w:t>économie et de la société de l</w:t>
      </w:r>
      <w:r>
        <w:t>'</w:t>
      </w:r>
      <w:r w:rsidRPr="00236418">
        <w:t>information, en collaborant avec d</w:t>
      </w:r>
      <w:r>
        <w:t>'</w:t>
      </w:r>
      <w:r w:rsidRPr="00236418">
        <w:t>autres organisations intergouvernementales régionales et internationales ainsi qu</w:t>
      </w:r>
      <w:r>
        <w:t>'</w:t>
      </w:r>
      <w:r w:rsidRPr="00236418">
        <w:t>avec les organisations non gouvernementales qui s</w:t>
      </w:r>
      <w:r>
        <w:t>'</w:t>
      </w:r>
      <w:r w:rsidRPr="00236418">
        <w:t>occupent de télécommunications.</w:t>
      </w:r>
    </w:p>
    <w:p w14:paraId="63F56E43" w14:textId="77777777" w:rsidR="00761B6C" w:rsidRPr="00236418" w:rsidRDefault="00761B6C" w:rsidP="00761B6C">
      <w:r w:rsidRPr="00236418">
        <w:t>À cet effet et plus particulièrement, l</w:t>
      </w:r>
      <w:r>
        <w:t>'</w:t>
      </w:r>
      <w:r w:rsidRPr="00236418">
        <w:t>Union:</w:t>
      </w:r>
    </w:p>
    <w:p w14:paraId="5993DD2D" w14:textId="77777777" w:rsidR="00761B6C" w:rsidRPr="00236418" w:rsidRDefault="00761B6C" w:rsidP="00761B6C">
      <w:pPr>
        <w:pStyle w:val="enumlev1"/>
      </w:pPr>
      <w:r w:rsidRPr="00236418">
        <w:rPr>
          <w:lang w:eastAsia="fr-FR"/>
        </w:rPr>
        <w:t>–</w:t>
      </w:r>
      <w:r w:rsidRPr="00236418">
        <w:rPr>
          <w:lang w:eastAsia="fr-FR"/>
        </w:rPr>
        <w:tab/>
      </w:r>
      <w:r w:rsidRPr="00236418">
        <w:t>effectue l</w:t>
      </w:r>
      <w:r>
        <w:t>'</w:t>
      </w:r>
      <w:r w:rsidRPr="00236418">
        <w:t>attribution des bandes de fréquences du spectre radioélectrique, l</w:t>
      </w:r>
      <w:r>
        <w:t>'</w:t>
      </w:r>
      <w:r w:rsidRPr="00236418">
        <w:t>allotissement des fréquences radioélectriques et l</w:t>
      </w:r>
      <w:r>
        <w:t>'</w:t>
      </w:r>
      <w:r w:rsidRPr="00236418">
        <w:t>enregistrement des assignations de fréquence et, pour les services spatiaux, de toute position orbitale associée sur l</w:t>
      </w:r>
      <w:r>
        <w:t>'</w:t>
      </w:r>
      <w:r w:rsidRPr="00236418">
        <w:t>orbite des satellites géostationnaires ou de toute caractéristique associée de satellites sur d</w:t>
      </w:r>
      <w:r>
        <w:t>'</w:t>
      </w:r>
      <w:r w:rsidRPr="00236418">
        <w:t>autres orbites afin d</w:t>
      </w:r>
      <w:r>
        <w:t>'</w:t>
      </w:r>
      <w:r w:rsidRPr="00236418">
        <w:t>éviter les brouillages préjudiciables entre les stations de radiocommunication des différents pays;</w:t>
      </w:r>
    </w:p>
    <w:p w14:paraId="1898E336" w14:textId="77777777" w:rsidR="00761B6C" w:rsidRPr="00236418" w:rsidRDefault="00761B6C" w:rsidP="00761B6C">
      <w:pPr>
        <w:pStyle w:val="enumlev1"/>
        <w:keepLines/>
      </w:pPr>
      <w:r w:rsidRPr="00236418">
        <w:lastRenderedPageBreak/>
        <w:t>–</w:t>
      </w:r>
      <w:r w:rsidRPr="00236418">
        <w:tab/>
        <w:t>coordonne les efforts en vue d</w:t>
      </w:r>
      <w:r>
        <w:t>'</w:t>
      </w:r>
      <w:r w:rsidRPr="00236418">
        <w:t>éliminer les brouillages préjudiciables entre les stations de radiocommunication des différents pays et d</w:t>
      </w:r>
      <w:r>
        <w:t>'</w:t>
      </w:r>
      <w:r w:rsidRPr="00236418">
        <w:t>améliorer l</w:t>
      </w:r>
      <w:r>
        <w:t>'</w:t>
      </w:r>
      <w:r w:rsidRPr="00236418">
        <w:t>utilisation du spectre des fréquences radioélectriques pour les services de radiocommunication ainsi que de l</w:t>
      </w:r>
      <w:r>
        <w:t>'</w:t>
      </w:r>
      <w:r w:rsidRPr="00236418">
        <w:t>orbite des satellites géostationnaires et d</w:t>
      </w:r>
      <w:r>
        <w:t>'</w:t>
      </w:r>
      <w:r w:rsidRPr="00236418">
        <w:t>autres orbites;</w:t>
      </w:r>
    </w:p>
    <w:p w14:paraId="3C515C9E" w14:textId="77777777" w:rsidR="00761B6C" w:rsidRPr="00236418" w:rsidRDefault="00761B6C" w:rsidP="00761B6C">
      <w:pPr>
        <w:pStyle w:val="enumlev1"/>
      </w:pPr>
      <w:r w:rsidRPr="00236418">
        <w:t>–</w:t>
      </w:r>
      <w:r w:rsidRPr="00236418">
        <w:tab/>
        <w:t>facilite la normalisation mondiale des télécommunications, avec une qualité de service satisfaisante;</w:t>
      </w:r>
    </w:p>
    <w:p w14:paraId="185AF69D" w14:textId="77777777" w:rsidR="00761B6C" w:rsidRPr="00236418" w:rsidRDefault="00761B6C" w:rsidP="00761B6C">
      <w:pPr>
        <w:pStyle w:val="enumlev1"/>
        <w:rPr>
          <w:lang w:eastAsia="fr-FR"/>
        </w:rPr>
      </w:pPr>
      <w:r w:rsidRPr="00236418">
        <w:t>–</w:t>
      </w:r>
      <w:r w:rsidRPr="00236418">
        <w:tab/>
        <w:t>encourage la coopération et la solidarité internationales en vue d</w:t>
      </w:r>
      <w:r>
        <w:t>'</w:t>
      </w:r>
      <w:r w:rsidRPr="00236418">
        <w:t>assurer l</w:t>
      </w:r>
      <w:r>
        <w:t>'</w:t>
      </w:r>
      <w:r w:rsidRPr="00236418">
        <w:t>assistance technique aux pays en développement ainsi que la création, le développement et le perfectionnement des installations</w:t>
      </w:r>
      <w:r w:rsidRPr="00236418">
        <w:rPr>
          <w:lang w:eastAsia="fr-FR"/>
        </w:rPr>
        <w:t xml:space="preserve"> et des réseaux de télécommunication dans les pays en développement par tous les moyens à sa disposition, y compris sa participation aux programmes appropriés des Nations Unies et l</w:t>
      </w:r>
      <w:r>
        <w:rPr>
          <w:lang w:eastAsia="fr-FR"/>
        </w:rPr>
        <w:t>'</w:t>
      </w:r>
      <w:r w:rsidRPr="00236418">
        <w:rPr>
          <w:lang w:eastAsia="fr-FR"/>
        </w:rPr>
        <w:t>utilisation de ses propres ressources, selon les besoins;</w:t>
      </w:r>
    </w:p>
    <w:p w14:paraId="74B39702" w14:textId="77777777" w:rsidR="00761B6C" w:rsidRPr="00236418" w:rsidRDefault="00761B6C" w:rsidP="00761B6C">
      <w:pPr>
        <w:pStyle w:val="enumlev1"/>
        <w:rPr>
          <w:lang w:eastAsia="fr-FR"/>
        </w:rPr>
      </w:pPr>
      <w:r w:rsidRPr="00236418">
        <w:rPr>
          <w:lang w:eastAsia="fr-FR"/>
        </w:rPr>
        <w:t>–</w:t>
      </w:r>
      <w:r w:rsidRPr="00236418">
        <w:rPr>
          <w:lang w:eastAsia="fr-FR"/>
        </w:rPr>
        <w:tab/>
        <w:t>coordonne les efforts en vue d</w:t>
      </w:r>
      <w:r>
        <w:rPr>
          <w:lang w:eastAsia="fr-FR"/>
        </w:rPr>
        <w:t>'</w:t>
      </w:r>
      <w:r w:rsidRPr="00236418">
        <w:rPr>
          <w:lang w:eastAsia="fr-FR"/>
        </w:rPr>
        <w:t>harmoniser le développement des moyens de télécommunication, notamment ceux faisant appel aux techniques spatiales, de manière à utiliser au mieux les possibilités qu</w:t>
      </w:r>
      <w:r>
        <w:rPr>
          <w:lang w:eastAsia="fr-FR"/>
        </w:rPr>
        <w:t>'</w:t>
      </w:r>
      <w:r w:rsidRPr="00236418">
        <w:rPr>
          <w:lang w:eastAsia="fr-FR"/>
        </w:rPr>
        <w:t>ils offrent;</w:t>
      </w:r>
    </w:p>
    <w:p w14:paraId="28B52DDA" w14:textId="77777777" w:rsidR="00761B6C" w:rsidRPr="00236418" w:rsidRDefault="00761B6C" w:rsidP="00761B6C">
      <w:pPr>
        <w:pStyle w:val="enumlev1"/>
        <w:rPr>
          <w:lang w:eastAsia="fr-FR"/>
        </w:rPr>
      </w:pPr>
      <w:r w:rsidRPr="00236418">
        <w:rPr>
          <w:lang w:eastAsia="fr-FR"/>
        </w:rPr>
        <w:t>–</w:t>
      </w:r>
      <w:r w:rsidRPr="00236418">
        <w:rPr>
          <w:lang w:eastAsia="fr-FR"/>
        </w:rPr>
        <w:tab/>
        <w:t>favorise la collaboration entre les États Membres et les Membres des Secteurs en vue d</w:t>
      </w:r>
      <w:r>
        <w:rPr>
          <w:lang w:eastAsia="fr-FR"/>
        </w:rPr>
        <w:t>'</w:t>
      </w:r>
      <w:r w:rsidRPr="00236418">
        <w:rPr>
          <w:lang w:eastAsia="fr-FR"/>
        </w:rPr>
        <w:t>établir des tarifs à des niveaux aussi bas que possible, compatibles avec un service de bonne qualité et une gestion financière des télécommunications saine et indépendante;</w:t>
      </w:r>
    </w:p>
    <w:p w14:paraId="49ACBD11" w14:textId="77777777" w:rsidR="00761B6C" w:rsidRPr="00236418" w:rsidRDefault="00761B6C" w:rsidP="00761B6C">
      <w:pPr>
        <w:pStyle w:val="enumlev1"/>
        <w:rPr>
          <w:lang w:eastAsia="fr-FR"/>
        </w:rPr>
      </w:pPr>
      <w:r w:rsidRPr="00236418">
        <w:rPr>
          <w:lang w:eastAsia="fr-FR"/>
        </w:rPr>
        <w:t>–</w:t>
      </w:r>
      <w:r w:rsidRPr="00236418">
        <w:rPr>
          <w:lang w:eastAsia="fr-FR"/>
        </w:rPr>
        <w:tab/>
        <w:t>encourage l</w:t>
      </w:r>
      <w:r>
        <w:rPr>
          <w:lang w:eastAsia="fr-FR"/>
        </w:rPr>
        <w:t>'</w:t>
      </w:r>
      <w:r w:rsidRPr="00236418">
        <w:rPr>
          <w:lang w:eastAsia="fr-FR"/>
        </w:rPr>
        <w:t>adoption de mesures permettant d</w:t>
      </w:r>
      <w:r>
        <w:rPr>
          <w:lang w:eastAsia="fr-FR"/>
        </w:rPr>
        <w:t>'</w:t>
      </w:r>
      <w:r w:rsidRPr="00236418">
        <w:rPr>
          <w:lang w:eastAsia="fr-FR"/>
        </w:rPr>
        <w:t>assurer la sécurité de la vie humaine par la coopération des services de télécommunication;</w:t>
      </w:r>
    </w:p>
    <w:p w14:paraId="02DE09D9" w14:textId="77777777" w:rsidR="00761B6C" w:rsidRPr="00236418" w:rsidRDefault="00761B6C" w:rsidP="00761B6C">
      <w:pPr>
        <w:pStyle w:val="enumlev1"/>
        <w:rPr>
          <w:lang w:eastAsia="fr-FR"/>
        </w:rPr>
      </w:pPr>
      <w:r w:rsidRPr="00236418">
        <w:rPr>
          <w:lang w:eastAsia="fr-FR"/>
        </w:rPr>
        <w:t>–</w:t>
      </w:r>
      <w:r w:rsidRPr="00236418">
        <w:rPr>
          <w:lang w:eastAsia="fr-FR"/>
        </w:rPr>
        <w:tab/>
        <w:t>procède à des études, arrête des réglementations, adopte des résolutions, formule des recommandations et des vœux, recueille et publie des informations concernant les télécommunications;</w:t>
      </w:r>
    </w:p>
    <w:p w14:paraId="1B2C870D" w14:textId="77777777" w:rsidR="00761B6C" w:rsidRPr="00236418" w:rsidRDefault="00761B6C" w:rsidP="00761B6C">
      <w:pPr>
        <w:pStyle w:val="enumlev1"/>
        <w:rPr>
          <w:lang w:eastAsia="fr-FR"/>
        </w:rPr>
      </w:pPr>
      <w:r w:rsidRPr="00236418">
        <w:rPr>
          <w:lang w:eastAsia="fr-FR"/>
        </w:rPr>
        <w:t>–</w:t>
      </w:r>
      <w:r w:rsidRPr="00236418">
        <w:rPr>
          <w:lang w:eastAsia="fr-FR"/>
        </w:rPr>
        <w:tab/>
        <w:t>s</w:t>
      </w:r>
      <w:r>
        <w:rPr>
          <w:lang w:eastAsia="fr-FR"/>
        </w:rPr>
        <w:t>'</w:t>
      </w:r>
      <w:r w:rsidRPr="00236418">
        <w:rPr>
          <w:lang w:eastAsia="fr-FR"/>
        </w:rPr>
        <w:t>emploie, avec les organismes de financement et de développement internationaux, à promouvoir l</w:t>
      </w:r>
      <w:r>
        <w:rPr>
          <w:lang w:eastAsia="fr-FR"/>
        </w:rPr>
        <w:t>'</w:t>
      </w:r>
      <w:r w:rsidRPr="00236418">
        <w:rPr>
          <w:lang w:eastAsia="fr-FR"/>
        </w:rPr>
        <w:t>établissement de lignes de crédit préférentielles et favorables destinées au développement de projets sociaux visant, entre autres, à étendre les services de télécommunication aux zones les plus isolées dans les pays;</w:t>
      </w:r>
    </w:p>
    <w:p w14:paraId="1645C090" w14:textId="77777777" w:rsidR="00761B6C" w:rsidRPr="00236418" w:rsidRDefault="00761B6C" w:rsidP="00761B6C">
      <w:pPr>
        <w:pStyle w:val="enumlev1"/>
        <w:rPr>
          <w:lang w:eastAsia="fr-FR"/>
        </w:rPr>
      </w:pPr>
      <w:r w:rsidRPr="00236418">
        <w:rPr>
          <w:lang w:eastAsia="fr-FR"/>
        </w:rPr>
        <w:t>–</w:t>
      </w:r>
      <w:r w:rsidRPr="00236418">
        <w:rPr>
          <w:lang w:eastAsia="fr-FR"/>
        </w:rPr>
        <w:tab/>
        <w:t>encourage la participation des entités concernées aux activités de l</w:t>
      </w:r>
      <w:r>
        <w:rPr>
          <w:lang w:eastAsia="fr-FR"/>
        </w:rPr>
        <w:t>'</w:t>
      </w:r>
      <w:r w:rsidRPr="00236418">
        <w:rPr>
          <w:lang w:eastAsia="fr-FR"/>
        </w:rPr>
        <w:t>Union et la coopération avec les organisations régionales ou autres en vue de répondre à l</w:t>
      </w:r>
      <w:r>
        <w:rPr>
          <w:lang w:eastAsia="fr-FR"/>
        </w:rPr>
        <w:t>'</w:t>
      </w:r>
      <w:r w:rsidRPr="00236418">
        <w:rPr>
          <w:lang w:eastAsia="fr-FR"/>
        </w:rPr>
        <w:t>objet de l</w:t>
      </w:r>
      <w:r>
        <w:rPr>
          <w:lang w:eastAsia="fr-FR"/>
        </w:rPr>
        <w:t>'</w:t>
      </w:r>
      <w:r w:rsidRPr="00236418">
        <w:rPr>
          <w:lang w:eastAsia="fr-FR"/>
        </w:rPr>
        <w:t>Union.</w:t>
      </w:r>
    </w:p>
    <w:p w14:paraId="0CF91FB2" w14:textId="77777777" w:rsidR="00761B6C" w:rsidRPr="00236418" w:rsidRDefault="00761B6C" w:rsidP="00761B6C">
      <w:r w:rsidRPr="00236418">
        <w:t>La Conférence de plénipotentiaires est l</w:t>
      </w:r>
      <w:r>
        <w:t>'</w:t>
      </w:r>
      <w:r w:rsidRPr="00236418">
        <w:rPr>
          <w:bCs/>
        </w:rPr>
        <w:t>organe suprême</w:t>
      </w:r>
      <w:r w:rsidRPr="00236418">
        <w:t xml:space="preserve"> de l</w:t>
      </w:r>
      <w:r>
        <w:t>'</w:t>
      </w:r>
      <w:r w:rsidRPr="00236418">
        <w:t xml:space="preserve">UIT. </w:t>
      </w:r>
      <w:r w:rsidRPr="00236418">
        <w:rPr>
          <w:bCs/>
        </w:rPr>
        <w:t>Convoquée tous les quatre ans</w:t>
      </w:r>
      <w:r w:rsidRPr="00236418">
        <w:t>, la Conférence:</w:t>
      </w:r>
    </w:p>
    <w:p w14:paraId="4C4198CD" w14:textId="77777777" w:rsidR="00761B6C" w:rsidRPr="00236418" w:rsidRDefault="00761B6C" w:rsidP="00761B6C">
      <w:pPr>
        <w:pStyle w:val="enumlev1"/>
      </w:pPr>
      <w:r w:rsidRPr="00236418">
        <w:rPr>
          <w:lang w:eastAsia="fr-FR"/>
        </w:rPr>
        <w:t>•</w:t>
      </w:r>
      <w:r w:rsidRPr="00236418">
        <w:rPr>
          <w:lang w:eastAsia="fr-FR"/>
        </w:rPr>
        <w:tab/>
      </w:r>
      <w:r w:rsidRPr="00236418">
        <w:t>détermine les principes généraux de l</w:t>
      </w:r>
      <w:r>
        <w:t>'</w:t>
      </w:r>
      <w:r w:rsidRPr="00236418">
        <w:t>Union;</w:t>
      </w:r>
    </w:p>
    <w:p w14:paraId="0B8FBF9A" w14:textId="77777777" w:rsidR="00761B6C" w:rsidRPr="00236418" w:rsidRDefault="00761B6C" w:rsidP="00761B6C">
      <w:pPr>
        <w:pStyle w:val="enumlev1"/>
      </w:pPr>
      <w:r w:rsidRPr="00236418">
        <w:t>•</w:t>
      </w:r>
      <w:r w:rsidRPr="00236418">
        <w:tab/>
        <w:t>adopte un plan stratégique et un plan financier pour une période de quatre ans;</w:t>
      </w:r>
    </w:p>
    <w:p w14:paraId="24B6233B" w14:textId="77777777" w:rsidR="00761B6C" w:rsidRPr="00236418" w:rsidRDefault="00761B6C" w:rsidP="00761B6C">
      <w:pPr>
        <w:pStyle w:val="enumlev1"/>
        <w:rPr>
          <w:lang w:eastAsia="fr-FR"/>
        </w:rPr>
      </w:pPr>
      <w:r w:rsidRPr="00236418">
        <w:t>•</w:t>
      </w:r>
      <w:r w:rsidRPr="00236418">
        <w:tab/>
        <w:t>élit les membres de l</w:t>
      </w:r>
      <w:r>
        <w:t>'</w:t>
      </w:r>
      <w:r w:rsidRPr="00236418">
        <w:t>équipe de direction de l</w:t>
      </w:r>
      <w:r>
        <w:t>'</w:t>
      </w:r>
      <w:r w:rsidRPr="00236418">
        <w:t xml:space="preserve">organisation, les Membres du </w:t>
      </w:r>
      <w:hyperlink r:id="rId36" w:history="1">
        <w:r w:rsidRPr="00236418">
          <w:rPr>
            <w:rStyle w:val="Hyperlink"/>
          </w:rPr>
          <w:t>Conseil</w:t>
        </w:r>
      </w:hyperlink>
      <w:r w:rsidRPr="00236418">
        <w:t xml:space="preserve"> et les M</w:t>
      </w:r>
      <w:r w:rsidRPr="00236418">
        <w:rPr>
          <w:lang w:eastAsia="fr-FR"/>
        </w:rPr>
        <w:t xml:space="preserve">embres du </w:t>
      </w:r>
      <w:hyperlink r:id="rId37" w:history="1">
        <w:r w:rsidRPr="00236418">
          <w:rPr>
            <w:rStyle w:val="Hyperlink"/>
          </w:rPr>
          <w:t xml:space="preserve">Comité du </w:t>
        </w:r>
        <w:hyperlink r:id="rId38" w:history="1">
          <w:r w:rsidRPr="00236418">
            <w:rPr>
              <w:rStyle w:val="Hyperlink"/>
            </w:rPr>
            <w:t>Règlement</w:t>
          </w:r>
        </w:hyperlink>
        <w:r w:rsidRPr="00236418">
          <w:rPr>
            <w:rStyle w:val="Hyperlink"/>
          </w:rPr>
          <w:t xml:space="preserve"> des radiocommunications</w:t>
        </w:r>
      </w:hyperlink>
      <w:r w:rsidRPr="00236418">
        <w:rPr>
          <w:lang w:eastAsia="fr-FR"/>
        </w:rPr>
        <w:t>.</w:t>
      </w:r>
    </w:p>
    <w:p w14:paraId="7A724F51" w14:textId="77777777" w:rsidR="00761B6C" w:rsidRPr="00236418" w:rsidRDefault="00761B6C" w:rsidP="00761B6C">
      <w:pPr>
        <w:rPr>
          <w:b/>
        </w:rPr>
      </w:pPr>
      <w:r w:rsidRPr="00236418">
        <w:t xml:space="preserve">La Conférence de plénipotentiaires est un événement important, </w:t>
      </w:r>
      <w:r w:rsidRPr="00236418">
        <w:rPr>
          <w:bCs/>
        </w:rPr>
        <w:t>à l</w:t>
      </w:r>
      <w:r>
        <w:rPr>
          <w:bCs/>
        </w:rPr>
        <w:t>'</w:t>
      </w:r>
      <w:r w:rsidRPr="00236418">
        <w:rPr>
          <w:bCs/>
        </w:rPr>
        <w:t>occasion duquel les États Membres de l</w:t>
      </w:r>
      <w:r>
        <w:rPr>
          <w:bCs/>
        </w:rPr>
        <w:t>'</w:t>
      </w:r>
      <w:r w:rsidRPr="00236418">
        <w:rPr>
          <w:bCs/>
        </w:rPr>
        <w:t>UIT décident du rôle futur de l</w:t>
      </w:r>
      <w:r>
        <w:rPr>
          <w:bCs/>
        </w:rPr>
        <w:t>'</w:t>
      </w:r>
      <w:r w:rsidRPr="00236418">
        <w:rPr>
          <w:bCs/>
        </w:rPr>
        <w:t>organisation</w:t>
      </w:r>
      <w:r w:rsidRPr="00236418">
        <w:t xml:space="preserve"> et déterminent par là même sa capacité à influencer et à orienter l</w:t>
      </w:r>
      <w:r>
        <w:t>'</w:t>
      </w:r>
      <w:r w:rsidRPr="00236418">
        <w:t>évolution des technologies de l</w:t>
      </w:r>
      <w:r>
        <w:t>'</w:t>
      </w:r>
      <w:r w:rsidRPr="00236418">
        <w:t>information et de la communication (TIC) dans le monde.</w:t>
      </w:r>
    </w:p>
    <w:p w14:paraId="0E59E22C" w14:textId="77777777" w:rsidR="00761B6C" w:rsidRPr="00236418" w:rsidRDefault="00761B6C" w:rsidP="00761B6C">
      <w:r w:rsidRPr="00236418">
        <w:rPr>
          <w:bCs/>
        </w:rPr>
        <w:t>Les Membres des Secteurs, les organisations régionales de télécommunication et les organisations intergouvernementales, ainsi que l</w:t>
      </w:r>
      <w:r>
        <w:rPr>
          <w:bCs/>
        </w:rPr>
        <w:t>'</w:t>
      </w:r>
      <w:r w:rsidRPr="00236418">
        <w:rPr>
          <w:bCs/>
        </w:rPr>
        <w:t>organisation des Nations Unies et ses institutions spécialisées</w:t>
      </w:r>
      <w:r w:rsidRPr="00236418">
        <w:t xml:space="preserve"> participent également à la Conférence en qualité d</w:t>
      </w:r>
      <w:r>
        <w:t>'</w:t>
      </w:r>
      <w:r w:rsidRPr="00236418">
        <w:t>observateurs.</w:t>
      </w:r>
    </w:p>
    <w:p w14:paraId="29465C52" w14:textId="77777777" w:rsidR="00761B6C" w:rsidRPr="00236418" w:rsidRDefault="00761B6C" w:rsidP="00761B6C">
      <w:pPr>
        <w:pStyle w:val="Heading1"/>
        <w:rPr>
          <w:sz w:val="24"/>
          <w:szCs w:val="24"/>
        </w:rPr>
      </w:pPr>
      <w:bookmarkStart w:id="732" w:name="_Toc329178763"/>
      <w:bookmarkStart w:id="733" w:name="_Toc329181736"/>
      <w:bookmarkStart w:id="734" w:name="_Toc329202551"/>
      <w:bookmarkStart w:id="735" w:name="_Toc329204983"/>
      <w:bookmarkStart w:id="736" w:name="_Toc329206820"/>
      <w:bookmarkStart w:id="737" w:name="_Toc358379904"/>
      <w:bookmarkStart w:id="738" w:name="_Toc358380444"/>
      <w:bookmarkStart w:id="739" w:name="_Toc387166625"/>
      <w:bookmarkStart w:id="740" w:name="_Toc395260910"/>
      <w:bookmarkStart w:id="741" w:name="_Toc395511689"/>
      <w:bookmarkStart w:id="742" w:name="_Toc452138603"/>
      <w:bookmarkStart w:id="743" w:name="_Toc452139052"/>
      <w:bookmarkStart w:id="744" w:name="_Toc452139416"/>
      <w:bookmarkStart w:id="745" w:name="_Toc452139816"/>
      <w:bookmarkStart w:id="746" w:name="_Toc452140683"/>
      <w:bookmarkStart w:id="747" w:name="_Toc482801473"/>
      <w:bookmarkStart w:id="748" w:name="_Toc511649443"/>
      <w:bookmarkStart w:id="749" w:name="_Toc511649815"/>
      <w:bookmarkStart w:id="750" w:name="_Toc511649929"/>
      <w:bookmarkStart w:id="751" w:name="_Toc511651185"/>
      <w:bookmarkStart w:id="752" w:name="_Toc511724050"/>
      <w:bookmarkStart w:id="753" w:name="_Toc511739039"/>
      <w:bookmarkStart w:id="754" w:name="_Toc511741208"/>
      <w:bookmarkStart w:id="755" w:name="_Toc10450714"/>
      <w:bookmarkStart w:id="756" w:name="_Toc41566319"/>
      <w:bookmarkStart w:id="757" w:name="_Toc41567346"/>
      <w:bookmarkStart w:id="758" w:name="_Toc41567832"/>
      <w:bookmarkStart w:id="759" w:name="_Toc41814944"/>
      <w:bookmarkStart w:id="760" w:name="_Toc73354433"/>
      <w:bookmarkStart w:id="761" w:name="_Toc73356388"/>
      <w:r w:rsidRPr="00236418">
        <w:rPr>
          <w:sz w:val="24"/>
          <w:szCs w:val="24"/>
        </w:rPr>
        <w:lastRenderedPageBreak/>
        <w:t>Note 2</w:t>
      </w:r>
      <w:r w:rsidRPr="00236418">
        <w:rPr>
          <w:sz w:val="24"/>
          <w:szCs w:val="24"/>
        </w:rPr>
        <w:tab/>
        <w:t>Principaux principes comptables</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0B508152" w14:textId="77777777" w:rsidR="00761B6C" w:rsidRPr="00144C9E" w:rsidRDefault="00761B6C" w:rsidP="00144C9E">
      <w:pPr>
        <w:pStyle w:val="Headingb"/>
        <w:rPr>
          <w:szCs w:val="24"/>
          <w:u w:val="single"/>
        </w:rPr>
      </w:pPr>
      <w:bookmarkStart w:id="762" w:name="_Toc329178764"/>
      <w:bookmarkStart w:id="763" w:name="_Toc329181737"/>
      <w:bookmarkStart w:id="764" w:name="_Toc329202552"/>
      <w:bookmarkStart w:id="765" w:name="_Toc329204984"/>
      <w:bookmarkStart w:id="766" w:name="_Toc329206821"/>
      <w:bookmarkStart w:id="767" w:name="_Toc358379905"/>
      <w:bookmarkStart w:id="768" w:name="_Toc358380445"/>
      <w:bookmarkStart w:id="769" w:name="_Toc387166626"/>
      <w:bookmarkStart w:id="770" w:name="_Toc395260911"/>
      <w:bookmarkStart w:id="771" w:name="_Toc395511690"/>
      <w:bookmarkStart w:id="772" w:name="_Toc452138604"/>
      <w:bookmarkStart w:id="773" w:name="_Toc452139053"/>
      <w:bookmarkStart w:id="774" w:name="_Toc452139417"/>
      <w:bookmarkStart w:id="775" w:name="_Toc452139817"/>
      <w:bookmarkStart w:id="776" w:name="_Toc452140684"/>
      <w:bookmarkStart w:id="777" w:name="_Toc482801474"/>
      <w:bookmarkStart w:id="778" w:name="_Toc511649444"/>
      <w:bookmarkStart w:id="779" w:name="_Toc511649816"/>
      <w:bookmarkStart w:id="780" w:name="_Toc511649930"/>
      <w:bookmarkStart w:id="781" w:name="_Toc511651186"/>
      <w:bookmarkStart w:id="782" w:name="_Toc511724051"/>
      <w:bookmarkStart w:id="783" w:name="_Toc511739040"/>
      <w:bookmarkStart w:id="784" w:name="_Toc511741209"/>
      <w:bookmarkStart w:id="785" w:name="_Toc10450715"/>
      <w:bookmarkStart w:id="786" w:name="_Toc41566320"/>
      <w:bookmarkStart w:id="787" w:name="_Toc41567833"/>
      <w:bookmarkStart w:id="788" w:name="_Toc73356389"/>
      <w:r w:rsidRPr="00144C9E">
        <w:rPr>
          <w:u w:val="single"/>
        </w:rPr>
        <w:t>Monnaies étrangères</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2A7DDDDD" w14:textId="77777777" w:rsidR="00761B6C" w:rsidRPr="00236418" w:rsidRDefault="00761B6C" w:rsidP="00761B6C">
      <w:r w:rsidRPr="00236418">
        <w:t>Le franc suisse (CHF) est la monnaie fonctionnelle de l</w:t>
      </w:r>
      <w:r>
        <w:t>'</w:t>
      </w:r>
      <w:r w:rsidRPr="00236418">
        <w:t>UIT et celle utilisée dans la présentation des États financiers.</w:t>
      </w:r>
    </w:p>
    <w:p w14:paraId="39B52E2B" w14:textId="77777777" w:rsidR="00761B6C" w:rsidRPr="00236418" w:rsidRDefault="00761B6C" w:rsidP="0009375C">
      <w:pPr>
        <w:spacing w:after="360"/>
      </w:pPr>
      <w:r w:rsidRPr="00236418">
        <w:t xml:space="preserve">Les opérations en monnaies autres que le franc suisse sont converties en cette monnaie au taux de change opérationnel des Nations Unies (United Nations </w:t>
      </w:r>
      <w:proofErr w:type="spellStart"/>
      <w:r w:rsidRPr="00236418">
        <w:t>Operational</w:t>
      </w:r>
      <w:proofErr w:type="spellEnd"/>
      <w:r w:rsidRPr="00236418">
        <w:t xml:space="preserve"> Rates of Exchange, UNORE) pratiqué à la date de la transaction. Les avoirs et engagements monétaires libellés en monnaies étrangères sont convertis en franc suisse au taux de change UNORE en vigueur à la date de clôture de l</w:t>
      </w:r>
      <w:r>
        <w:t>'</w:t>
      </w:r>
      <w:r w:rsidRPr="00236418">
        <w:t>exercice. Les pertes et les gains de change, réalisés ou non, résultant du règlement de ces opérations et de la conversion à la date de clôture des avoirs et engagements libellés en devises sont comptabilisés dans l</w:t>
      </w:r>
      <w:r>
        <w:t>'</w:t>
      </w:r>
      <w:r w:rsidRPr="00236418">
        <w:t>état de la performance financière. L</w:t>
      </w:r>
      <w:r>
        <w:t>'</w:t>
      </w:r>
      <w:r w:rsidRPr="00236418">
        <w:t>UIT applique les taux de change UNORE communiqués par l</w:t>
      </w:r>
      <w:r>
        <w:t>'</w:t>
      </w:r>
      <w:r w:rsidRPr="00236418">
        <w:t>ONU, à savoir: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
      </w:tblPr>
      <w:tblGrid>
        <w:gridCol w:w="2405"/>
        <w:gridCol w:w="1985"/>
        <w:gridCol w:w="1985"/>
      </w:tblGrid>
      <w:tr w:rsidR="00761B6C" w:rsidRPr="00236418" w14:paraId="518D8177" w14:textId="77777777" w:rsidTr="00761B6C">
        <w:trPr>
          <w:jc w:val="center"/>
        </w:trPr>
        <w:tc>
          <w:tcPr>
            <w:tcW w:w="2405" w:type="dxa"/>
          </w:tcPr>
          <w:p w14:paraId="76B8FB03" w14:textId="77777777" w:rsidR="00761B6C" w:rsidRPr="00236418" w:rsidRDefault="00761B6C" w:rsidP="0009375C">
            <w:pPr>
              <w:pStyle w:val="Tablehead"/>
              <w:spacing w:before="40" w:after="40"/>
              <w:rPr>
                <w:szCs w:val="22"/>
              </w:rPr>
            </w:pPr>
            <w:bookmarkStart w:id="789" w:name="_MON_1395735014"/>
            <w:bookmarkStart w:id="790" w:name="_MON_1397396387"/>
            <w:bookmarkStart w:id="791" w:name="_MON_1388239821"/>
            <w:bookmarkStart w:id="792" w:name="_MON_1388229541"/>
            <w:bookmarkEnd w:id="789"/>
            <w:bookmarkEnd w:id="790"/>
            <w:bookmarkEnd w:id="791"/>
            <w:bookmarkEnd w:id="792"/>
            <w:r w:rsidRPr="00236418">
              <w:rPr>
                <w:szCs w:val="22"/>
              </w:rPr>
              <w:t>CHF pour</w:t>
            </w:r>
          </w:p>
        </w:tc>
        <w:tc>
          <w:tcPr>
            <w:tcW w:w="1985" w:type="dxa"/>
          </w:tcPr>
          <w:p w14:paraId="3182A8AA" w14:textId="77777777" w:rsidR="00761B6C" w:rsidRPr="00236418" w:rsidRDefault="00761B6C" w:rsidP="0009375C">
            <w:pPr>
              <w:pStyle w:val="Tablehead"/>
              <w:spacing w:before="40" w:after="40"/>
              <w:rPr>
                <w:szCs w:val="22"/>
              </w:rPr>
            </w:pPr>
            <w:r w:rsidRPr="00236418">
              <w:rPr>
                <w:szCs w:val="22"/>
              </w:rPr>
              <w:t>Décembre 20</w:t>
            </w:r>
            <w:r>
              <w:rPr>
                <w:szCs w:val="22"/>
              </w:rPr>
              <w:t>20</w:t>
            </w:r>
          </w:p>
        </w:tc>
        <w:tc>
          <w:tcPr>
            <w:tcW w:w="1985" w:type="dxa"/>
            <w:tcBorders>
              <w:right w:val="single" w:sz="4" w:space="0" w:color="auto"/>
            </w:tcBorders>
          </w:tcPr>
          <w:p w14:paraId="7C8D3DEC" w14:textId="77777777" w:rsidR="00761B6C" w:rsidRPr="00236418" w:rsidRDefault="00761B6C" w:rsidP="0009375C">
            <w:pPr>
              <w:pStyle w:val="Tablehead"/>
              <w:spacing w:before="40" w:after="40"/>
              <w:rPr>
                <w:szCs w:val="22"/>
              </w:rPr>
            </w:pPr>
            <w:r w:rsidRPr="00236418">
              <w:rPr>
                <w:szCs w:val="22"/>
              </w:rPr>
              <w:t>Décembre 201</w:t>
            </w:r>
            <w:r>
              <w:rPr>
                <w:szCs w:val="22"/>
              </w:rPr>
              <w:t>9</w:t>
            </w:r>
          </w:p>
        </w:tc>
      </w:tr>
      <w:tr w:rsidR="00761B6C" w:rsidRPr="00236418" w14:paraId="3EF8F40B" w14:textId="77777777" w:rsidTr="00761B6C">
        <w:trPr>
          <w:jc w:val="center"/>
        </w:trPr>
        <w:tc>
          <w:tcPr>
            <w:tcW w:w="2405" w:type="dxa"/>
          </w:tcPr>
          <w:p w14:paraId="5BB2BBC2" w14:textId="77777777" w:rsidR="00761B6C" w:rsidRPr="00236418" w:rsidRDefault="00761B6C" w:rsidP="0009375C">
            <w:pPr>
              <w:pStyle w:val="Tabletext"/>
              <w:spacing w:before="20" w:after="20"/>
              <w:rPr>
                <w:szCs w:val="22"/>
              </w:rPr>
            </w:pPr>
            <w:r w:rsidRPr="00236418">
              <w:rPr>
                <w:szCs w:val="22"/>
              </w:rPr>
              <w:t>1 Dollar EU</w:t>
            </w:r>
          </w:p>
        </w:tc>
        <w:tc>
          <w:tcPr>
            <w:tcW w:w="1985" w:type="dxa"/>
            <w:vAlign w:val="bottom"/>
          </w:tcPr>
          <w:p w14:paraId="72D9F038"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90600</w:t>
            </w:r>
          </w:p>
        </w:tc>
        <w:tc>
          <w:tcPr>
            <w:tcW w:w="1985" w:type="dxa"/>
            <w:tcBorders>
              <w:right w:val="single" w:sz="4" w:space="0" w:color="auto"/>
            </w:tcBorders>
            <w:vAlign w:val="bottom"/>
          </w:tcPr>
          <w:p w14:paraId="2DE18004"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0,99900</w:t>
            </w:r>
          </w:p>
        </w:tc>
      </w:tr>
      <w:tr w:rsidR="00761B6C" w:rsidRPr="00236418" w14:paraId="0CA1657E" w14:textId="77777777" w:rsidTr="00761B6C">
        <w:trPr>
          <w:jc w:val="center"/>
        </w:trPr>
        <w:tc>
          <w:tcPr>
            <w:tcW w:w="2405" w:type="dxa"/>
          </w:tcPr>
          <w:p w14:paraId="6FB7149F" w14:textId="77777777" w:rsidR="00761B6C" w:rsidRPr="00236418" w:rsidRDefault="00761B6C" w:rsidP="0009375C">
            <w:pPr>
              <w:pStyle w:val="Tabletext"/>
              <w:spacing w:before="20" w:after="20"/>
              <w:rPr>
                <w:szCs w:val="22"/>
              </w:rPr>
            </w:pPr>
            <w:r w:rsidRPr="00236418">
              <w:rPr>
                <w:szCs w:val="22"/>
              </w:rPr>
              <w:t>1 Euro</w:t>
            </w:r>
          </w:p>
        </w:tc>
        <w:tc>
          <w:tcPr>
            <w:tcW w:w="1985" w:type="dxa"/>
            <w:vAlign w:val="bottom"/>
          </w:tcPr>
          <w:p w14:paraId="5D9F14AA"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1</w:t>
            </w:r>
            <w:r>
              <w:rPr>
                <w:rFonts w:cs="Calibri"/>
                <w:color w:val="000000"/>
                <w:szCs w:val="24"/>
                <w:lang w:eastAsia="en-GB"/>
              </w:rPr>
              <w:t>,</w:t>
            </w:r>
            <w:r w:rsidRPr="00F600D1">
              <w:rPr>
                <w:rFonts w:cs="Calibri"/>
                <w:color w:val="000000"/>
                <w:szCs w:val="24"/>
                <w:lang w:eastAsia="en-GB"/>
              </w:rPr>
              <w:t>08244</w:t>
            </w:r>
          </w:p>
        </w:tc>
        <w:tc>
          <w:tcPr>
            <w:tcW w:w="1985" w:type="dxa"/>
            <w:tcBorders>
              <w:right w:val="single" w:sz="4" w:space="0" w:color="auto"/>
            </w:tcBorders>
            <w:vAlign w:val="bottom"/>
          </w:tcPr>
          <w:p w14:paraId="3AE8B62B"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1,09901</w:t>
            </w:r>
          </w:p>
        </w:tc>
      </w:tr>
      <w:tr w:rsidR="00761B6C" w:rsidRPr="00236418" w14:paraId="7BFD4B79" w14:textId="77777777" w:rsidTr="00761B6C">
        <w:trPr>
          <w:jc w:val="center"/>
        </w:trPr>
        <w:tc>
          <w:tcPr>
            <w:tcW w:w="2405" w:type="dxa"/>
          </w:tcPr>
          <w:p w14:paraId="26BF4C65" w14:textId="77777777" w:rsidR="00761B6C" w:rsidRPr="00236418" w:rsidRDefault="00761B6C" w:rsidP="0009375C">
            <w:pPr>
              <w:pStyle w:val="Tabletext"/>
              <w:spacing w:before="20" w:after="20"/>
              <w:rPr>
                <w:szCs w:val="22"/>
              </w:rPr>
            </w:pPr>
            <w:r w:rsidRPr="00236418">
              <w:rPr>
                <w:szCs w:val="22"/>
              </w:rPr>
              <w:t>1 BBD (Barbade)</w:t>
            </w:r>
          </w:p>
        </w:tc>
        <w:tc>
          <w:tcPr>
            <w:tcW w:w="1985" w:type="dxa"/>
            <w:vAlign w:val="bottom"/>
          </w:tcPr>
          <w:p w14:paraId="13E28C52"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45300</w:t>
            </w:r>
          </w:p>
        </w:tc>
        <w:tc>
          <w:tcPr>
            <w:tcW w:w="1985" w:type="dxa"/>
            <w:tcBorders>
              <w:right w:val="single" w:sz="4" w:space="0" w:color="auto"/>
            </w:tcBorders>
            <w:vAlign w:val="bottom"/>
          </w:tcPr>
          <w:p w14:paraId="752DE028"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0,49950</w:t>
            </w:r>
          </w:p>
        </w:tc>
      </w:tr>
      <w:tr w:rsidR="00761B6C" w:rsidRPr="00236418" w14:paraId="6E331EA5" w14:textId="77777777" w:rsidTr="00761B6C">
        <w:trPr>
          <w:jc w:val="center"/>
        </w:trPr>
        <w:tc>
          <w:tcPr>
            <w:tcW w:w="2405" w:type="dxa"/>
          </w:tcPr>
          <w:p w14:paraId="3F45655B" w14:textId="77777777" w:rsidR="00761B6C" w:rsidRPr="00236418" w:rsidRDefault="00761B6C" w:rsidP="0009375C">
            <w:pPr>
              <w:pStyle w:val="Tabletext"/>
              <w:spacing w:before="20" w:after="20"/>
              <w:rPr>
                <w:szCs w:val="22"/>
              </w:rPr>
            </w:pPr>
            <w:r w:rsidRPr="00236418">
              <w:rPr>
                <w:szCs w:val="22"/>
              </w:rPr>
              <w:t>1 BRL (Brésil)</w:t>
            </w:r>
          </w:p>
        </w:tc>
        <w:tc>
          <w:tcPr>
            <w:tcW w:w="1985" w:type="dxa"/>
            <w:vAlign w:val="bottom"/>
          </w:tcPr>
          <w:p w14:paraId="644E2C66"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16963</w:t>
            </w:r>
          </w:p>
        </w:tc>
        <w:tc>
          <w:tcPr>
            <w:tcW w:w="1985" w:type="dxa"/>
            <w:tcBorders>
              <w:right w:val="single" w:sz="4" w:space="0" w:color="auto"/>
            </w:tcBorders>
            <w:vAlign w:val="bottom"/>
          </w:tcPr>
          <w:p w14:paraId="260A24D1"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0,23434</w:t>
            </w:r>
          </w:p>
        </w:tc>
      </w:tr>
      <w:tr w:rsidR="00761B6C" w:rsidRPr="00236418" w14:paraId="7F9F609D" w14:textId="77777777" w:rsidTr="00761B6C">
        <w:trPr>
          <w:jc w:val="center"/>
        </w:trPr>
        <w:tc>
          <w:tcPr>
            <w:tcW w:w="2405" w:type="dxa"/>
          </w:tcPr>
          <w:p w14:paraId="3A2B8D0A" w14:textId="77777777" w:rsidR="00761B6C" w:rsidRPr="00236418" w:rsidRDefault="00761B6C" w:rsidP="0009375C">
            <w:pPr>
              <w:pStyle w:val="Tabletext"/>
              <w:spacing w:before="20" w:after="20"/>
              <w:rPr>
                <w:szCs w:val="22"/>
              </w:rPr>
            </w:pPr>
            <w:r w:rsidRPr="00236418">
              <w:rPr>
                <w:szCs w:val="22"/>
              </w:rPr>
              <w:t>1 CLP (Chili)</w:t>
            </w:r>
          </w:p>
        </w:tc>
        <w:tc>
          <w:tcPr>
            <w:tcW w:w="1985" w:type="dxa"/>
            <w:vAlign w:val="bottom"/>
          </w:tcPr>
          <w:p w14:paraId="33CE7E18"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00118</w:t>
            </w:r>
          </w:p>
        </w:tc>
        <w:tc>
          <w:tcPr>
            <w:tcW w:w="1985" w:type="dxa"/>
            <w:tcBorders>
              <w:right w:val="single" w:sz="4" w:space="0" w:color="auto"/>
            </w:tcBorders>
            <w:vAlign w:val="bottom"/>
          </w:tcPr>
          <w:p w14:paraId="13C820CF"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0,00123</w:t>
            </w:r>
          </w:p>
        </w:tc>
      </w:tr>
      <w:tr w:rsidR="00761B6C" w:rsidRPr="00236418" w14:paraId="50D27C0D" w14:textId="77777777" w:rsidTr="00761B6C">
        <w:trPr>
          <w:jc w:val="center"/>
        </w:trPr>
        <w:tc>
          <w:tcPr>
            <w:tcW w:w="2405" w:type="dxa"/>
          </w:tcPr>
          <w:p w14:paraId="204A68D0" w14:textId="77777777" w:rsidR="00761B6C" w:rsidRPr="00236418" w:rsidRDefault="00761B6C" w:rsidP="0009375C">
            <w:pPr>
              <w:pStyle w:val="Tabletext"/>
              <w:spacing w:before="20" w:after="20"/>
              <w:rPr>
                <w:szCs w:val="22"/>
              </w:rPr>
            </w:pPr>
            <w:r w:rsidRPr="00236418">
              <w:rPr>
                <w:szCs w:val="22"/>
              </w:rPr>
              <w:t>1 ETB (Éthiopie)</w:t>
            </w:r>
          </w:p>
        </w:tc>
        <w:tc>
          <w:tcPr>
            <w:tcW w:w="1985" w:type="dxa"/>
            <w:vAlign w:val="bottom"/>
          </w:tcPr>
          <w:p w14:paraId="61A3BE1D"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02389</w:t>
            </w:r>
          </w:p>
        </w:tc>
        <w:tc>
          <w:tcPr>
            <w:tcW w:w="1985" w:type="dxa"/>
            <w:tcBorders>
              <w:right w:val="single" w:sz="4" w:space="0" w:color="auto"/>
            </w:tcBorders>
            <w:vAlign w:val="bottom"/>
          </w:tcPr>
          <w:p w14:paraId="61C15478"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0,03304</w:t>
            </w:r>
          </w:p>
        </w:tc>
      </w:tr>
      <w:tr w:rsidR="00761B6C" w:rsidRPr="00236418" w14:paraId="01AFA7F3" w14:textId="77777777" w:rsidTr="00761B6C">
        <w:trPr>
          <w:jc w:val="center"/>
        </w:trPr>
        <w:tc>
          <w:tcPr>
            <w:tcW w:w="2405" w:type="dxa"/>
          </w:tcPr>
          <w:p w14:paraId="35EDCD40" w14:textId="77777777" w:rsidR="00761B6C" w:rsidRPr="00236418" w:rsidRDefault="00761B6C" w:rsidP="0009375C">
            <w:pPr>
              <w:pStyle w:val="Tabletext"/>
              <w:spacing w:before="20" w:after="20"/>
              <w:rPr>
                <w:szCs w:val="22"/>
              </w:rPr>
            </w:pPr>
            <w:r w:rsidRPr="00236418">
              <w:rPr>
                <w:szCs w:val="22"/>
              </w:rPr>
              <w:t>1 HNL (Honduras)</w:t>
            </w:r>
          </w:p>
        </w:tc>
        <w:tc>
          <w:tcPr>
            <w:tcW w:w="1985" w:type="dxa"/>
            <w:vAlign w:val="bottom"/>
          </w:tcPr>
          <w:p w14:paraId="7EE7D182"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03759</w:t>
            </w:r>
          </w:p>
        </w:tc>
        <w:tc>
          <w:tcPr>
            <w:tcW w:w="1985" w:type="dxa"/>
            <w:tcBorders>
              <w:right w:val="single" w:sz="4" w:space="0" w:color="auto"/>
            </w:tcBorders>
            <w:vAlign w:val="bottom"/>
          </w:tcPr>
          <w:p w14:paraId="1E5D7073"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0,04055</w:t>
            </w:r>
          </w:p>
        </w:tc>
      </w:tr>
      <w:tr w:rsidR="00761B6C" w:rsidRPr="00236418" w14:paraId="4EBC88DD" w14:textId="77777777" w:rsidTr="00761B6C">
        <w:trPr>
          <w:jc w:val="center"/>
        </w:trPr>
        <w:tc>
          <w:tcPr>
            <w:tcW w:w="2405" w:type="dxa"/>
          </w:tcPr>
          <w:p w14:paraId="4ACAC348" w14:textId="77777777" w:rsidR="00761B6C" w:rsidRPr="00236418" w:rsidRDefault="00761B6C" w:rsidP="0009375C">
            <w:pPr>
              <w:pStyle w:val="Tabletext"/>
              <w:spacing w:before="20" w:after="20"/>
              <w:rPr>
                <w:szCs w:val="22"/>
              </w:rPr>
            </w:pPr>
            <w:r w:rsidRPr="00236418">
              <w:rPr>
                <w:szCs w:val="22"/>
              </w:rPr>
              <w:t>1 IDR (Indonésie)</w:t>
            </w:r>
          </w:p>
        </w:tc>
        <w:tc>
          <w:tcPr>
            <w:tcW w:w="1985" w:type="dxa"/>
            <w:vAlign w:val="bottom"/>
          </w:tcPr>
          <w:p w14:paraId="5FB28F3A"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00006</w:t>
            </w:r>
          </w:p>
        </w:tc>
        <w:tc>
          <w:tcPr>
            <w:tcW w:w="1985" w:type="dxa"/>
            <w:tcBorders>
              <w:right w:val="single" w:sz="4" w:space="0" w:color="auto"/>
            </w:tcBorders>
            <w:vAlign w:val="bottom"/>
          </w:tcPr>
          <w:p w14:paraId="602D8E64"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0,00007</w:t>
            </w:r>
          </w:p>
        </w:tc>
      </w:tr>
      <w:tr w:rsidR="00761B6C" w:rsidRPr="00236418" w14:paraId="45302121" w14:textId="77777777" w:rsidTr="00761B6C">
        <w:trPr>
          <w:jc w:val="center"/>
        </w:trPr>
        <w:tc>
          <w:tcPr>
            <w:tcW w:w="2405" w:type="dxa"/>
          </w:tcPr>
          <w:p w14:paraId="31DB6DC3" w14:textId="77777777" w:rsidR="00761B6C" w:rsidRPr="00236418" w:rsidRDefault="00761B6C" w:rsidP="0009375C">
            <w:pPr>
              <w:pStyle w:val="Tabletext"/>
              <w:spacing w:before="20" w:after="20"/>
              <w:rPr>
                <w:szCs w:val="22"/>
              </w:rPr>
            </w:pPr>
            <w:r w:rsidRPr="00236418">
              <w:rPr>
                <w:szCs w:val="22"/>
              </w:rPr>
              <w:t>1 EGP (Égypte)</w:t>
            </w:r>
          </w:p>
        </w:tc>
        <w:tc>
          <w:tcPr>
            <w:tcW w:w="1985" w:type="dxa"/>
            <w:vAlign w:val="bottom"/>
          </w:tcPr>
          <w:p w14:paraId="4A0EA5C2"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05806</w:t>
            </w:r>
          </w:p>
        </w:tc>
        <w:tc>
          <w:tcPr>
            <w:tcW w:w="1985" w:type="dxa"/>
            <w:tcBorders>
              <w:right w:val="single" w:sz="4" w:space="0" w:color="auto"/>
            </w:tcBorders>
            <w:vAlign w:val="bottom"/>
          </w:tcPr>
          <w:p w14:paraId="2EF9EE1A"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0,06195</w:t>
            </w:r>
          </w:p>
        </w:tc>
      </w:tr>
      <w:tr w:rsidR="00761B6C" w:rsidRPr="00236418" w14:paraId="30BDE009" w14:textId="77777777" w:rsidTr="00761B6C">
        <w:trPr>
          <w:jc w:val="center"/>
        </w:trPr>
        <w:tc>
          <w:tcPr>
            <w:tcW w:w="2405" w:type="dxa"/>
          </w:tcPr>
          <w:p w14:paraId="6273C5FA" w14:textId="77777777" w:rsidR="00761B6C" w:rsidRPr="00236418" w:rsidRDefault="00761B6C" w:rsidP="0009375C">
            <w:pPr>
              <w:pStyle w:val="Tabletext"/>
              <w:spacing w:before="20" w:after="20"/>
              <w:rPr>
                <w:szCs w:val="22"/>
              </w:rPr>
            </w:pPr>
            <w:r w:rsidRPr="00236418">
              <w:rPr>
                <w:szCs w:val="22"/>
              </w:rPr>
              <w:t>1 RUB (Russie)</w:t>
            </w:r>
          </w:p>
        </w:tc>
        <w:tc>
          <w:tcPr>
            <w:tcW w:w="1985" w:type="dxa"/>
            <w:vAlign w:val="bottom"/>
          </w:tcPr>
          <w:p w14:paraId="0E7F039B"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01192</w:t>
            </w:r>
          </w:p>
        </w:tc>
        <w:tc>
          <w:tcPr>
            <w:tcW w:w="1985" w:type="dxa"/>
            <w:tcBorders>
              <w:right w:val="single" w:sz="4" w:space="0" w:color="auto"/>
            </w:tcBorders>
            <w:vAlign w:val="bottom"/>
          </w:tcPr>
          <w:p w14:paraId="39BA077C"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0,01560</w:t>
            </w:r>
          </w:p>
        </w:tc>
      </w:tr>
      <w:tr w:rsidR="00761B6C" w:rsidRPr="00236418" w14:paraId="621567B7" w14:textId="77777777" w:rsidTr="00761B6C">
        <w:trPr>
          <w:jc w:val="center"/>
        </w:trPr>
        <w:tc>
          <w:tcPr>
            <w:tcW w:w="2405" w:type="dxa"/>
          </w:tcPr>
          <w:p w14:paraId="7F4897C0" w14:textId="77777777" w:rsidR="00761B6C" w:rsidRPr="00236418" w:rsidRDefault="00761B6C" w:rsidP="0009375C">
            <w:pPr>
              <w:pStyle w:val="Tabletext"/>
              <w:spacing w:before="20" w:after="20"/>
              <w:rPr>
                <w:szCs w:val="22"/>
              </w:rPr>
            </w:pPr>
            <w:r w:rsidRPr="00236418">
              <w:rPr>
                <w:szCs w:val="22"/>
              </w:rPr>
              <w:t>1 VND (Viet Nam)</w:t>
            </w:r>
          </w:p>
        </w:tc>
        <w:tc>
          <w:tcPr>
            <w:tcW w:w="1985" w:type="dxa"/>
            <w:vAlign w:val="bottom"/>
          </w:tcPr>
          <w:p w14:paraId="1EF2A2D4"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00004</w:t>
            </w:r>
          </w:p>
        </w:tc>
        <w:tc>
          <w:tcPr>
            <w:tcW w:w="1985" w:type="dxa"/>
            <w:tcBorders>
              <w:right w:val="single" w:sz="4" w:space="0" w:color="auto"/>
            </w:tcBorders>
            <w:vAlign w:val="bottom"/>
          </w:tcPr>
          <w:p w14:paraId="5D5D5F14"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0,00004</w:t>
            </w:r>
          </w:p>
        </w:tc>
      </w:tr>
      <w:tr w:rsidR="00761B6C" w:rsidRPr="00236418" w14:paraId="6815C3EF" w14:textId="77777777" w:rsidTr="00761B6C">
        <w:trPr>
          <w:jc w:val="center"/>
        </w:trPr>
        <w:tc>
          <w:tcPr>
            <w:tcW w:w="2405" w:type="dxa"/>
          </w:tcPr>
          <w:p w14:paraId="6A38D56F" w14:textId="77777777" w:rsidR="00761B6C" w:rsidRPr="00236418" w:rsidRDefault="00761B6C" w:rsidP="0009375C">
            <w:pPr>
              <w:pStyle w:val="Tabletext"/>
              <w:spacing w:before="20" w:after="20"/>
              <w:rPr>
                <w:szCs w:val="22"/>
              </w:rPr>
            </w:pPr>
            <w:r w:rsidRPr="00236418">
              <w:rPr>
                <w:szCs w:val="22"/>
              </w:rPr>
              <w:t>1 XOF (Sénégal)</w:t>
            </w:r>
          </w:p>
        </w:tc>
        <w:tc>
          <w:tcPr>
            <w:tcW w:w="1985" w:type="dxa"/>
            <w:vAlign w:val="bottom"/>
          </w:tcPr>
          <w:p w14:paraId="2160EA21"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00165</w:t>
            </w:r>
          </w:p>
        </w:tc>
        <w:tc>
          <w:tcPr>
            <w:tcW w:w="1985" w:type="dxa"/>
            <w:tcBorders>
              <w:right w:val="single" w:sz="4" w:space="0" w:color="auto"/>
            </w:tcBorders>
            <w:vAlign w:val="bottom"/>
          </w:tcPr>
          <w:p w14:paraId="1E02AF8F"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0,00168</w:t>
            </w:r>
          </w:p>
        </w:tc>
      </w:tr>
      <w:tr w:rsidR="00761B6C" w:rsidRPr="00236418" w14:paraId="2DD29C25" w14:textId="77777777" w:rsidTr="00761B6C">
        <w:trPr>
          <w:jc w:val="center"/>
        </w:trPr>
        <w:tc>
          <w:tcPr>
            <w:tcW w:w="2405" w:type="dxa"/>
          </w:tcPr>
          <w:p w14:paraId="260A9080" w14:textId="77777777" w:rsidR="00761B6C" w:rsidRPr="00236418" w:rsidRDefault="00761B6C" w:rsidP="0009375C">
            <w:pPr>
              <w:pStyle w:val="Tabletext"/>
              <w:spacing w:before="20" w:after="20"/>
              <w:rPr>
                <w:szCs w:val="22"/>
              </w:rPr>
            </w:pPr>
            <w:r w:rsidRPr="00236418">
              <w:rPr>
                <w:szCs w:val="22"/>
              </w:rPr>
              <w:t>1 XAF (Cameroun)</w:t>
            </w:r>
          </w:p>
        </w:tc>
        <w:tc>
          <w:tcPr>
            <w:tcW w:w="1985" w:type="dxa"/>
            <w:vAlign w:val="bottom"/>
          </w:tcPr>
          <w:p w14:paraId="7E564ED2"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00165</w:t>
            </w:r>
          </w:p>
        </w:tc>
        <w:tc>
          <w:tcPr>
            <w:tcW w:w="1985" w:type="dxa"/>
            <w:tcBorders>
              <w:bottom w:val="single" w:sz="4" w:space="0" w:color="auto"/>
              <w:right w:val="single" w:sz="4" w:space="0" w:color="auto"/>
            </w:tcBorders>
            <w:vAlign w:val="bottom"/>
          </w:tcPr>
          <w:p w14:paraId="501AC3B3"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0,00168</w:t>
            </w:r>
          </w:p>
        </w:tc>
      </w:tr>
      <w:tr w:rsidR="00761B6C" w:rsidRPr="00236418" w14:paraId="5A90DC7E" w14:textId="77777777" w:rsidTr="00761B6C">
        <w:trPr>
          <w:jc w:val="center"/>
        </w:trPr>
        <w:tc>
          <w:tcPr>
            <w:tcW w:w="2405" w:type="dxa"/>
          </w:tcPr>
          <w:p w14:paraId="03BD036C" w14:textId="77777777" w:rsidR="00761B6C" w:rsidRPr="00236418" w:rsidRDefault="00761B6C" w:rsidP="0009375C">
            <w:pPr>
              <w:pStyle w:val="Tabletext"/>
              <w:spacing w:before="20" w:after="20"/>
              <w:rPr>
                <w:szCs w:val="22"/>
              </w:rPr>
            </w:pPr>
            <w:r w:rsidRPr="00236418">
              <w:rPr>
                <w:szCs w:val="22"/>
              </w:rPr>
              <w:t>1 THB (Thaïlande)</w:t>
            </w:r>
          </w:p>
        </w:tc>
        <w:tc>
          <w:tcPr>
            <w:tcW w:w="1985" w:type="dxa"/>
            <w:vAlign w:val="bottom"/>
          </w:tcPr>
          <w:p w14:paraId="053900C2" w14:textId="77777777" w:rsidR="00761B6C" w:rsidRPr="00236418" w:rsidRDefault="00761B6C" w:rsidP="0009375C">
            <w:pPr>
              <w:pStyle w:val="Tabletext"/>
              <w:spacing w:before="20" w:after="20"/>
              <w:jc w:val="right"/>
              <w:rPr>
                <w:rFonts w:asciiTheme="minorHAnsi" w:hAnsiTheme="minorHAnsi" w:cstheme="minorHAnsi"/>
                <w:color w:val="000000"/>
                <w:szCs w:val="22"/>
              </w:rPr>
            </w:pPr>
            <w:r w:rsidRPr="00F600D1">
              <w:rPr>
                <w:rFonts w:cs="Calibri"/>
                <w:color w:val="000000"/>
                <w:szCs w:val="24"/>
                <w:lang w:eastAsia="en-GB"/>
              </w:rPr>
              <w:t>0</w:t>
            </w:r>
            <w:r>
              <w:rPr>
                <w:rFonts w:cs="Calibri"/>
                <w:color w:val="000000"/>
                <w:szCs w:val="24"/>
                <w:lang w:eastAsia="en-GB"/>
              </w:rPr>
              <w:t>,</w:t>
            </w:r>
            <w:r w:rsidRPr="00F600D1">
              <w:rPr>
                <w:rFonts w:cs="Calibri"/>
                <w:color w:val="000000"/>
                <w:szCs w:val="24"/>
                <w:lang w:eastAsia="en-GB"/>
              </w:rPr>
              <w:t>02990</w:t>
            </w:r>
          </w:p>
        </w:tc>
        <w:tc>
          <w:tcPr>
            <w:tcW w:w="1985" w:type="dxa"/>
            <w:tcBorders>
              <w:bottom w:val="single" w:sz="4" w:space="0" w:color="auto"/>
              <w:right w:val="single" w:sz="4" w:space="0" w:color="auto"/>
            </w:tcBorders>
            <w:vAlign w:val="bottom"/>
          </w:tcPr>
          <w:p w14:paraId="76DEC0A1" w14:textId="77777777" w:rsidR="00761B6C" w:rsidRPr="00236418" w:rsidRDefault="00761B6C" w:rsidP="0009375C">
            <w:pPr>
              <w:pStyle w:val="Tabletext"/>
              <w:spacing w:before="20" w:after="20"/>
              <w:jc w:val="right"/>
              <w:rPr>
                <w:rFonts w:asciiTheme="minorHAnsi" w:hAnsiTheme="minorHAnsi" w:cstheme="minorHAnsi"/>
                <w:szCs w:val="22"/>
              </w:rPr>
            </w:pPr>
            <w:r w:rsidRPr="00236418">
              <w:rPr>
                <w:rFonts w:asciiTheme="minorHAnsi" w:hAnsiTheme="minorHAnsi" w:cstheme="minorHAnsi"/>
                <w:color w:val="000000"/>
                <w:szCs w:val="22"/>
              </w:rPr>
              <w:t>0,03305</w:t>
            </w:r>
          </w:p>
        </w:tc>
      </w:tr>
    </w:tbl>
    <w:p w14:paraId="0267BF4B" w14:textId="77777777" w:rsidR="00761B6C" w:rsidRPr="00144C9E" w:rsidRDefault="00761B6C" w:rsidP="00144C9E">
      <w:pPr>
        <w:pStyle w:val="Headingb"/>
        <w:rPr>
          <w:u w:val="single"/>
        </w:rPr>
      </w:pPr>
      <w:bookmarkStart w:id="793" w:name="_Toc387166627"/>
      <w:bookmarkStart w:id="794" w:name="_Toc395260912"/>
      <w:bookmarkStart w:id="795" w:name="_Toc395511691"/>
      <w:bookmarkStart w:id="796" w:name="_Toc452138605"/>
      <w:bookmarkStart w:id="797" w:name="_Toc452139054"/>
      <w:bookmarkStart w:id="798" w:name="_Toc452139418"/>
      <w:bookmarkStart w:id="799" w:name="_Toc452139818"/>
      <w:bookmarkStart w:id="800" w:name="_Toc452140405"/>
      <w:bookmarkStart w:id="801" w:name="_Toc452140685"/>
      <w:bookmarkStart w:id="802" w:name="_Toc482801475"/>
      <w:bookmarkStart w:id="803" w:name="_Toc511649445"/>
      <w:bookmarkStart w:id="804" w:name="_Toc511649817"/>
      <w:bookmarkStart w:id="805" w:name="_Toc511649931"/>
      <w:bookmarkStart w:id="806" w:name="_Toc511651187"/>
      <w:bookmarkStart w:id="807" w:name="_Toc511724052"/>
      <w:bookmarkStart w:id="808" w:name="_Toc511739041"/>
      <w:bookmarkStart w:id="809" w:name="_Toc511741210"/>
      <w:bookmarkStart w:id="810" w:name="_Toc10450716"/>
      <w:bookmarkStart w:id="811" w:name="_Toc41566321"/>
      <w:bookmarkStart w:id="812" w:name="_Toc41567834"/>
      <w:bookmarkStart w:id="813" w:name="_Toc73356390"/>
      <w:bookmarkStart w:id="814" w:name="_Toc269839066"/>
      <w:bookmarkStart w:id="815" w:name="_Toc329178765"/>
      <w:bookmarkStart w:id="816" w:name="_Toc329181738"/>
      <w:bookmarkStart w:id="817" w:name="_Toc329202553"/>
      <w:bookmarkStart w:id="818" w:name="_Toc329204985"/>
      <w:bookmarkStart w:id="819" w:name="_Toc329206822"/>
      <w:bookmarkStart w:id="820" w:name="_Toc358379906"/>
      <w:bookmarkStart w:id="821" w:name="_Toc358380446"/>
      <w:r w:rsidRPr="00144C9E">
        <w:rPr>
          <w:u w:val="single"/>
        </w:rPr>
        <w:t>Instruments financiers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61225AD7" w14:textId="77777777" w:rsidR="00761B6C" w:rsidRPr="00236418" w:rsidRDefault="00761B6C" w:rsidP="00761B6C">
      <w:r w:rsidRPr="00236418">
        <w:t>Les instruments financiers de l</w:t>
      </w:r>
      <w:r>
        <w:t>'</w:t>
      </w:r>
      <w:r w:rsidRPr="00236418">
        <w:t>UIT se composent des caisses et des dépôts à court terme, des placements, des créances issues d</w:t>
      </w:r>
      <w:r>
        <w:t>'</w:t>
      </w:r>
      <w:r w:rsidRPr="00236418">
        <w:t>opérations avec contrepartie directe, des créances sans contrepartie directe, des comptes fournisseurs, des découverts bancaires, des prêts et des emprunts.</w:t>
      </w:r>
    </w:p>
    <w:p w14:paraId="7E03C597" w14:textId="77777777" w:rsidR="00761B6C" w:rsidRPr="00236418" w:rsidRDefault="00761B6C" w:rsidP="00761B6C">
      <w:pPr>
        <w:rPr>
          <w:u w:val="single"/>
        </w:rPr>
      </w:pPr>
      <w:bookmarkStart w:id="822" w:name="_Toc358379907"/>
      <w:bookmarkStart w:id="823" w:name="_Toc358380447"/>
      <w:bookmarkStart w:id="824" w:name="_Toc387166628"/>
      <w:bookmarkStart w:id="825" w:name="_Toc387167439"/>
      <w:bookmarkStart w:id="826" w:name="_Toc395260913"/>
      <w:bookmarkStart w:id="827" w:name="_Toc395511692"/>
      <w:r w:rsidRPr="00236418">
        <w:rPr>
          <w:u w:val="single"/>
        </w:rPr>
        <w:t>Trésorerie et équivalents de trésorerie</w:t>
      </w:r>
      <w:bookmarkEnd w:id="822"/>
      <w:bookmarkEnd w:id="823"/>
      <w:bookmarkEnd w:id="824"/>
      <w:bookmarkEnd w:id="825"/>
      <w:bookmarkEnd w:id="826"/>
      <w:bookmarkEnd w:id="827"/>
    </w:p>
    <w:p w14:paraId="71C040BE" w14:textId="15F6DCF8" w:rsidR="00761B6C" w:rsidRDefault="00761B6C" w:rsidP="00761B6C">
      <w:r w:rsidRPr="00236418">
        <w:t>La trésorerie et équivalents de trésorerie comprennent les fonds en caisse, les comptes postaux, les avoirs en banques et les comptes de dépôts auprès de la Confédération suisse – Département fédéral des finances.</w:t>
      </w:r>
    </w:p>
    <w:p w14:paraId="3A87C2D4" w14:textId="77777777" w:rsidR="0009375C" w:rsidRPr="00236418" w:rsidRDefault="0009375C" w:rsidP="00761B6C"/>
    <w:p w14:paraId="2969AB01" w14:textId="77777777" w:rsidR="0009375C" w:rsidRPr="0009375C" w:rsidRDefault="0009375C" w:rsidP="00761B6C">
      <w:bookmarkStart w:id="828" w:name="_Toc387166629"/>
      <w:bookmarkStart w:id="829" w:name="_Toc387167440"/>
      <w:bookmarkStart w:id="830" w:name="_Toc395260914"/>
      <w:bookmarkStart w:id="831" w:name="_Toc395511693"/>
      <w:bookmarkStart w:id="832" w:name="_Toc452138606"/>
      <w:bookmarkStart w:id="833" w:name="_Toc452139055"/>
      <w:bookmarkStart w:id="834" w:name="_Toc452139419"/>
      <w:bookmarkStart w:id="835" w:name="_Toc452139819"/>
      <w:bookmarkStart w:id="836" w:name="_Toc452140406"/>
      <w:bookmarkStart w:id="837" w:name="_Toc452140686"/>
      <w:bookmarkStart w:id="838" w:name="_Toc482801476"/>
      <w:bookmarkStart w:id="839" w:name="_Toc482888731"/>
      <w:bookmarkStart w:id="840" w:name="_Toc511649446"/>
      <w:bookmarkStart w:id="841" w:name="_Toc511649818"/>
      <w:bookmarkStart w:id="842" w:name="_Toc511649932"/>
      <w:bookmarkStart w:id="843" w:name="_Toc511650543"/>
      <w:bookmarkStart w:id="844" w:name="_Toc511651188"/>
      <w:bookmarkStart w:id="845" w:name="_Toc511724053"/>
      <w:bookmarkStart w:id="846" w:name="_Toc511739042"/>
      <w:bookmarkStart w:id="847" w:name="_Toc511741211"/>
      <w:bookmarkStart w:id="848" w:name="_Toc9605705"/>
      <w:bookmarkStart w:id="849" w:name="_Toc10450717"/>
      <w:r w:rsidRPr="0009375C">
        <w:br w:type="page"/>
      </w:r>
    </w:p>
    <w:p w14:paraId="7780A1D8" w14:textId="4D9D5F9B" w:rsidR="00761B6C" w:rsidRPr="00236418" w:rsidRDefault="00761B6C" w:rsidP="00761B6C">
      <w:pPr>
        <w:rPr>
          <w:u w:val="single"/>
        </w:rPr>
      </w:pPr>
      <w:r w:rsidRPr="00236418">
        <w:rPr>
          <w:u w:val="single"/>
        </w:rPr>
        <w:lastRenderedPageBreak/>
        <w:t>Placements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1CCDE02B" w14:textId="77777777" w:rsidR="00761B6C" w:rsidRPr="00236418" w:rsidRDefault="00761B6C" w:rsidP="00761B6C">
      <w:r w:rsidRPr="00236418">
        <w:t>Les placements à terme d</w:t>
      </w:r>
      <w:r>
        <w:t>'</w:t>
      </w:r>
      <w:r w:rsidRPr="00236418">
        <w:t>une durée de trois à neuf mois, très liquides qui sont convertibles en un montant connu de trésorerie et qui sont soumis à un risque négligeable de changement de valeur sont désignés comme actifs financiers à la juste valeur par le biais d</w:t>
      </w:r>
      <w:r>
        <w:t>'</w:t>
      </w:r>
      <w:r w:rsidRPr="00236418">
        <w:t xml:space="preserve">un excédent/déficit lors de la comptabilisation initiale. Le produit des placements est comptabilisé trimestriellement sur la base du rendement effectif. </w:t>
      </w:r>
    </w:p>
    <w:p w14:paraId="211D9F79" w14:textId="77777777" w:rsidR="00761B6C" w:rsidRPr="00236418" w:rsidRDefault="00761B6C" w:rsidP="00761B6C">
      <w:r w:rsidRPr="00236418">
        <w:t>Les placements sont comptabilisés initialement lorsque l</w:t>
      </w:r>
      <w:r>
        <w:t>'</w:t>
      </w:r>
      <w:r w:rsidRPr="00236418">
        <w:t>UIT devient partie aux dispositions contractuelles de l</w:t>
      </w:r>
      <w:r>
        <w:t>'</w:t>
      </w:r>
      <w:r w:rsidRPr="00236418">
        <w:t>instrument. Tous les achats et toutes les ventes de placements sont comptabilisés sur la base de leur date de transaction. Les placements sont comptabilisés initialement à leur juste valeur en tenant compte des éventuels coûts de transaction qui leur sont directement imputables.</w:t>
      </w:r>
    </w:p>
    <w:p w14:paraId="087BB43C" w14:textId="77777777" w:rsidR="00761B6C" w:rsidRPr="00236418" w:rsidRDefault="00761B6C" w:rsidP="00761B6C">
      <w:r w:rsidRPr="00236418">
        <w:t xml:space="preserve">Les actifs financiers sont </w:t>
      </w:r>
      <w:proofErr w:type="spellStart"/>
      <w:r w:rsidRPr="00236418">
        <w:t>dé</w:t>
      </w:r>
      <w:r w:rsidRPr="00236418">
        <w:rPr>
          <w:color w:val="000000" w:themeColor="text1"/>
        </w:rPr>
        <w:t>comptabilisés</w:t>
      </w:r>
      <w:proofErr w:type="spellEnd"/>
      <w:r w:rsidRPr="00236418">
        <w:t xml:space="preserve"> lorsque l</w:t>
      </w:r>
      <w:r>
        <w:t>'</w:t>
      </w:r>
      <w:r w:rsidRPr="00236418">
        <w:t>UIT a transféré ses droits de recevoir les flux de trésorerie des actifs financiers et les risques y relatifs.</w:t>
      </w:r>
    </w:p>
    <w:p w14:paraId="0CBE1C05" w14:textId="77777777" w:rsidR="00761B6C" w:rsidRPr="00236418" w:rsidRDefault="00761B6C" w:rsidP="00761B6C">
      <w:r w:rsidRPr="00236418">
        <w:t>Les placements sont présentés au bilan en actifs et passifs courants ou non-courants selon que leur échéance est inférieure ou supérieure à un an.</w:t>
      </w:r>
    </w:p>
    <w:p w14:paraId="7445A476" w14:textId="77777777" w:rsidR="00761B6C" w:rsidRPr="00236418" w:rsidRDefault="00761B6C" w:rsidP="00761B6C">
      <w:r w:rsidRPr="00236418">
        <w:t xml:space="preserve">Les actifs financiers sont </w:t>
      </w:r>
      <w:proofErr w:type="spellStart"/>
      <w:r w:rsidRPr="00236418">
        <w:t>dé</w:t>
      </w:r>
      <w:r w:rsidRPr="00236418">
        <w:rPr>
          <w:color w:val="000000" w:themeColor="text1"/>
        </w:rPr>
        <w:t>comptabilisés</w:t>
      </w:r>
      <w:proofErr w:type="spellEnd"/>
      <w:r w:rsidRPr="00236418">
        <w:t xml:space="preserve"> lorsque les droits contractuels de l</w:t>
      </w:r>
      <w:r>
        <w:t>'</w:t>
      </w:r>
      <w:r w:rsidRPr="00236418">
        <w:t>UIT de recevoir les flux de trésorerie des actifs financiers ont expirés ou ont été transférés et lorsque tous les risques et les avantages liés au droit de propriété ont été transférés.</w:t>
      </w:r>
    </w:p>
    <w:p w14:paraId="2EC328FF" w14:textId="77777777" w:rsidR="00761B6C" w:rsidRPr="00236418" w:rsidRDefault="00761B6C" w:rsidP="00761B6C">
      <w:pPr>
        <w:rPr>
          <w:u w:val="single"/>
        </w:rPr>
      </w:pPr>
      <w:bookmarkStart w:id="850" w:name="_Toc269839073"/>
      <w:bookmarkStart w:id="851" w:name="_Toc329178768"/>
      <w:bookmarkStart w:id="852" w:name="_Toc329181741"/>
      <w:bookmarkStart w:id="853" w:name="_Toc329202556"/>
      <w:bookmarkStart w:id="854" w:name="_Toc329204988"/>
      <w:bookmarkStart w:id="855" w:name="_Toc329206825"/>
      <w:bookmarkStart w:id="856" w:name="_Toc358379911"/>
      <w:bookmarkStart w:id="857" w:name="_Toc358380451"/>
      <w:bookmarkStart w:id="858" w:name="_Toc387166630"/>
      <w:bookmarkStart w:id="859" w:name="_Toc387167441"/>
      <w:bookmarkStart w:id="860" w:name="_Toc395260915"/>
      <w:bookmarkStart w:id="861" w:name="_Toc395511694"/>
      <w:bookmarkStart w:id="862" w:name="_Toc452138607"/>
      <w:bookmarkStart w:id="863" w:name="_Toc452139056"/>
      <w:bookmarkStart w:id="864" w:name="_Toc452139420"/>
      <w:bookmarkStart w:id="865" w:name="_Toc452139820"/>
      <w:bookmarkStart w:id="866" w:name="_Toc452140407"/>
      <w:bookmarkStart w:id="867" w:name="_Toc452140687"/>
      <w:bookmarkStart w:id="868" w:name="_Toc482801477"/>
      <w:bookmarkStart w:id="869" w:name="_Toc482888732"/>
      <w:bookmarkStart w:id="870" w:name="_Toc511649447"/>
      <w:bookmarkStart w:id="871" w:name="_Toc511649819"/>
      <w:bookmarkStart w:id="872" w:name="_Toc511649933"/>
      <w:bookmarkStart w:id="873" w:name="_Toc511650051"/>
      <w:bookmarkStart w:id="874" w:name="_Toc511650544"/>
      <w:bookmarkStart w:id="875" w:name="_Toc511651189"/>
      <w:bookmarkStart w:id="876" w:name="_Toc511724054"/>
      <w:bookmarkStart w:id="877" w:name="_Toc511739043"/>
      <w:bookmarkStart w:id="878" w:name="_Toc511741212"/>
      <w:bookmarkStart w:id="879" w:name="_Toc9605706"/>
      <w:bookmarkStart w:id="880" w:name="_Toc10450718"/>
      <w:r w:rsidRPr="00236418">
        <w:rPr>
          <w:u w:val="single"/>
        </w:rPr>
        <w:t>Autres dettes financières</w:t>
      </w:r>
      <w:bookmarkEnd w:id="850"/>
      <w:r w:rsidRPr="00236418">
        <w:rPr>
          <w:u w:val="single"/>
        </w:rPr>
        <w:t xml:space="preserve"> et </w:t>
      </w:r>
      <w:bookmarkEnd w:id="851"/>
      <w:bookmarkEnd w:id="852"/>
      <w:bookmarkEnd w:id="853"/>
      <w:bookmarkEnd w:id="854"/>
      <w:bookmarkEnd w:id="855"/>
      <w:bookmarkEnd w:id="856"/>
      <w:bookmarkEnd w:id="857"/>
      <w:r w:rsidRPr="00236418">
        <w:rPr>
          <w:u w:val="single"/>
        </w:rPr>
        <w:t>emprunt auprès de la FIPOI</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1008884B" w14:textId="77777777" w:rsidR="00761B6C" w:rsidRPr="00236418" w:rsidRDefault="00761B6C" w:rsidP="00761B6C">
      <w:pPr>
        <w:keepNext/>
        <w:keepLines/>
      </w:pPr>
      <w:r w:rsidRPr="00236418">
        <w:t>Les autres dettes financières comprennent les emprunts, les autres financements, les découverts bancaires, les fournisseurs et créanciers d</w:t>
      </w:r>
      <w:r>
        <w:t>'</w:t>
      </w:r>
      <w:r w:rsidRPr="00236418">
        <w:t xml:space="preserve">exploitation. Elles sont présentées au bilan en passifs courants ou non courants selon que leur échéance est inférieure ou supérieure à un an. </w:t>
      </w:r>
    </w:p>
    <w:p w14:paraId="32616DED" w14:textId="77777777" w:rsidR="00761B6C" w:rsidRPr="00236418" w:rsidRDefault="00761B6C" w:rsidP="00761B6C">
      <w:r w:rsidRPr="00236418">
        <w:t>Les passifs financiers portant intérêt sont évalués ultérieurement au coût amorti selon la méthode du taux d</w:t>
      </w:r>
      <w:r>
        <w:t>'</w:t>
      </w:r>
      <w:r w:rsidRPr="00236418">
        <w:t>intérêt effectif, à l</w:t>
      </w:r>
      <w:r>
        <w:t>'</w:t>
      </w:r>
      <w:r w:rsidRPr="00236418">
        <w:t>exception des passifs pour lesquels la comptabilisation des intérêts serait négligeable.</w:t>
      </w:r>
    </w:p>
    <w:p w14:paraId="5EC2FE47" w14:textId="77777777" w:rsidR="00761B6C" w:rsidRPr="00236418" w:rsidRDefault="00761B6C" w:rsidP="00761B6C">
      <w:r w:rsidRPr="00236418">
        <w:t>L</w:t>
      </w:r>
      <w:r>
        <w:t>'</w:t>
      </w:r>
      <w:r w:rsidRPr="00236418">
        <w:t>UIT a emprunté des capitaux auprès de la Fondation des Immeubles pour les Organisations Internationales (FIPOI) lors de la construction et de la rénovation des bâtiments sis à Genève. Ces emprunts étaient originellement soumis à un intérêt. Toutefois, le Département fédéral des affaires étrangères (DFAE) a supprimé le prélèvement des intérêts à partir de 1996. Ainsi, l</w:t>
      </w:r>
      <w:r>
        <w:t>'</w:t>
      </w:r>
      <w:r w:rsidRPr="00236418">
        <w:t>UIT a uniquement l</w:t>
      </w:r>
      <w:r>
        <w:t>'</w:t>
      </w:r>
      <w:r w:rsidRPr="00236418">
        <w:t xml:space="preserve">obligation de rembourser le montant principal. </w:t>
      </w:r>
    </w:p>
    <w:p w14:paraId="79A1DA2F" w14:textId="77777777" w:rsidR="00761B6C" w:rsidRPr="00236418" w:rsidRDefault="00761B6C" w:rsidP="00761B6C">
      <w:r w:rsidRPr="00236418">
        <w:t>Le prêt est évalué à son coût amorti selon un taux d</w:t>
      </w:r>
      <w:r>
        <w:t>'</w:t>
      </w:r>
      <w:r w:rsidRPr="00236418">
        <w:t>intérêt à long terme de 3,25% qui correspond aux intérêts liés aux prêts accordés par la FIPOI mais non versés. La différence entre la valeur nominale et le coût amorti représente une contribution en nature qui s</w:t>
      </w:r>
      <w:r>
        <w:t>'</w:t>
      </w:r>
      <w:r w:rsidRPr="00236418">
        <w:t>élevait au 31 décembre 20</w:t>
      </w:r>
      <w:r>
        <w:t>20</w:t>
      </w:r>
      <w:r w:rsidRPr="00236418">
        <w:t xml:space="preserve"> à un montant global de 1</w:t>
      </w:r>
      <w:r>
        <w:t>3,2</w:t>
      </w:r>
      <w:r w:rsidRPr="00236418">
        <w:t xml:space="preserve"> millions CHF. L</w:t>
      </w:r>
      <w:r>
        <w:t>'</w:t>
      </w:r>
      <w:r w:rsidRPr="00236418">
        <w:t>UIT a choisi de ne pas présenter ce montant dans la catégorie "emprunts et dettes financières" dans l</w:t>
      </w:r>
      <w:r>
        <w:t>'</w:t>
      </w:r>
      <w:r w:rsidRPr="00236418">
        <w:t>état de la situation financière. Par contre, l</w:t>
      </w:r>
      <w:r>
        <w:t>'</w:t>
      </w:r>
      <w:r w:rsidRPr="00236418">
        <w:t>UIT montre dans l</w:t>
      </w:r>
      <w:r>
        <w:t>'</w:t>
      </w:r>
      <w:r w:rsidRPr="00236418">
        <w:t>état de la performance financière, des charges et des produits en tant que contribution en nature correspondant à la diminution de l</w:t>
      </w:r>
      <w:r>
        <w:t>'</w:t>
      </w:r>
      <w:r w:rsidRPr="00236418">
        <w:t>escompte entre le 1er janvier et le 31 décembre de l</w:t>
      </w:r>
      <w:r>
        <w:t>'</w:t>
      </w:r>
      <w:r w:rsidRPr="00236418">
        <w:t>année écoulée</w:t>
      </w:r>
      <w:r w:rsidRPr="00236418">
        <w:rPr>
          <w:color w:val="000000" w:themeColor="text1"/>
        </w:rPr>
        <w:t xml:space="preserve">. </w:t>
      </w:r>
    </w:p>
    <w:p w14:paraId="513C2898" w14:textId="77777777" w:rsidR="00761B6C" w:rsidRPr="00236418" w:rsidRDefault="00761B6C" w:rsidP="00761B6C">
      <w:pPr>
        <w:rPr>
          <w:u w:val="single"/>
        </w:rPr>
      </w:pPr>
      <w:bookmarkStart w:id="881" w:name="_Toc358379908"/>
      <w:bookmarkStart w:id="882" w:name="_Toc358380448"/>
      <w:bookmarkStart w:id="883" w:name="_Toc387166631"/>
      <w:bookmarkStart w:id="884" w:name="_Toc387167442"/>
      <w:bookmarkStart w:id="885" w:name="_Toc395260916"/>
      <w:bookmarkStart w:id="886" w:name="_Toc395511695"/>
      <w:bookmarkStart w:id="887" w:name="_Toc452138608"/>
      <w:bookmarkStart w:id="888" w:name="_Toc452139057"/>
      <w:bookmarkStart w:id="889" w:name="_Toc452139421"/>
      <w:bookmarkStart w:id="890" w:name="_Toc452139821"/>
      <w:bookmarkStart w:id="891" w:name="_Toc452140408"/>
      <w:bookmarkStart w:id="892" w:name="_Toc452140688"/>
      <w:bookmarkStart w:id="893" w:name="_Toc482801478"/>
      <w:bookmarkStart w:id="894" w:name="_Toc482888733"/>
      <w:bookmarkStart w:id="895" w:name="_Toc511649448"/>
      <w:bookmarkStart w:id="896" w:name="_Toc511649820"/>
      <w:bookmarkStart w:id="897" w:name="_Toc511649934"/>
      <w:bookmarkStart w:id="898" w:name="_Toc511650545"/>
      <w:bookmarkStart w:id="899" w:name="_Toc511651190"/>
      <w:bookmarkStart w:id="900" w:name="_Toc511724055"/>
      <w:bookmarkStart w:id="901" w:name="_Toc511739044"/>
      <w:bookmarkStart w:id="902" w:name="_Toc511741213"/>
      <w:bookmarkStart w:id="903" w:name="_Toc9605707"/>
      <w:bookmarkStart w:id="904" w:name="_Toc10450719"/>
      <w:bookmarkEnd w:id="814"/>
      <w:bookmarkEnd w:id="815"/>
      <w:bookmarkEnd w:id="816"/>
      <w:bookmarkEnd w:id="817"/>
      <w:bookmarkEnd w:id="818"/>
      <w:bookmarkEnd w:id="819"/>
      <w:bookmarkEnd w:id="820"/>
      <w:bookmarkEnd w:id="821"/>
      <w:r w:rsidRPr="00236418">
        <w:rPr>
          <w:u w:val="single"/>
        </w:rPr>
        <w:t>Créances et prêts</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0BEE423D" w14:textId="77777777" w:rsidR="00761B6C" w:rsidRPr="00236418" w:rsidRDefault="00761B6C" w:rsidP="00761B6C">
      <w:pPr>
        <w:rPr>
          <w:spacing w:val="-2"/>
        </w:rPr>
      </w:pPr>
      <w:r w:rsidRPr="00236418">
        <w:t>Les créances et prêts de l</w:t>
      </w:r>
      <w:r>
        <w:t>'</w:t>
      </w:r>
      <w:r w:rsidRPr="00236418">
        <w:t>UIT sont des actifs financiers non dérivés avec des échéances fixes ou déterminables qui ne sont pas cotés sur un marché actif. Ils prennent naissance lorsque l</w:t>
      </w:r>
      <w:r>
        <w:t>'</w:t>
      </w:r>
      <w:r w:rsidRPr="00236418">
        <w:t>UIT est engagée contractuellement avec un tiers et jusqu</w:t>
      </w:r>
      <w:r>
        <w:t>'</w:t>
      </w:r>
      <w:r w:rsidRPr="00236418">
        <w:t xml:space="preserve">à ce que les transferts de trésorerie liés à ces </w:t>
      </w:r>
      <w:r w:rsidRPr="00236418">
        <w:lastRenderedPageBreak/>
        <w:t>actifs financiers aient été exécutés et que les risques et avantages liés à ces actifs aient également été transférés à l</w:t>
      </w:r>
      <w:r>
        <w:t>'</w:t>
      </w:r>
      <w:r w:rsidRPr="00236418">
        <w:t>UIT. Ces actifs sont inclus dans les actifs courants, hormis ceux dont l</w:t>
      </w:r>
      <w:r>
        <w:t>'</w:t>
      </w:r>
      <w:r w:rsidRPr="00236418">
        <w:t>échéance est supérieure à douze mois après la date de clôture</w:t>
      </w:r>
      <w:r w:rsidRPr="00236418">
        <w:rPr>
          <w:spacing w:val="-2"/>
        </w:rPr>
        <w:t>. Ces derniers sont classés dans les actifs non courants.</w:t>
      </w:r>
    </w:p>
    <w:p w14:paraId="4E6FCAAB" w14:textId="77777777" w:rsidR="00761B6C" w:rsidRPr="00236418" w:rsidRDefault="00761B6C" w:rsidP="00761B6C">
      <w:pPr>
        <w:keepNext/>
        <w:keepLines/>
      </w:pPr>
      <w:r w:rsidRPr="00236418">
        <w:t>Les créances sont classées en deux catégories distinctes: les créances issues d</w:t>
      </w:r>
      <w:r>
        <w:t>'</w:t>
      </w:r>
      <w:r w:rsidRPr="00236418">
        <w:t>opérations avec contrepartie directe, telles les créances issues de la vente de publications, et les créances sans contrepartie directe, notamment celles liées aux contributions versées à l</w:t>
      </w:r>
      <w:r>
        <w:t>'</w:t>
      </w:r>
      <w:r w:rsidRPr="00236418">
        <w:t>UIT. Les contributions mises en recouvrement sont intégrées dans le plan financier lorsque le niveau des contributions des États Membres a été fixé lors de la Conférence de plénipotentiaires pour une période de quatre ans. Ces contributions sont reconnues sur une base annuelle.</w:t>
      </w:r>
    </w:p>
    <w:p w14:paraId="31BED7EA" w14:textId="77777777" w:rsidR="00761B6C" w:rsidRPr="00236418" w:rsidRDefault="00761B6C" w:rsidP="00761B6C">
      <w:r w:rsidRPr="00236418">
        <w:t>Les contributions volontaires sont initialement reconnues lorsqu</w:t>
      </w:r>
      <w:r>
        <w:t>'</w:t>
      </w:r>
      <w:r w:rsidRPr="00236418">
        <w:t>il existe un accord signé entre l</w:t>
      </w:r>
      <w:r>
        <w:t>'</w:t>
      </w:r>
      <w:r w:rsidRPr="00236418">
        <w:t>UIT et le donateur.</w:t>
      </w:r>
    </w:p>
    <w:p w14:paraId="016E0507" w14:textId="77777777" w:rsidR="00761B6C" w:rsidRPr="00236418" w:rsidRDefault="00761B6C" w:rsidP="00761B6C">
      <w:r w:rsidRPr="00236418">
        <w:t>Les créances et les prêts sont reconnus à leur juste valeur lors de leur comptabilisation initiale. La juste valeur est adaptée lors de la revue des créances douteuses au moment de la clôture annuelle des comptes.</w:t>
      </w:r>
    </w:p>
    <w:p w14:paraId="74C388EC" w14:textId="77777777" w:rsidR="00761B6C" w:rsidRPr="00144C9E" w:rsidRDefault="00761B6C" w:rsidP="00144C9E">
      <w:pPr>
        <w:pStyle w:val="Headingb"/>
        <w:rPr>
          <w:u w:val="single"/>
          <w:lang w:eastAsia="zh-CN"/>
        </w:rPr>
      </w:pPr>
      <w:bookmarkStart w:id="905" w:name="_Toc296007012"/>
      <w:bookmarkStart w:id="906" w:name="_Toc329178766"/>
      <w:bookmarkStart w:id="907" w:name="_Toc329181739"/>
      <w:bookmarkStart w:id="908" w:name="_Toc329202554"/>
      <w:bookmarkStart w:id="909" w:name="_Toc329204986"/>
      <w:bookmarkStart w:id="910" w:name="_Toc329206823"/>
      <w:bookmarkStart w:id="911" w:name="_Toc358379909"/>
      <w:bookmarkStart w:id="912" w:name="_Toc358380449"/>
      <w:bookmarkStart w:id="913" w:name="_Toc387166632"/>
      <w:bookmarkStart w:id="914" w:name="_Toc395260917"/>
      <w:bookmarkStart w:id="915" w:name="_Toc395511696"/>
      <w:bookmarkStart w:id="916" w:name="_Toc452138609"/>
      <w:bookmarkStart w:id="917" w:name="_Toc452139058"/>
      <w:bookmarkStart w:id="918" w:name="_Toc452139422"/>
      <w:bookmarkStart w:id="919" w:name="_Toc452139822"/>
      <w:bookmarkStart w:id="920" w:name="_Toc452140689"/>
      <w:bookmarkStart w:id="921" w:name="_Toc482801479"/>
      <w:bookmarkStart w:id="922" w:name="_Toc511649449"/>
      <w:bookmarkStart w:id="923" w:name="_Toc511649821"/>
      <w:bookmarkStart w:id="924" w:name="_Toc511649935"/>
      <w:bookmarkStart w:id="925" w:name="_Toc511651191"/>
      <w:bookmarkStart w:id="926" w:name="_Toc511724056"/>
      <w:bookmarkStart w:id="927" w:name="_Toc511739045"/>
      <w:bookmarkStart w:id="928" w:name="_Toc511741214"/>
      <w:bookmarkStart w:id="929" w:name="_Toc10450720"/>
      <w:bookmarkStart w:id="930" w:name="_Toc41566322"/>
      <w:bookmarkStart w:id="931" w:name="_Toc41567835"/>
      <w:bookmarkStart w:id="932" w:name="_Toc73356391"/>
      <w:r w:rsidRPr="00144C9E">
        <w:rPr>
          <w:u w:val="single"/>
        </w:rPr>
        <w:t xml:space="preserve">Évaluation de la provision pour dépréciation </w:t>
      </w:r>
      <w:bookmarkEnd w:id="905"/>
      <w:bookmarkEnd w:id="906"/>
      <w:bookmarkEnd w:id="907"/>
      <w:bookmarkEnd w:id="908"/>
      <w:bookmarkEnd w:id="909"/>
      <w:bookmarkEnd w:id="910"/>
      <w:bookmarkEnd w:id="911"/>
      <w:bookmarkEnd w:id="912"/>
      <w:r w:rsidRPr="00144C9E">
        <w:rPr>
          <w:u w:val="single"/>
        </w:rPr>
        <w:t>des créances</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0C68CC76" w14:textId="77777777" w:rsidR="00761B6C" w:rsidRPr="00236418" w:rsidRDefault="00761B6C" w:rsidP="00761B6C">
      <w:r w:rsidRPr="00236418">
        <w:t>L</w:t>
      </w:r>
      <w:r>
        <w:t>'</w:t>
      </w:r>
      <w:r w:rsidRPr="00236418">
        <w:t>évaluation du besoin de constituer ou de corriger une provision pour dépréciation d</w:t>
      </w:r>
      <w:r>
        <w:t>'</w:t>
      </w:r>
      <w:r w:rsidRPr="00236418">
        <w:t>actifs est réalisée selon la nature de la créance, sur la base des catégories de créances suivantes:</w:t>
      </w:r>
    </w:p>
    <w:p w14:paraId="2B787A26" w14:textId="77777777" w:rsidR="00761B6C" w:rsidRPr="00236418" w:rsidRDefault="00761B6C" w:rsidP="00761B6C">
      <w:r w:rsidRPr="00236418">
        <w:t>1 – États Membres</w:t>
      </w:r>
    </w:p>
    <w:p w14:paraId="47F2CEE2" w14:textId="77777777" w:rsidR="00761B6C" w:rsidRPr="00236418" w:rsidRDefault="00761B6C" w:rsidP="00761B6C">
      <w:r w:rsidRPr="00236418">
        <w:t>Conformément à l</w:t>
      </w:r>
      <w:r>
        <w:t>'</w:t>
      </w:r>
      <w:r w:rsidRPr="00236418">
        <w:t>article 28 paragraphe 169 de la Constitution, un État Membre en retard dans ses paiements à l</w:t>
      </w:r>
      <w:r>
        <w:t>'</w:t>
      </w:r>
      <w:r w:rsidRPr="00236418">
        <w:t>Union perd son droit de vote défini aux numéros 27 et 28 de la Constitution tant que le montant de ses arriérés est égal ou supérieur au montant des contributions dues pour les deux années précédentes.</w:t>
      </w:r>
    </w:p>
    <w:p w14:paraId="48F78E17" w14:textId="77777777" w:rsidR="00761B6C" w:rsidRPr="00236418" w:rsidRDefault="00761B6C" w:rsidP="00761B6C">
      <w:r w:rsidRPr="00236418">
        <w:t>Sur la base de ce paragraphe, une provision pour les États Membres ayant des arriérés de plus de deux ans est constituée. L</w:t>
      </w:r>
      <w:r>
        <w:t>'</w:t>
      </w:r>
      <w:r w:rsidRPr="00236418">
        <w:t>évaluation et le suivi se font sur la base de la notification financière. Cette notification est produite tous les trimestres. Le calcul de la provision se fait sur la base de la notification du dernier trimestre de l</w:t>
      </w:r>
      <w:r>
        <w:t>'</w:t>
      </w:r>
      <w:r w:rsidRPr="00236418">
        <w:t>année. Celle-ci est produite en début de l</w:t>
      </w:r>
      <w:r>
        <w:t>'</w:t>
      </w:r>
      <w:r w:rsidRPr="00236418">
        <w:t>année suivante.</w:t>
      </w:r>
    </w:p>
    <w:p w14:paraId="5C12E7F6" w14:textId="77777777" w:rsidR="00761B6C" w:rsidRPr="00236418" w:rsidRDefault="00761B6C" w:rsidP="00761B6C">
      <w:pPr>
        <w:spacing w:before="40"/>
      </w:pPr>
      <w:r w:rsidRPr="00236418">
        <w:t>Le montant de la provision est égal à 100% de la créance impayée depuis plus de deux ans augmentée des intérêts moratoires imputés depuis le début du retard de paiement.</w:t>
      </w:r>
    </w:p>
    <w:p w14:paraId="5C59BFE0" w14:textId="77777777" w:rsidR="00761B6C" w:rsidRPr="00236418" w:rsidRDefault="00761B6C" w:rsidP="00761B6C">
      <w:r w:rsidRPr="00236418">
        <w:t>2 – Membres de Secteur, Associés et établissements universitaires</w:t>
      </w:r>
    </w:p>
    <w:p w14:paraId="7A22E9B6" w14:textId="77777777" w:rsidR="00761B6C" w:rsidRPr="00236418" w:rsidRDefault="00761B6C" w:rsidP="00761B6C">
      <w:r w:rsidRPr="00236418">
        <w:t>S</w:t>
      </w:r>
      <w:r>
        <w:t>'</w:t>
      </w:r>
      <w:r w:rsidRPr="00236418">
        <w:t xml:space="preserve">agissant des Membres de Secteur et des Associés, la Résolution 152 (Rév. Busan, 2014) de la Conférence de plénipotentiaires prévoit, dans le point 6 du </w:t>
      </w:r>
      <w:r w:rsidRPr="00236418">
        <w:rPr>
          <w:i/>
        </w:rPr>
        <w:t>décide</w:t>
      </w:r>
      <w:r w:rsidRPr="00236418">
        <w:t>, que, en cas de retard de paiement, la participation aux travaux de l</w:t>
      </w:r>
      <w:r>
        <w:t>'</w:t>
      </w:r>
      <w:r w:rsidRPr="00236418">
        <w:t>UIT, sera suspendue six mois (180 jours) après l</w:t>
      </w:r>
      <w:r>
        <w:t>'</w:t>
      </w:r>
      <w:r w:rsidRPr="00236418">
        <w:t>expiration de l</w:t>
      </w:r>
      <w:r>
        <w:t>'</w:t>
      </w:r>
      <w:r w:rsidRPr="00236418">
        <w:t>échéance fixée pour le paiement de la contribution annuelle, et en cas d</w:t>
      </w:r>
      <w:r>
        <w:t>'</w:t>
      </w:r>
      <w:r w:rsidRPr="00236418">
        <w:t>absence d</w:t>
      </w:r>
      <w:r>
        <w:t>'</w:t>
      </w:r>
      <w:r w:rsidRPr="00236418">
        <w:t>un plan d</w:t>
      </w:r>
      <w:r>
        <w:t>'</w:t>
      </w:r>
      <w:r w:rsidRPr="00236418">
        <w:t>amortissement négocié et convenu, l</w:t>
      </w:r>
      <w:r>
        <w:t>'</w:t>
      </w:r>
      <w:r w:rsidRPr="00236418">
        <w:t>exclusion d</w:t>
      </w:r>
      <w:r>
        <w:t>'</w:t>
      </w:r>
      <w:r w:rsidRPr="00236418">
        <w:t>un Membre de Secteur ou d</w:t>
      </w:r>
      <w:r>
        <w:t>'</w:t>
      </w:r>
      <w:r w:rsidRPr="00236418">
        <w:t>un Associé pour défaut de paiement interviendra trois mois (90 jours) après la date de réception de la notification de sa suspension.</w:t>
      </w:r>
    </w:p>
    <w:p w14:paraId="286CD631" w14:textId="77777777" w:rsidR="00761B6C" w:rsidRPr="00236418" w:rsidRDefault="00761B6C" w:rsidP="00761B6C">
      <w:r w:rsidRPr="00236418">
        <w:t>Toutes les créances impayées y compris les intérêts moratoires de plus de deux ans sont provisionnées à 100%.</w:t>
      </w:r>
    </w:p>
    <w:p w14:paraId="7261DF01" w14:textId="77777777" w:rsidR="00761B6C" w:rsidRPr="00236418" w:rsidRDefault="00761B6C" w:rsidP="00761B6C">
      <w:pPr>
        <w:keepNext/>
        <w:keepLines/>
      </w:pPr>
      <w:r w:rsidRPr="00236418">
        <w:lastRenderedPageBreak/>
        <w:t>3 – Produits provenant du traitement des fiches de notification de réseaux à satellite (SNF)</w:t>
      </w:r>
    </w:p>
    <w:p w14:paraId="2FB514F6" w14:textId="77777777" w:rsidR="00761B6C" w:rsidRPr="00236418" w:rsidRDefault="00761B6C" w:rsidP="00761B6C">
      <w:pPr>
        <w:keepNext/>
        <w:keepLines/>
      </w:pPr>
      <w:r w:rsidRPr="00236418">
        <w:t>L</w:t>
      </w:r>
      <w:r>
        <w:t>'</w:t>
      </w:r>
      <w:r w:rsidRPr="00236418">
        <w:t>Union constitue une provision pour les factures SNF, intérêts moratoires de 6% à partir de la date d</w:t>
      </w:r>
      <w:r>
        <w:t>'</w:t>
      </w:r>
      <w:r w:rsidRPr="00236418">
        <w:t>échéance en cas de retard de paiement. Les factures ayant une date d</w:t>
      </w:r>
      <w:r>
        <w:t>'</w:t>
      </w:r>
      <w:r w:rsidRPr="00236418">
        <w:t>échéance de six</w:t>
      </w:r>
      <w:r>
        <w:t> </w:t>
      </w:r>
      <w:r w:rsidRPr="00236418">
        <w:t>mois, une provision de 100% sera constituée au 31 décembre de l</w:t>
      </w:r>
      <w:r>
        <w:t>'</w:t>
      </w:r>
      <w:r w:rsidRPr="00236418">
        <w:t>année qui suit leur émission.</w:t>
      </w:r>
    </w:p>
    <w:p w14:paraId="6D4D7CC9" w14:textId="77777777" w:rsidR="00761B6C" w:rsidRPr="00236418" w:rsidRDefault="00761B6C" w:rsidP="00761B6C">
      <w:r w:rsidRPr="00236418">
        <w:t>4 – Publications</w:t>
      </w:r>
    </w:p>
    <w:p w14:paraId="50B92BAC" w14:textId="77777777" w:rsidR="00761B6C" w:rsidRPr="00236418" w:rsidRDefault="00761B6C" w:rsidP="00761B6C">
      <w:pPr>
        <w:spacing w:before="40"/>
      </w:pPr>
      <w:r w:rsidRPr="00236418">
        <w:t>Les publications sont en majorité payées d</w:t>
      </w:r>
      <w:r>
        <w:t>'</w:t>
      </w:r>
      <w:r w:rsidRPr="00236418">
        <w:t>avance, sauf lorsque le client est l</w:t>
      </w:r>
      <w:r>
        <w:t>'</w:t>
      </w:r>
      <w:r w:rsidRPr="00236418">
        <w:t>administration d</w:t>
      </w:r>
      <w:r>
        <w:t>'</w:t>
      </w:r>
      <w:r w:rsidRPr="00236418">
        <w:t>un État Membre. La constitution de cette provision est identique au principe appliqué aux contributions des États Membres et Membres de Secteur.</w:t>
      </w:r>
    </w:p>
    <w:p w14:paraId="6ACD3AAD" w14:textId="77777777" w:rsidR="00761B6C" w:rsidRPr="00236418" w:rsidRDefault="00761B6C" w:rsidP="00761B6C">
      <w:pPr>
        <w:keepNext/>
        <w:keepLines/>
      </w:pPr>
      <w:r w:rsidRPr="00236418">
        <w:t xml:space="preserve">5 – Autres débiteurs (par exemple, contributions volontaires) </w:t>
      </w:r>
    </w:p>
    <w:p w14:paraId="5E50ECD7" w14:textId="77777777" w:rsidR="00761B6C" w:rsidRPr="00236418" w:rsidRDefault="00761B6C" w:rsidP="00761B6C">
      <w:pPr>
        <w:keepNext/>
        <w:keepLines/>
      </w:pPr>
      <w:r w:rsidRPr="00236418">
        <w:t>Le montant de la provision est égal à 100% des créances impayées au 31 décembre de l</w:t>
      </w:r>
      <w:r>
        <w:t>'</w:t>
      </w:r>
      <w:r w:rsidRPr="00236418">
        <w:t>année qui suit l</w:t>
      </w:r>
      <w:r>
        <w:t>'</w:t>
      </w:r>
      <w:r w:rsidRPr="00236418">
        <w:t xml:space="preserve">émission des factures. </w:t>
      </w:r>
    </w:p>
    <w:p w14:paraId="619AE6D2" w14:textId="77777777" w:rsidR="00761B6C" w:rsidRPr="00236418" w:rsidRDefault="00761B6C" w:rsidP="00761B6C">
      <w:r w:rsidRPr="00236418">
        <w:t>6 – ITU TELECOM</w:t>
      </w:r>
    </w:p>
    <w:p w14:paraId="0E95E3A7" w14:textId="77777777" w:rsidR="00761B6C" w:rsidRPr="00236418" w:rsidRDefault="00761B6C" w:rsidP="00761B6C">
      <w:r w:rsidRPr="00236418">
        <w:t>Les créances pour les évènements ITU TELECOM sont provisionnées à 100% au moment du bouclement des comptes des expositions, lorsqu</w:t>
      </w:r>
      <w:r>
        <w:t>'</w:t>
      </w:r>
      <w:r w:rsidRPr="00236418">
        <w:t>il existe une incertitude quant au paiement.</w:t>
      </w:r>
    </w:p>
    <w:p w14:paraId="274B3D95" w14:textId="77777777" w:rsidR="00761B6C" w:rsidRPr="00144C9E" w:rsidRDefault="00761B6C" w:rsidP="00144C9E">
      <w:pPr>
        <w:pStyle w:val="Headingb"/>
        <w:rPr>
          <w:u w:val="single"/>
        </w:rPr>
      </w:pPr>
      <w:bookmarkStart w:id="933" w:name="_Toc296007013"/>
      <w:bookmarkStart w:id="934" w:name="_Toc329178767"/>
      <w:bookmarkStart w:id="935" w:name="_Toc329181740"/>
      <w:bookmarkStart w:id="936" w:name="_Toc329202555"/>
      <w:bookmarkStart w:id="937" w:name="_Toc329204987"/>
      <w:bookmarkStart w:id="938" w:name="_Toc329206824"/>
      <w:bookmarkStart w:id="939" w:name="_Toc358379910"/>
      <w:bookmarkStart w:id="940" w:name="_Toc358380450"/>
      <w:bookmarkStart w:id="941" w:name="_Toc387166633"/>
      <w:bookmarkStart w:id="942" w:name="_Toc395260918"/>
      <w:bookmarkStart w:id="943" w:name="_Toc395511697"/>
      <w:bookmarkStart w:id="944" w:name="_Toc452138610"/>
      <w:bookmarkStart w:id="945" w:name="_Toc452139059"/>
      <w:bookmarkStart w:id="946" w:name="_Toc452139423"/>
      <w:bookmarkStart w:id="947" w:name="_Toc452139823"/>
      <w:bookmarkStart w:id="948" w:name="_Toc452140690"/>
      <w:bookmarkStart w:id="949" w:name="_Toc482801480"/>
      <w:bookmarkStart w:id="950" w:name="_Toc511649450"/>
      <w:bookmarkStart w:id="951" w:name="_Toc511649822"/>
      <w:bookmarkStart w:id="952" w:name="_Toc511649936"/>
      <w:bookmarkStart w:id="953" w:name="_Toc511651192"/>
      <w:bookmarkStart w:id="954" w:name="_Toc511724057"/>
      <w:bookmarkStart w:id="955" w:name="_Toc511739046"/>
      <w:bookmarkStart w:id="956" w:name="_Toc511741215"/>
      <w:bookmarkStart w:id="957" w:name="_Toc10450721"/>
      <w:bookmarkStart w:id="958" w:name="_Toc41566323"/>
      <w:bookmarkStart w:id="959" w:name="_Toc41567836"/>
      <w:bookmarkStart w:id="960" w:name="_Toc73356392"/>
      <w:r w:rsidRPr="00144C9E">
        <w:rPr>
          <w:u w:val="single"/>
        </w:rPr>
        <w:t>Utilisation et dissolution d'une provision pour dépréciation d'actif</w:t>
      </w:r>
      <w:bookmarkEnd w:id="933"/>
      <w:r w:rsidRPr="00144C9E">
        <w:rPr>
          <w:u w:val="single"/>
        </w:rPr>
        <w:t>s</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0C8654A6" w14:textId="77777777" w:rsidR="00761B6C" w:rsidRPr="00236418" w:rsidRDefault="00761B6C" w:rsidP="00761B6C">
      <w:r w:rsidRPr="00236418">
        <w:t>Lorsque l</w:t>
      </w:r>
      <w:r>
        <w:t>'</w:t>
      </w:r>
      <w:r w:rsidRPr="00236418">
        <w:t>irrécouvrabilité d</w:t>
      </w:r>
      <w:r>
        <w:t>'</w:t>
      </w:r>
      <w:r w:rsidRPr="00236418">
        <w:t>une créance est constatée (par exemple acte de défaut de bien ou abandon de créance approuvé par le Conseil), la dette est passée par pertes et profits. La provision correspondante est alors utilisée pour équilibrer le solde des comptes. Si le montant de la dépréciation diminue au cours d</w:t>
      </w:r>
      <w:r>
        <w:t>'</w:t>
      </w:r>
      <w:r w:rsidRPr="00236418">
        <w:t>un exercice ultérieur, et si cette diminution peut être objectivement liée à un évènement survenant après la comptabilisation de la dépréciation (par exemple, la signature d</w:t>
      </w:r>
      <w:r>
        <w:t>'</w:t>
      </w:r>
      <w:r w:rsidRPr="00236418">
        <w:t>un plan d</w:t>
      </w:r>
      <w:r>
        <w:t>'</w:t>
      </w:r>
      <w:r w:rsidRPr="00236418">
        <w:t>amortissement de la dette), la perte de valeur comptabilisée est reprise, tout ou en partie, par une dissolution de provision.</w:t>
      </w:r>
    </w:p>
    <w:p w14:paraId="186A1DC7" w14:textId="77777777" w:rsidR="00761B6C" w:rsidRPr="00236418" w:rsidRDefault="00761B6C" w:rsidP="00761B6C">
      <w:r w:rsidRPr="00236418">
        <w:t>Dans le cas des États Membres et des Membres de Secteur, la provision est diminuée des versements annuels effectués dans le cadre d</w:t>
      </w:r>
      <w:r>
        <w:t>'</w:t>
      </w:r>
      <w:r w:rsidRPr="00236418">
        <w:t>un plan d</w:t>
      </w:r>
      <w:r>
        <w:t>'</w:t>
      </w:r>
      <w:r w:rsidRPr="00236418">
        <w:t>amortissement de la dette, après paiement de chaque annuité. Les intérêts moratoires sont extournés après remboursement du capital de la dette, sous réserve de l</w:t>
      </w:r>
      <w:r>
        <w:t>'</w:t>
      </w:r>
      <w:r w:rsidRPr="00236418">
        <w:t>approbation du Conseil. Ce montant inclus les créances liées aux publications.</w:t>
      </w:r>
    </w:p>
    <w:p w14:paraId="3A051AFC" w14:textId="77777777" w:rsidR="00761B6C" w:rsidRPr="00236418" w:rsidRDefault="00761B6C" w:rsidP="00761B6C">
      <w:r w:rsidRPr="00236418">
        <w:t>Si au cours d</w:t>
      </w:r>
      <w:r>
        <w:t>'</w:t>
      </w:r>
      <w:r w:rsidRPr="00236418">
        <w:t>un exercice ultérieur de nouvelles créances remplissent les critères de dépréciation retenus dans le paragraphe ci-dessus, une constitution de provision doit être comptabilisée au 31 décembre de l</w:t>
      </w:r>
      <w:r>
        <w:t>'</w:t>
      </w:r>
      <w:r w:rsidRPr="00236418">
        <w:t>année.</w:t>
      </w:r>
    </w:p>
    <w:p w14:paraId="70E8F828" w14:textId="77777777" w:rsidR="00761B6C" w:rsidRPr="00144C9E" w:rsidRDefault="00761B6C" w:rsidP="00144C9E">
      <w:pPr>
        <w:pStyle w:val="Headingb"/>
        <w:rPr>
          <w:u w:val="single"/>
        </w:rPr>
      </w:pPr>
      <w:bookmarkStart w:id="961" w:name="_Toc269839070"/>
      <w:bookmarkStart w:id="962" w:name="_Toc329178769"/>
      <w:bookmarkStart w:id="963" w:name="_Toc329181742"/>
      <w:bookmarkStart w:id="964" w:name="_Toc329202557"/>
      <w:bookmarkStart w:id="965" w:name="_Toc329204989"/>
      <w:bookmarkStart w:id="966" w:name="_Toc329206826"/>
      <w:bookmarkStart w:id="967" w:name="_Toc358379912"/>
      <w:bookmarkStart w:id="968" w:name="_Toc358380452"/>
      <w:bookmarkStart w:id="969" w:name="_Toc387166634"/>
      <w:bookmarkStart w:id="970" w:name="_Toc387167445"/>
      <w:bookmarkStart w:id="971" w:name="_Toc395260919"/>
      <w:bookmarkStart w:id="972" w:name="_Toc395511698"/>
      <w:bookmarkStart w:id="973" w:name="_Toc452138611"/>
      <w:bookmarkStart w:id="974" w:name="_Toc452139060"/>
      <w:bookmarkStart w:id="975" w:name="_Toc452139424"/>
      <w:bookmarkStart w:id="976" w:name="_Toc452139824"/>
      <w:bookmarkStart w:id="977" w:name="_Toc452140691"/>
      <w:bookmarkStart w:id="978" w:name="_Toc482801481"/>
      <w:bookmarkStart w:id="979" w:name="_Toc511649451"/>
      <w:bookmarkStart w:id="980" w:name="_Toc511649823"/>
      <w:bookmarkStart w:id="981" w:name="_Toc511649937"/>
      <w:bookmarkStart w:id="982" w:name="_Toc511651193"/>
      <w:bookmarkStart w:id="983" w:name="_Toc511724058"/>
      <w:bookmarkStart w:id="984" w:name="_Toc511739047"/>
      <w:bookmarkStart w:id="985" w:name="_Toc511741216"/>
      <w:bookmarkStart w:id="986" w:name="_Toc10450722"/>
      <w:bookmarkStart w:id="987" w:name="_Toc41566324"/>
      <w:bookmarkStart w:id="988" w:name="_Toc41567837"/>
      <w:bookmarkStart w:id="989" w:name="_Toc73356393"/>
      <w:r w:rsidRPr="00144C9E">
        <w:rPr>
          <w:u w:val="single"/>
        </w:rPr>
        <w:t>Stocks</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14:paraId="348502BB" w14:textId="77777777" w:rsidR="00761B6C" w:rsidRPr="00236418" w:rsidRDefault="00761B6C" w:rsidP="00761B6C">
      <w:r w:rsidRPr="00236418">
        <w:t xml:space="preserve">Les stocks se composent des </w:t>
      </w:r>
      <w:r w:rsidRPr="00236418">
        <w:rPr>
          <w:color w:val="000000"/>
        </w:rPr>
        <w:t>publications</w:t>
      </w:r>
      <w:r w:rsidRPr="00236418">
        <w:t xml:space="preserve"> et souvenirs marqués du logo de l</w:t>
      </w:r>
      <w:r>
        <w:t>'</w:t>
      </w:r>
      <w:r w:rsidRPr="00236418">
        <w:t>UIT, des magasins de consommables, d</w:t>
      </w:r>
      <w:r w:rsidRPr="00236418">
        <w:rPr>
          <w:color w:val="000000"/>
        </w:rPr>
        <w:t>es matières</w:t>
      </w:r>
      <w:r w:rsidRPr="00236418">
        <w:t xml:space="preserve"> premières pour la maintenance et d</w:t>
      </w:r>
      <w:r w:rsidRPr="00236418">
        <w:rPr>
          <w:color w:val="000000"/>
        </w:rPr>
        <w:t xml:space="preserve">es </w:t>
      </w:r>
      <w:r w:rsidRPr="00236418">
        <w:t xml:space="preserve">réserves de </w:t>
      </w:r>
      <w:r w:rsidRPr="00236418">
        <w:rPr>
          <w:color w:val="000000"/>
        </w:rPr>
        <w:t>pièces détachées non affectées à la mai</w:t>
      </w:r>
      <w:r w:rsidRPr="00236418">
        <w:t>ntenance d</w:t>
      </w:r>
      <w:r>
        <w:t>'</w:t>
      </w:r>
      <w:r w:rsidRPr="00236418">
        <w:t>actifs particuliers.</w:t>
      </w:r>
    </w:p>
    <w:p w14:paraId="6DC67E7F" w14:textId="77777777" w:rsidR="00761B6C" w:rsidRPr="00236418" w:rsidRDefault="00761B6C" w:rsidP="00761B6C">
      <w:pPr>
        <w:rPr>
          <w:color w:val="000000"/>
        </w:rPr>
      </w:pPr>
      <w:r w:rsidRPr="00236418">
        <w:rPr>
          <w:color w:val="000000"/>
        </w:rPr>
        <w:t>Pour les biens consommables, la valeur des stocks est calculée en utilisant la méthode du coût moyen pondéré. La même méthode est utilisée pour tous les stocks présentant une nature et un usage similaire dans l</w:t>
      </w:r>
      <w:r>
        <w:rPr>
          <w:color w:val="000000"/>
        </w:rPr>
        <w:t>'</w:t>
      </w:r>
      <w:r w:rsidRPr="00236418">
        <w:rPr>
          <w:color w:val="000000"/>
        </w:rPr>
        <w:t>organisation.</w:t>
      </w:r>
    </w:p>
    <w:p w14:paraId="44EB76F0" w14:textId="77777777" w:rsidR="00926C1D" w:rsidRDefault="00926C1D" w:rsidP="00761B6C">
      <w:pPr>
        <w:rPr>
          <w:color w:val="000000"/>
        </w:rPr>
      </w:pPr>
      <w:r>
        <w:rPr>
          <w:color w:val="000000"/>
        </w:rPr>
        <w:br w:type="page"/>
      </w:r>
    </w:p>
    <w:p w14:paraId="72EFC1AC" w14:textId="32857522" w:rsidR="00761B6C" w:rsidRPr="00236418" w:rsidRDefault="00761B6C" w:rsidP="00761B6C">
      <w:pPr>
        <w:rPr>
          <w:color w:val="000000"/>
        </w:rPr>
      </w:pPr>
      <w:r w:rsidRPr="00236418">
        <w:rPr>
          <w:color w:val="000000"/>
        </w:rPr>
        <w:lastRenderedPageBreak/>
        <w:t>Les publications sont valorisées selon un coût standard basé sur un barème mis à jour annuellement. Le coût standard ne comprend pas les coûts directs de personnel, toutefois, le coût du papier est augmenté de 253%, qui représentent les coûts directs liés à la reprographie. La valeur nette réalisable représente le prix de vente estimatif diminué des coûts estimés d</w:t>
      </w:r>
      <w:r>
        <w:rPr>
          <w:color w:val="000000"/>
        </w:rPr>
        <w:t>'</w:t>
      </w:r>
      <w:r w:rsidRPr="00236418">
        <w:rPr>
          <w:color w:val="000000"/>
        </w:rPr>
        <w:t>achèvement, de commercialisation, de vente et de distribution des publications.</w:t>
      </w:r>
    </w:p>
    <w:p w14:paraId="72E5E748" w14:textId="77777777" w:rsidR="00761B6C" w:rsidRPr="00236418" w:rsidRDefault="00761B6C" w:rsidP="00761B6C">
      <w:pPr>
        <w:keepLines/>
      </w:pPr>
      <w:r w:rsidRPr="00236418">
        <w:rPr>
          <w:color w:val="000000"/>
        </w:rPr>
        <w:t>Lorsque les stocks de publications sont distribués à un coût nul ou symbolique, ceux-ci sont évalués à la valeur que l</w:t>
      </w:r>
      <w:r>
        <w:rPr>
          <w:color w:val="000000"/>
        </w:rPr>
        <w:t>'</w:t>
      </w:r>
      <w:r w:rsidRPr="00236418">
        <w:rPr>
          <w:color w:val="000000"/>
        </w:rPr>
        <w:t>Organisation devrait payer pour acquérir les avantages économiques ou le potentiel de service pour réaliser les objectifs de l</w:t>
      </w:r>
      <w:r>
        <w:rPr>
          <w:color w:val="000000"/>
        </w:rPr>
        <w:t>'</w:t>
      </w:r>
      <w:r w:rsidRPr="00236418">
        <w:rPr>
          <w:color w:val="000000"/>
        </w:rPr>
        <w:t>Organisation. Si les avantages économiques ou le potentiel de service ne peuvent être acquis sur le marché, les stocks sont évalués à la valeur de remplacement.</w:t>
      </w:r>
    </w:p>
    <w:p w14:paraId="78E6A279" w14:textId="77777777" w:rsidR="00761B6C" w:rsidRPr="00236418" w:rsidRDefault="00761B6C" w:rsidP="00761B6C">
      <w:pPr>
        <w:keepLines/>
        <w:rPr>
          <w:lang w:eastAsia="fr-FR"/>
        </w:rPr>
      </w:pPr>
      <w:r w:rsidRPr="00236418">
        <w:rPr>
          <w:lang w:eastAsia="fr-FR"/>
        </w:rPr>
        <w:t>Un inventaire physique annuel de tous les stocks est réalisé. À chaque date de clôture, s</w:t>
      </w:r>
      <w:r>
        <w:rPr>
          <w:lang w:eastAsia="fr-FR"/>
        </w:rPr>
        <w:t>'</w:t>
      </w:r>
      <w:r w:rsidRPr="00236418">
        <w:rPr>
          <w:lang w:eastAsia="fr-FR"/>
        </w:rPr>
        <w:t>il existe un quelconque indice montrant que les stocks ont pu perdre de leur valeur, ceux-ci sont dépréciés. L</w:t>
      </w:r>
      <w:r>
        <w:rPr>
          <w:lang w:eastAsia="fr-FR"/>
        </w:rPr>
        <w:t>'</w:t>
      </w:r>
      <w:r w:rsidRPr="00236418">
        <w:rPr>
          <w:lang w:eastAsia="fr-FR"/>
        </w:rPr>
        <w:t>évaluation des publications se fait en deux temps: tout d</w:t>
      </w:r>
      <w:r>
        <w:rPr>
          <w:lang w:eastAsia="fr-FR"/>
        </w:rPr>
        <w:t>'</w:t>
      </w:r>
      <w:r w:rsidRPr="00236418">
        <w:rPr>
          <w:lang w:eastAsia="fr-FR"/>
        </w:rPr>
        <w:t>abord sur la base de dommages identifiés lors de l</w:t>
      </w:r>
      <w:r>
        <w:rPr>
          <w:lang w:eastAsia="fr-FR"/>
        </w:rPr>
        <w:t>'</w:t>
      </w:r>
      <w:r w:rsidRPr="00236418">
        <w:rPr>
          <w:lang w:eastAsia="fr-FR"/>
        </w:rPr>
        <w:t>inventaire physique annuel et ensuite selon l</w:t>
      </w:r>
      <w:r>
        <w:rPr>
          <w:lang w:eastAsia="fr-FR"/>
        </w:rPr>
        <w:t>'</w:t>
      </w:r>
      <w:r w:rsidRPr="00236418">
        <w:rPr>
          <w:lang w:eastAsia="fr-FR"/>
        </w:rPr>
        <w:t>obsolescence des publications. L</w:t>
      </w:r>
      <w:r>
        <w:rPr>
          <w:lang w:eastAsia="fr-FR"/>
        </w:rPr>
        <w:t>'</w:t>
      </w:r>
      <w:r w:rsidRPr="00236418">
        <w:rPr>
          <w:lang w:eastAsia="fr-FR"/>
        </w:rPr>
        <w:t>organisation détermine également si une perte de valeur comptabilisée précédemment a diminué ou s</w:t>
      </w:r>
      <w:r>
        <w:rPr>
          <w:lang w:eastAsia="fr-FR"/>
        </w:rPr>
        <w:t>'</w:t>
      </w:r>
      <w:r w:rsidRPr="00236418">
        <w:rPr>
          <w:lang w:eastAsia="fr-FR"/>
        </w:rPr>
        <w:t>est éteinte. S</w:t>
      </w:r>
      <w:r>
        <w:rPr>
          <w:lang w:eastAsia="fr-FR"/>
        </w:rPr>
        <w:t>'</w:t>
      </w:r>
      <w:r w:rsidRPr="00236418">
        <w:rPr>
          <w:lang w:eastAsia="fr-FR"/>
        </w:rPr>
        <w:t>il existe un tel indice, la valeur nette de réalisation ou le coût de remplacement des stocks sont estimés et mises à jour</w:t>
      </w:r>
      <w:r w:rsidRPr="00236418">
        <w:t>.</w:t>
      </w:r>
    </w:p>
    <w:p w14:paraId="42F3FCC2" w14:textId="77777777" w:rsidR="00761B6C" w:rsidRPr="00236418" w:rsidRDefault="00761B6C" w:rsidP="00761B6C">
      <w:pPr>
        <w:rPr>
          <w:lang w:eastAsia="fr-FR"/>
        </w:rPr>
      </w:pPr>
      <w:r w:rsidRPr="00236418">
        <w:rPr>
          <w:lang w:eastAsia="fr-FR"/>
        </w:rPr>
        <w:t>Les publications et articles qui ne seront plus proposés à la vente ou destinés à la distribution gratuite verront leur valeur nette comptable réduite à zéro.</w:t>
      </w:r>
    </w:p>
    <w:p w14:paraId="2534819C" w14:textId="77777777" w:rsidR="00761B6C" w:rsidRPr="00144C9E" w:rsidRDefault="00761B6C" w:rsidP="00144C9E">
      <w:pPr>
        <w:pStyle w:val="Headingb"/>
        <w:rPr>
          <w:u w:val="single"/>
        </w:rPr>
      </w:pPr>
      <w:bookmarkStart w:id="990" w:name="_Toc269839071"/>
      <w:bookmarkStart w:id="991" w:name="_Toc329178770"/>
      <w:bookmarkStart w:id="992" w:name="_Toc329181743"/>
      <w:bookmarkStart w:id="993" w:name="_Toc329202558"/>
      <w:bookmarkStart w:id="994" w:name="_Toc329204990"/>
      <w:bookmarkStart w:id="995" w:name="_Toc329206827"/>
      <w:bookmarkStart w:id="996" w:name="_Toc358379913"/>
      <w:bookmarkStart w:id="997" w:name="_Toc358380453"/>
      <w:bookmarkStart w:id="998" w:name="_Toc387166635"/>
      <w:bookmarkStart w:id="999" w:name="_Toc395260920"/>
      <w:bookmarkStart w:id="1000" w:name="_Toc395511699"/>
      <w:bookmarkStart w:id="1001" w:name="_Toc452138612"/>
      <w:bookmarkStart w:id="1002" w:name="_Toc452139061"/>
      <w:bookmarkStart w:id="1003" w:name="_Toc452139425"/>
      <w:bookmarkStart w:id="1004" w:name="_Toc452139825"/>
      <w:bookmarkStart w:id="1005" w:name="_Toc452140692"/>
      <w:bookmarkStart w:id="1006" w:name="_Toc482801482"/>
      <w:bookmarkStart w:id="1007" w:name="_Toc511649452"/>
      <w:bookmarkStart w:id="1008" w:name="_Toc511649824"/>
      <w:bookmarkStart w:id="1009" w:name="_Toc511649938"/>
      <w:bookmarkStart w:id="1010" w:name="_Toc511651194"/>
      <w:bookmarkStart w:id="1011" w:name="_Toc511724059"/>
      <w:bookmarkStart w:id="1012" w:name="_Toc511739048"/>
      <w:bookmarkStart w:id="1013" w:name="_Toc511741217"/>
      <w:bookmarkStart w:id="1014" w:name="_Toc10450723"/>
      <w:bookmarkStart w:id="1015" w:name="_Toc41566325"/>
      <w:bookmarkStart w:id="1016" w:name="_Toc41567838"/>
      <w:bookmarkStart w:id="1017" w:name="_Toc73356394"/>
      <w:r w:rsidRPr="00144C9E">
        <w:rPr>
          <w:u w:val="single"/>
        </w:rPr>
        <w:t>Immobilisations corporelles</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6A5CFD0F" w14:textId="77777777" w:rsidR="00761B6C" w:rsidRPr="00236418" w:rsidRDefault="00761B6C" w:rsidP="00761B6C">
      <w:r w:rsidRPr="00236418">
        <w:t>Les immobilisations corporelles détenues par l</w:t>
      </w:r>
      <w:r>
        <w:t>'</w:t>
      </w:r>
      <w:r w:rsidRPr="00236418">
        <w:t>UIT sont évaluées à leur coût historique déduction faite du cumul des amortissements et des pertes de valeurs. Les bâtiments ont été comptabilisés dans l</w:t>
      </w:r>
      <w:r>
        <w:t>'</w:t>
      </w:r>
      <w:r w:rsidRPr="00236418">
        <w:t>état de la situation financière d</w:t>
      </w:r>
      <w:r>
        <w:t>'</w:t>
      </w:r>
      <w:r w:rsidRPr="00236418">
        <w:t>ouverture IPSAS au 1er janvier 2010 à leur valeur intrinsèque sur la base de l</w:t>
      </w:r>
      <w:r>
        <w:t>'</w:t>
      </w:r>
      <w:r w:rsidRPr="00236418">
        <w:t>étude menée par un cabinet externe. La valeur des bâtiments a été comptabilisée selon l</w:t>
      </w:r>
      <w:r>
        <w:t>'</w:t>
      </w:r>
      <w:r w:rsidRPr="00236418">
        <w:t>approche par composantes. Les terrains ne sont pas pris en compte dans le calcul de la valeur intrinsèque des bâtiments. Le droit de superficie concernant les terrains mis à disposition par l</w:t>
      </w:r>
      <w:r>
        <w:t>'</w:t>
      </w:r>
      <w:r w:rsidRPr="00236418">
        <w:t>État de Genève est sans charge pour l</w:t>
      </w:r>
      <w:r>
        <w:t>'</w:t>
      </w:r>
      <w:r w:rsidRPr="00236418">
        <w:t>Union.</w:t>
      </w:r>
    </w:p>
    <w:p w14:paraId="0C651BEB" w14:textId="77777777" w:rsidR="00761B6C" w:rsidRPr="00236418" w:rsidRDefault="00761B6C" w:rsidP="00761B6C">
      <w:r w:rsidRPr="00236418">
        <w:t>Les donations en nature sont valorisées à la juste valeur estimée à la date de réception des biens mobiliers. La reconnaissance des revenus liés à des donations en espèces destinées à la création ou à l</w:t>
      </w:r>
      <w:r>
        <w:t>'</w:t>
      </w:r>
      <w:r w:rsidRPr="00236418">
        <w:t>achat d</w:t>
      </w:r>
      <w:r>
        <w:t>'</w:t>
      </w:r>
      <w:r w:rsidRPr="00236418">
        <w:t>une immobilisation spécifique est étalée sur une durée égale à la dépréciation de l</w:t>
      </w:r>
      <w:r>
        <w:t>'</w:t>
      </w:r>
      <w:r w:rsidRPr="00236418">
        <w:t>immobilisation concernée à partir de la date de mise en service.</w:t>
      </w:r>
    </w:p>
    <w:p w14:paraId="1DECB654" w14:textId="77777777" w:rsidR="00761B6C" w:rsidRPr="00236418" w:rsidRDefault="00761B6C" w:rsidP="00761B6C">
      <w:pPr>
        <w:rPr>
          <w:b/>
          <w:bCs/>
        </w:rPr>
      </w:pPr>
      <w:r w:rsidRPr="00236418">
        <w:rPr>
          <w:bCs/>
        </w:rPr>
        <w:t>Les biens d</w:t>
      </w:r>
      <w:r>
        <w:rPr>
          <w:bCs/>
        </w:rPr>
        <w:t>'</w:t>
      </w:r>
      <w:r w:rsidRPr="00236418">
        <w:rPr>
          <w:bCs/>
        </w:rPr>
        <w:t>une valeur égale ou supérieure à 5</w:t>
      </w:r>
      <w:r w:rsidRPr="00236418">
        <w:t> 000</w:t>
      </w:r>
      <w:r w:rsidRPr="00236418">
        <w:rPr>
          <w:bCs/>
        </w:rPr>
        <w:t> CHF sont capitalisés au moment de la réception du bien et amortis linéairement par la suite.</w:t>
      </w:r>
    </w:p>
    <w:p w14:paraId="1D1B7196" w14:textId="77777777" w:rsidR="00761B6C" w:rsidRPr="00236418" w:rsidRDefault="00761B6C" w:rsidP="00761B6C">
      <w:pPr>
        <w:rPr>
          <w:b/>
          <w:bCs/>
        </w:rPr>
      </w:pPr>
      <w:r w:rsidRPr="00236418">
        <w:rPr>
          <w:bCs/>
        </w:rPr>
        <w:t>Les biens d</w:t>
      </w:r>
      <w:r>
        <w:rPr>
          <w:bCs/>
        </w:rPr>
        <w:t>'</w:t>
      </w:r>
      <w:r w:rsidRPr="00236418">
        <w:rPr>
          <w:bCs/>
        </w:rPr>
        <w:t>un coût inférieur à 5 000 CHF (biens de faible valeur) sont capitalisés lors du mois de leur acquisition et entièrement comptabilisés en tant que dépenses dans l</w:t>
      </w:r>
      <w:r>
        <w:rPr>
          <w:bCs/>
        </w:rPr>
        <w:t>'</w:t>
      </w:r>
      <w:r w:rsidRPr="00236418">
        <w:rPr>
          <w:bCs/>
        </w:rPr>
        <w:t>état de la performance financière à la clôture mensuelle suivant l</w:t>
      </w:r>
      <w:r>
        <w:rPr>
          <w:bCs/>
        </w:rPr>
        <w:t>'</w:t>
      </w:r>
      <w:r w:rsidRPr="00236418">
        <w:rPr>
          <w:bCs/>
        </w:rPr>
        <w:t>acquisition.</w:t>
      </w:r>
    </w:p>
    <w:p w14:paraId="40E13C64" w14:textId="77777777" w:rsidR="00761B6C" w:rsidRPr="00236418" w:rsidRDefault="00761B6C" w:rsidP="00761B6C">
      <w:pPr>
        <w:rPr>
          <w:b/>
          <w:bCs/>
        </w:rPr>
      </w:pPr>
      <w:r w:rsidRPr="00236418">
        <w:rPr>
          <w:bCs/>
        </w:rPr>
        <w:t>Les immobilisations corporelles acquises dans le cadre des projets menés par les activités extrabudgétaires (notamment les Projets du Programme des Nations Unies pour le développement, les projets d</w:t>
      </w:r>
      <w:r>
        <w:rPr>
          <w:bCs/>
        </w:rPr>
        <w:t>'</w:t>
      </w:r>
      <w:r w:rsidRPr="00236418">
        <w:rPr>
          <w:bCs/>
        </w:rPr>
        <w:t>exécution nationales et les contributions volontaires) sont entièrement comptabilisées en tant que dépenses dans l</w:t>
      </w:r>
      <w:r>
        <w:rPr>
          <w:bCs/>
        </w:rPr>
        <w:t>'</w:t>
      </w:r>
      <w:r w:rsidRPr="00236418">
        <w:rPr>
          <w:bCs/>
        </w:rPr>
        <w:t>état de la performance financière à la clôture mensuelle suivant l</w:t>
      </w:r>
      <w:r>
        <w:rPr>
          <w:bCs/>
        </w:rPr>
        <w:t>'</w:t>
      </w:r>
      <w:r w:rsidRPr="00236418">
        <w:rPr>
          <w:bCs/>
        </w:rPr>
        <w:t>acquisition.</w:t>
      </w:r>
    </w:p>
    <w:p w14:paraId="4C5A66E2" w14:textId="77777777" w:rsidR="00926C1D" w:rsidRDefault="00926C1D" w:rsidP="00761B6C">
      <w:r>
        <w:br w:type="page"/>
      </w:r>
    </w:p>
    <w:p w14:paraId="1BD6AB50" w14:textId="61992CD9" w:rsidR="00761B6C" w:rsidRPr="00236418" w:rsidRDefault="00761B6C" w:rsidP="00761B6C">
      <w:r w:rsidRPr="00236418">
        <w:lastRenderedPageBreak/>
        <w:t>Les coûts ultérieurs liés aux immobilisations sont capitalisés et amortis lorsqu</w:t>
      </w:r>
      <w:r>
        <w:t>'</w:t>
      </w:r>
      <w:r w:rsidRPr="00236418">
        <w:t>ils entraînent une augmentation du potentiel de service lié à l</w:t>
      </w:r>
      <w:r>
        <w:t>'</w:t>
      </w:r>
      <w:r w:rsidRPr="00236418">
        <w:t>utilisation de l</w:t>
      </w:r>
      <w:r>
        <w:t>'</w:t>
      </w:r>
      <w:r w:rsidRPr="00236418">
        <w:t>immobilisation et ne concernent pas des coûts de maintenance ou de réparation de l</w:t>
      </w:r>
      <w:r>
        <w:t>'</w:t>
      </w:r>
      <w:r w:rsidRPr="00236418">
        <w:t>immobilisation concernée. Ces derniers sont comptabilisés dans l</w:t>
      </w:r>
      <w:r>
        <w:t>'</w:t>
      </w:r>
      <w:r w:rsidRPr="00236418">
        <w:t>état de la performance financière.</w:t>
      </w:r>
    </w:p>
    <w:p w14:paraId="1576CD85" w14:textId="77777777" w:rsidR="00761B6C" w:rsidRPr="00236418" w:rsidRDefault="00761B6C" w:rsidP="00761B6C">
      <w:pPr>
        <w:keepNext/>
        <w:keepLines/>
      </w:pPr>
      <w:r w:rsidRPr="00236418">
        <w:t>Lorsqu</w:t>
      </w:r>
      <w:r>
        <w:t>'</w:t>
      </w:r>
      <w:r w:rsidRPr="00236418">
        <w:t>une immobilisation se compose de plusieurs éléments significatifs ayant des durées d</w:t>
      </w:r>
      <w:r>
        <w:t>'</w:t>
      </w:r>
      <w:r w:rsidRPr="00236418">
        <w:t>utilité différentes, chaque élément est comptabilisé séparément. Les amortissements sont effectués de manière linéaire selon la durée d</w:t>
      </w:r>
      <w:r>
        <w:t>'</w:t>
      </w:r>
      <w:r w:rsidRPr="00236418">
        <w:t>utilité estimée de chaque objet, compte tenu d</w:t>
      </w:r>
      <w:r>
        <w:t>'</w:t>
      </w:r>
      <w:r w:rsidRPr="00236418">
        <w:t>une durée résiduelle finale, s</w:t>
      </w:r>
      <w:r>
        <w:t>'</w:t>
      </w:r>
      <w:r w:rsidRPr="00236418">
        <w:t>il y a lieu. Les valeurs résiduelles, durées d</w:t>
      </w:r>
      <w:r>
        <w:t>'</w:t>
      </w:r>
      <w:r w:rsidRPr="00236418">
        <w:t>utilité et modes d</w:t>
      </w:r>
      <w:r>
        <w:t>'</w:t>
      </w:r>
      <w:r w:rsidRPr="00236418">
        <w:t>amortissement des actifs sont revus, et modifiés si nécessaire, à chaque clôture annuelle.</w:t>
      </w:r>
    </w:p>
    <w:p w14:paraId="09B7164D" w14:textId="77777777" w:rsidR="00761B6C" w:rsidRPr="00AE2C91" w:rsidRDefault="00761B6C" w:rsidP="00761B6C">
      <w:pPr>
        <w:jc w:val="both"/>
      </w:pPr>
      <w:bookmarkStart w:id="1018" w:name="_Hlk72934618"/>
      <w:r w:rsidRPr="001C5AF3">
        <w:t>Au 1er janvier 2020, la n</w:t>
      </w:r>
      <w:r>
        <w:t xml:space="preserve">ouvelle durée d'utilité a été appliquée pour les actifs liés aux bâtiments, conformément aux pratiques de l'ONU, afin de donner suite à la recommandation 02/2015 du Vérificateur extérieur des comptes. </w:t>
      </w:r>
      <w:r w:rsidRPr="00AE2C91">
        <w:t>Il a été procédé aux ajustements de la valeur com</w:t>
      </w:r>
      <w:r>
        <w:t>ptable nette</w:t>
      </w:r>
      <w:r w:rsidRPr="00AE2C91">
        <w:t>.</w:t>
      </w:r>
    </w:p>
    <w:p w14:paraId="4FDF372D" w14:textId="77777777" w:rsidR="00761B6C" w:rsidRPr="0044662E" w:rsidRDefault="00761B6C" w:rsidP="00761B6C">
      <w:pPr>
        <w:keepNext/>
        <w:keepLines/>
        <w:spacing w:after="120"/>
      </w:pPr>
      <w:r w:rsidRPr="00AE2C91">
        <w:t xml:space="preserve">Le tableau ci-dessous </w:t>
      </w:r>
      <w:r>
        <w:t xml:space="preserve">illustre la durée d'utilité effective des actifs </w:t>
      </w:r>
      <w:r w:rsidRPr="008F1979">
        <w:t>pour l</w:t>
      </w:r>
      <w:r>
        <w:t>'</w:t>
      </w:r>
      <w:r w:rsidRPr="008F1979">
        <w:t xml:space="preserve">exercice 2020, avant </w:t>
      </w:r>
      <w:r>
        <w:t xml:space="preserve">et après </w:t>
      </w:r>
      <w:r w:rsidRPr="008F1979">
        <w:t>ajustement.</w:t>
      </w:r>
    </w:p>
    <w:tbl>
      <w:tblPr>
        <w:tblStyle w:val="TableGrid"/>
        <w:tblW w:w="10201" w:type="dxa"/>
        <w:tblLayout w:type="fixed"/>
        <w:tblLook w:val="04A0" w:firstRow="1" w:lastRow="0" w:firstColumn="1" w:lastColumn="0" w:noHBand="0" w:noVBand="1"/>
      </w:tblPr>
      <w:tblGrid>
        <w:gridCol w:w="4957"/>
        <w:gridCol w:w="2622"/>
        <w:gridCol w:w="2622"/>
      </w:tblGrid>
      <w:tr w:rsidR="00761B6C" w:rsidRPr="00236418" w14:paraId="1C8F288E" w14:textId="77777777" w:rsidTr="00926C1D">
        <w:tc>
          <w:tcPr>
            <w:tcW w:w="4957" w:type="dxa"/>
            <w:vAlign w:val="center"/>
          </w:tcPr>
          <w:bookmarkEnd w:id="1018"/>
          <w:p w14:paraId="4154A3D2" w14:textId="77777777" w:rsidR="00761B6C" w:rsidRPr="00236418" w:rsidRDefault="00761B6C" w:rsidP="00761B6C">
            <w:pPr>
              <w:pStyle w:val="TableHead0"/>
              <w:keepNext w:val="0"/>
              <w:tabs>
                <w:tab w:val="center" w:pos="2724"/>
                <w:tab w:val="right" w:pos="5449"/>
              </w:tabs>
              <w:spacing w:before="120" w:after="120"/>
              <w:rPr>
                <w:rFonts w:asciiTheme="minorHAnsi" w:hAnsiTheme="minorHAnsi" w:cstheme="minorHAnsi"/>
              </w:rPr>
            </w:pPr>
            <w:r w:rsidRPr="00236418">
              <w:rPr>
                <w:rFonts w:asciiTheme="minorHAnsi" w:hAnsiTheme="minorHAnsi" w:cstheme="minorHAnsi"/>
              </w:rPr>
              <w:t>Catégories et sous-catégories d</w:t>
            </w:r>
            <w:r>
              <w:rPr>
                <w:rFonts w:asciiTheme="minorHAnsi" w:hAnsiTheme="minorHAnsi" w:cstheme="minorHAnsi"/>
              </w:rPr>
              <w:t>'</w:t>
            </w:r>
            <w:r w:rsidRPr="00236418">
              <w:rPr>
                <w:rFonts w:asciiTheme="minorHAnsi" w:hAnsiTheme="minorHAnsi" w:cstheme="minorHAnsi"/>
              </w:rPr>
              <w:t>actifs</w:t>
            </w:r>
          </w:p>
        </w:tc>
        <w:tc>
          <w:tcPr>
            <w:tcW w:w="2622" w:type="dxa"/>
            <w:vAlign w:val="center"/>
          </w:tcPr>
          <w:p w14:paraId="671D8D66" w14:textId="77777777" w:rsidR="00761B6C" w:rsidRPr="00236418" w:rsidRDefault="00761B6C" w:rsidP="00761B6C">
            <w:pPr>
              <w:pStyle w:val="TableHead0"/>
              <w:keepNext w:val="0"/>
              <w:spacing w:before="120" w:after="120"/>
              <w:rPr>
                <w:rFonts w:asciiTheme="minorHAnsi" w:hAnsiTheme="minorHAnsi" w:cstheme="minorHAnsi"/>
              </w:rPr>
            </w:pPr>
            <w:r>
              <w:rPr>
                <w:rFonts w:asciiTheme="minorHAnsi" w:hAnsiTheme="minorHAnsi" w:cstheme="minorHAnsi"/>
              </w:rPr>
              <w:t>Ancienne d</w:t>
            </w:r>
            <w:r w:rsidRPr="00236418">
              <w:rPr>
                <w:rFonts w:asciiTheme="minorHAnsi" w:hAnsiTheme="minorHAnsi" w:cstheme="minorHAnsi"/>
              </w:rPr>
              <w:t>urée d</w:t>
            </w:r>
            <w:r>
              <w:rPr>
                <w:rFonts w:asciiTheme="minorHAnsi" w:hAnsiTheme="minorHAnsi" w:cstheme="minorHAnsi"/>
              </w:rPr>
              <w:t>'</w:t>
            </w:r>
            <w:r w:rsidRPr="00236418">
              <w:rPr>
                <w:rFonts w:asciiTheme="minorHAnsi" w:hAnsiTheme="minorHAnsi" w:cstheme="minorHAnsi"/>
              </w:rPr>
              <w:t>utilité estimée (en années)</w:t>
            </w:r>
            <w:r>
              <w:rPr>
                <w:rFonts w:asciiTheme="minorHAnsi" w:hAnsiTheme="minorHAnsi" w:cstheme="minorHAnsi"/>
              </w:rPr>
              <w:br/>
              <w:t>A</w:t>
            </w:r>
            <w:r w:rsidRPr="007F13C1">
              <w:rPr>
                <w:rFonts w:asciiTheme="minorHAnsi" w:hAnsiTheme="minorHAnsi" w:cstheme="minorHAnsi"/>
              </w:rPr>
              <w:t>u 31 décembre 2019</w:t>
            </w:r>
          </w:p>
        </w:tc>
        <w:tc>
          <w:tcPr>
            <w:tcW w:w="2622" w:type="dxa"/>
            <w:vAlign w:val="center"/>
          </w:tcPr>
          <w:p w14:paraId="73C66149" w14:textId="77777777" w:rsidR="00761B6C" w:rsidRPr="00236418" w:rsidRDefault="00761B6C" w:rsidP="00761B6C">
            <w:pPr>
              <w:pStyle w:val="Tablehead"/>
              <w:rPr>
                <w:rFonts w:asciiTheme="minorHAnsi" w:hAnsiTheme="minorHAnsi" w:cstheme="minorHAnsi"/>
              </w:rPr>
            </w:pPr>
            <w:r w:rsidRPr="00AE2C91">
              <w:t>Nouvelle durée d</w:t>
            </w:r>
            <w:r>
              <w:t>'</w:t>
            </w:r>
            <w:r w:rsidRPr="00AE2C91">
              <w:t>utilité estimée</w:t>
            </w:r>
            <w:r>
              <w:t xml:space="preserve"> (en années)</w:t>
            </w:r>
            <w:r>
              <w:br/>
              <w:t>Au 1</w:t>
            </w:r>
            <w:r w:rsidRPr="007F13C1">
              <w:t xml:space="preserve">er </w:t>
            </w:r>
            <w:r>
              <w:t xml:space="preserve">janvier </w:t>
            </w:r>
            <w:r w:rsidRPr="00D162AD">
              <w:t>2020</w:t>
            </w:r>
          </w:p>
        </w:tc>
      </w:tr>
      <w:tr w:rsidR="00761B6C" w:rsidRPr="00236418" w14:paraId="0AB1DEF1" w14:textId="77777777" w:rsidTr="00926C1D">
        <w:tc>
          <w:tcPr>
            <w:tcW w:w="4957" w:type="dxa"/>
          </w:tcPr>
          <w:p w14:paraId="09EFAB58" w14:textId="77777777" w:rsidR="00761B6C" w:rsidRPr="00236418" w:rsidRDefault="00761B6C" w:rsidP="00761B6C">
            <w:pPr>
              <w:pStyle w:val="TableText0"/>
              <w:rPr>
                <w:rFonts w:asciiTheme="minorHAnsi" w:hAnsiTheme="minorHAnsi" w:cstheme="minorHAnsi"/>
              </w:rPr>
            </w:pPr>
            <w:r w:rsidRPr="00236418">
              <w:rPr>
                <w:rFonts w:asciiTheme="minorHAnsi" w:hAnsiTheme="minorHAnsi" w:cstheme="minorHAnsi"/>
              </w:rPr>
              <w:t>Bâtiments</w:t>
            </w:r>
          </w:p>
        </w:tc>
        <w:tc>
          <w:tcPr>
            <w:tcW w:w="2622" w:type="dxa"/>
          </w:tcPr>
          <w:p w14:paraId="4A8CF45C" w14:textId="77777777" w:rsidR="00761B6C" w:rsidRPr="00236418" w:rsidRDefault="00761B6C" w:rsidP="00761B6C">
            <w:pPr>
              <w:pStyle w:val="TableText0"/>
              <w:rPr>
                <w:rFonts w:asciiTheme="minorHAnsi" w:hAnsiTheme="minorHAnsi" w:cstheme="minorHAnsi"/>
              </w:rPr>
            </w:pPr>
          </w:p>
        </w:tc>
        <w:tc>
          <w:tcPr>
            <w:tcW w:w="2622" w:type="dxa"/>
          </w:tcPr>
          <w:p w14:paraId="1C873967" w14:textId="77777777" w:rsidR="00761B6C" w:rsidRPr="00236418" w:rsidRDefault="00761B6C" w:rsidP="00761B6C">
            <w:pPr>
              <w:pStyle w:val="TableText0"/>
              <w:rPr>
                <w:rFonts w:asciiTheme="minorHAnsi" w:hAnsiTheme="minorHAnsi" w:cstheme="minorHAnsi"/>
              </w:rPr>
            </w:pPr>
          </w:p>
        </w:tc>
      </w:tr>
      <w:tr w:rsidR="00761B6C" w:rsidRPr="00236418" w14:paraId="3F91C857" w14:textId="77777777" w:rsidTr="00926C1D">
        <w:tc>
          <w:tcPr>
            <w:tcW w:w="4957" w:type="dxa"/>
          </w:tcPr>
          <w:p w14:paraId="64C271B4" w14:textId="77777777" w:rsidR="00761B6C" w:rsidRPr="00236418" w:rsidRDefault="00761B6C" w:rsidP="00761B6C">
            <w:pPr>
              <w:pStyle w:val="TableText0"/>
              <w:ind w:firstLine="284"/>
              <w:rPr>
                <w:rFonts w:asciiTheme="minorHAnsi" w:hAnsiTheme="minorHAnsi" w:cstheme="minorHAnsi"/>
              </w:rPr>
            </w:pPr>
            <w:r w:rsidRPr="00236418">
              <w:rPr>
                <w:rFonts w:asciiTheme="minorHAnsi" w:hAnsiTheme="minorHAnsi" w:cstheme="minorHAnsi"/>
              </w:rPr>
              <w:t>Structure</w:t>
            </w:r>
          </w:p>
        </w:tc>
        <w:tc>
          <w:tcPr>
            <w:tcW w:w="2622" w:type="dxa"/>
          </w:tcPr>
          <w:p w14:paraId="12910266"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100</w:t>
            </w:r>
          </w:p>
        </w:tc>
        <w:tc>
          <w:tcPr>
            <w:tcW w:w="2622" w:type="dxa"/>
          </w:tcPr>
          <w:p w14:paraId="6015CE22"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Pr>
                <w:szCs w:val="18"/>
                <w:lang w:val="en-US" w:eastAsia="fr-FR"/>
              </w:rPr>
              <w:t>60</w:t>
            </w:r>
          </w:p>
        </w:tc>
      </w:tr>
      <w:tr w:rsidR="00761B6C" w:rsidRPr="00236418" w14:paraId="71C62470" w14:textId="77777777" w:rsidTr="00926C1D">
        <w:tc>
          <w:tcPr>
            <w:tcW w:w="4957" w:type="dxa"/>
          </w:tcPr>
          <w:p w14:paraId="56BF9137" w14:textId="77777777" w:rsidR="00761B6C" w:rsidRPr="00236418" w:rsidRDefault="00761B6C" w:rsidP="00761B6C">
            <w:pPr>
              <w:pStyle w:val="TableText0"/>
              <w:ind w:firstLine="284"/>
              <w:rPr>
                <w:rFonts w:asciiTheme="minorHAnsi" w:hAnsiTheme="minorHAnsi" w:cstheme="minorHAnsi"/>
              </w:rPr>
            </w:pPr>
            <w:r w:rsidRPr="00236418">
              <w:rPr>
                <w:rFonts w:asciiTheme="minorHAnsi" w:hAnsiTheme="minorHAnsi" w:cstheme="minorHAnsi"/>
              </w:rPr>
              <w:t>Enveloppe (toiture plate, isolation, étanchéité...)</w:t>
            </w:r>
          </w:p>
        </w:tc>
        <w:tc>
          <w:tcPr>
            <w:tcW w:w="2622" w:type="dxa"/>
          </w:tcPr>
          <w:p w14:paraId="0E32BC22"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60</w:t>
            </w:r>
          </w:p>
        </w:tc>
        <w:tc>
          <w:tcPr>
            <w:tcW w:w="2622" w:type="dxa"/>
          </w:tcPr>
          <w:p w14:paraId="4B680CF6"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Pr>
                <w:szCs w:val="18"/>
                <w:lang w:val="en-US" w:eastAsia="fr-FR"/>
              </w:rPr>
              <w:t>40</w:t>
            </w:r>
          </w:p>
        </w:tc>
      </w:tr>
      <w:tr w:rsidR="00761B6C" w:rsidRPr="00236418" w14:paraId="2265CED7" w14:textId="77777777" w:rsidTr="00926C1D">
        <w:tc>
          <w:tcPr>
            <w:tcW w:w="4957" w:type="dxa"/>
          </w:tcPr>
          <w:p w14:paraId="5970CC2E" w14:textId="77777777" w:rsidR="00761B6C" w:rsidRPr="00236418" w:rsidRDefault="00761B6C" w:rsidP="00761B6C">
            <w:pPr>
              <w:pStyle w:val="TableText0"/>
              <w:ind w:left="284"/>
              <w:rPr>
                <w:rFonts w:asciiTheme="minorHAnsi" w:hAnsiTheme="minorHAnsi" w:cstheme="minorHAnsi"/>
              </w:rPr>
            </w:pPr>
            <w:r w:rsidRPr="00236418">
              <w:rPr>
                <w:rFonts w:asciiTheme="minorHAnsi" w:hAnsiTheme="minorHAnsi" w:cstheme="minorHAnsi"/>
              </w:rPr>
              <w:t>Enveloppe (façades métalliques, vitrages aluminium...)</w:t>
            </w:r>
          </w:p>
        </w:tc>
        <w:tc>
          <w:tcPr>
            <w:tcW w:w="2622" w:type="dxa"/>
          </w:tcPr>
          <w:p w14:paraId="5755E557"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50</w:t>
            </w:r>
          </w:p>
        </w:tc>
        <w:tc>
          <w:tcPr>
            <w:tcW w:w="2622" w:type="dxa"/>
          </w:tcPr>
          <w:p w14:paraId="154C1246"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Pr>
                <w:szCs w:val="18"/>
                <w:lang w:val="en-US" w:eastAsia="fr-FR"/>
              </w:rPr>
              <w:t>40</w:t>
            </w:r>
          </w:p>
        </w:tc>
      </w:tr>
      <w:tr w:rsidR="00761B6C" w:rsidRPr="00236418" w14:paraId="17B50643" w14:textId="77777777" w:rsidTr="00926C1D">
        <w:tc>
          <w:tcPr>
            <w:tcW w:w="4957" w:type="dxa"/>
          </w:tcPr>
          <w:p w14:paraId="36BCC58E" w14:textId="77777777" w:rsidR="00761B6C" w:rsidRPr="00236418" w:rsidRDefault="00761B6C" w:rsidP="00761B6C">
            <w:pPr>
              <w:pStyle w:val="TableText0"/>
              <w:ind w:left="284"/>
              <w:rPr>
                <w:rFonts w:asciiTheme="minorHAnsi" w:hAnsiTheme="minorHAnsi" w:cstheme="minorHAnsi"/>
              </w:rPr>
            </w:pPr>
            <w:r w:rsidRPr="00236418">
              <w:rPr>
                <w:rFonts w:asciiTheme="minorHAnsi" w:hAnsiTheme="minorHAnsi" w:cstheme="minorHAnsi"/>
              </w:rPr>
              <w:t>Aménagements intérieurs (faux-planchers, partitions...)</w:t>
            </w:r>
          </w:p>
        </w:tc>
        <w:tc>
          <w:tcPr>
            <w:tcW w:w="2622" w:type="dxa"/>
          </w:tcPr>
          <w:p w14:paraId="02F39BF3"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50</w:t>
            </w:r>
          </w:p>
        </w:tc>
        <w:tc>
          <w:tcPr>
            <w:tcW w:w="2622" w:type="dxa"/>
          </w:tcPr>
          <w:p w14:paraId="56B27811"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Pr>
                <w:szCs w:val="18"/>
                <w:lang w:val="en-US" w:eastAsia="fr-FR"/>
              </w:rPr>
              <w:t>25</w:t>
            </w:r>
          </w:p>
        </w:tc>
      </w:tr>
      <w:tr w:rsidR="00761B6C" w:rsidRPr="00236418" w14:paraId="3D6C04CE" w14:textId="77777777" w:rsidTr="00926C1D">
        <w:tc>
          <w:tcPr>
            <w:tcW w:w="4957" w:type="dxa"/>
          </w:tcPr>
          <w:p w14:paraId="16BDF9E8" w14:textId="36810046" w:rsidR="00761B6C" w:rsidRPr="00236418" w:rsidRDefault="00761B6C" w:rsidP="00926C1D">
            <w:pPr>
              <w:pStyle w:val="TableText0"/>
              <w:ind w:left="284"/>
              <w:rPr>
                <w:rFonts w:asciiTheme="minorHAnsi" w:hAnsiTheme="minorHAnsi" w:cstheme="minorHAnsi"/>
              </w:rPr>
            </w:pPr>
            <w:r w:rsidRPr="00236418">
              <w:rPr>
                <w:rFonts w:asciiTheme="minorHAnsi" w:hAnsiTheme="minorHAnsi" w:cstheme="minorHAnsi"/>
              </w:rPr>
              <w:t>Aménagements intérieurs (revêtements sols, murs</w:t>
            </w:r>
            <w:r w:rsidR="00926C1D">
              <w:rPr>
                <w:rFonts w:asciiTheme="minorHAnsi" w:hAnsiTheme="minorHAnsi" w:cstheme="minorHAnsi"/>
              </w:rPr>
              <w:t xml:space="preserve"> </w:t>
            </w:r>
            <w:r w:rsidRPr="00236418">
              <w:rPr>
                <w:rFonts w:asciiTheme="minorHAnsi" w:hAnsiTheme="minorHAnsi" w:cstheme="minorHAnsi"/>
              </w:rPr>
              <w:t>et plafonds...)</w:t>
            </w:r>
          </w:p>
        </w:tc>
        <w:tc>
          <w:tcPr>
            <w:tcW w:w="2622" w:type="dxa"/>
          </w:tcPr>
          <w:p w14:paraId="1128EA4A"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c>
          <w:tcPr>
            <w:tcW w:w="2622" w:type="dxa"/>
          </w:tcPr>
          <w:p w14:paraId="69B0C46A"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Pr>
                <w:szCs w:val="18"/>
                <w:lang w:val="en-US" w:eastAsia="fr-FR"/>
              </w:rPr>
              <w:t>25</w:t>
            </w:r>
          </w:p>
        </w:tc>
      </w:tr>
      <w:tr w:rsidR="00761B6C" w:rsidRPr="00236418" w14:paraId="5452C1D6" w14:textId="77777777" w:rsidTr="00926C1D">
        <w:tc>
          <w:tcPr>
            <w:tcW w:w="4957" w:type="dxa"/>
          </w:tcPr>
          <w:p w14:paraId="740114B2" w14:textId="77777777" w:rsidR="00761B6C" w:rsidRPr="00236418" w:rsidRDefault="00761B6C" w:rsidP="00761B6C">
            <w:pPr>
              <w:pStyle w:val="TableText0"/>
              <w:ind w:firstLine="284"/>
              <w:rPr>
                <w:rFonts w:asciiTheme="minorHAnsi" w:hAnsiTheme="minorHAnsi" w:cstheme="minorHAnsi"/>
              </w:rPr>
            </w:pPr>
            <w:r w:rsidRPr="00236418">
              <w:rPr>
                <w:rFonts w:asciiTheme="minorHAnsi" w:hAnsiTheme="minorHAnsi" w:cstheme="minorHAnsi"/>
              </w:rPr>
              <w:t>Équipements spéciaux</w:t>
            </w:r>
          </w:p>
        </w:tc>
        <w:tc>
          <w:tcPr>
            <w:tcW w:w="2622" w:type="dxa"/>
          </w:tcPr>
          <w:p w14:paraId="6883E3E7"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c>
          <w:tcPr>
            <w:tcW w:w="2622" w:type="dxa"/>
          </w:tcPr>
          <w:p w14:paraId="26CAFCD8"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Pr>
                <w:szCs w:val="18"/>
                <w:lang w:val="en-US" w:eastAsia="fr-FR"/>
              </w:rPr>
              <w:t>25</w:t>
            </w:r>
          </w:p>
        </w:tc>
      </w:tr>
      <w:tr w:rsidR="00761B6C" w:rsidRPr="00236418" w14:paraId="03869919" w14:textId="77777777" w:rsidTr="00926C1D">
        <w:tc>
          <w:tcPr>
            <w:tcW w:w="4957" w:type="dxa"/>
          </w:tcPr>
          <w:p w14:paraId="05E300A5" w14:textId="77777777" w:rsidR="00761B6C" w:rsidRPr="00236418" w:rsidRDefault="00761B6C" w:rsidP="00761B6C">
            <w:pPr>
              <w:pStyle w:val="TableText0"/>
              <w:ind w:firstLine="284"/>
              <w:rPr>
                <w:rFonts w:asciiTheme="minorHAnsi" w:hAnsiTheme="minorHAnsi" w:cstheme="minorHAnsi"/>
              </w:rPr>
            </w:pPr>
            <w:r w:rsidRPr="00236418">
              <w:rPr>
                <w:rFonts w:asciiTheme="minorHAnsi" w:hAnsiTheme="minorHAnsi" w:cstheme="minorHAnsi"/>
              </w:rPr>
              <w:t>Installations techniques (électricité)</w:t>
            </w:r>
          </w:p>
        </w:tc>
        <w:tc>
          <w:tcPr>
            <w:tcW w:w="2622" w:type="dxa"/>
          </w:tcPr>
          <w:p w14:paraId="709C5B82"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50</w:t>
            </w:r>
          </w:p>
        </w:tc>
        <w:tc>
          <w:tcPr>
            <w:tcW w:w="2622" w:type="dxa"/>
          </w:tcPr>
          <w:p w14:paraId="396F7274"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EE08C2">
              <w:rPr>
                <w:szCs w:val="18"/>
                <w:lang w:val="en-US" w:eastAsia="fr-FR"/>
              </w:rPr>
              <w:t>50</w:t>
            </w:r>
          </w:p>
        </w:tc>
      </w:tr>
      <w:tr w:rsidR="00761B6C" w:rsidRPr="00236418" w14:paraId="7ED91A25" w14:textId="77777777" w:rsidTr="00926C1D">
        <w:tc>
          <w:tcPr>
            <w:tcW w:w="4957" w:type="dxa"/>
          </w:tcPr>
          <w:p w14:paraId="5DABF619" w14:textId="77777777" w:rsidR="00761B6C" w:rsidRPr="00236418" w:rsidRDefault="00761B6C" w:rsidP="00761B6C">
            <w:pPr>
              <w:pStyle w:val="TableText0"/>
              <w:ind w:firstLine="284"/>
              <w:rPr>
                <w:rFonts w:asciiTheme="minorHAnsi" w:hAnsiTheme="minorHAnsi" w:cstheme="minorHAnsi"/>
              </w:rPr>
            </w:pPr>
            <w:r w:rsidRPr="00236418">
              <w:rPr>
                <w:rFonts w:asciiTheme="minorHAnsi" w:hAnsiTheme="minorHAnsi" w:cstheme="minorHAnsi"/>
              </w:rPr>
              <w:t>Installations techniques (sanitaires)</w:t>
            </w:r>
          </w:p>
        </w:tc>
        <w:tc>
          <w:tcPr>
            <w:tcW w:w="2622" w:type="dxa"/>
          </w:tcPr>
          <w:p w14:paraId="290D08C1"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c>
          <w:tcPr>
            <w:tcW w:w="2622" w:type="dxa"/>
          </w:tcPr>
          <w:p w14:paraId="7415AEA0"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EE08C2">
              <w:rPr>
                <w:szCs w:val="18"/>
                <w:lang w:val="en-US" w:eastAsia="fr-FR"/>
              </w:rPr>
              <w:t>40</w:t>
            </w:r>
          </w:p>
        </w:tc>
      </w:tr>
      <w:tr w:rsidR="00761B6C" w:rsidRPr="00236418" w14:paraId="6E30444B" w14:textId="77777777" w:rsidTr="00926C1D">
        <w:tc>
          <w:tcPr>
            <w:tcW w:w="4957" w:type="dxa"/>
          </w:tcPr>
          <w:p w14:paraId="69CCFE8A" w14:textId="77777777" w:rsidR="00761B6C" w:rsidRPr="00236418" w:rsidRDefault="00761B6C" w:rsidP="00761B6C">
            <w:pPr>
              <w:pStyle w:val="TableText0"/>
              <w:ind w:firstLine="284"/>
              <w:rPr>
                <w:rFonts w:asciiTheme="minorHAnsi" w:hAnsiTheme="minorHAnsi" w:cstheme="minorHAnsi"/>
              </w:rPr>
            </w:pPr>
            <w:r w:rsidRPr="00236418">
              <w:rPr>
                <w:rFonts w:asciiTheme="minorHAnsi" w:hAnsiTheme="minorHAnsi" w:cstheme="minorHAnsi"/>
              </w:rPr>
              <w:t>Installations techniques (chauffage, ventilation)</w:t>
            </w:r>
          </w:p>
        </w:tc>
        <w:tc>
          <w:tcPr>
            <w:tcW w:w="2622" w:type="dxa"/>
          </w:tcPr>
          <w:p w14:paraId="784DF322"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30</w:t>
            </w:r>
          </w:p>
        </w:tc>
        <w:tc>
          <w:tcPr>
            <w:tcW w:w="2622" w:type="dxa"/>
          </w:tcPr>
          <w:p w14:paraId="61755AFB"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EE08C2">
              <w:rPr>
                <w:szCs w:val="18"/>
                <w:lang w:val="en-US" w:eastAsia="fr-FR"/>
              </w:rPr>
              <w:t>30</w:t>
            </w:r>
          </w:p>
        </w:tc>
      </w:tr>
      <w:tr w:rsidR="00761B6C" w:rsidRPr="00236418" w14:paraId="732644D7" w14:textId="77777777" w:rsidTr="00926C1D">
        <w:tc>
          <w:tcPr>
            <w:tcW w:w="4957" w:type="dxa"/>
          </w:tcPr>
          <w:p w14:paraId="4CB8EDC7" w14:textId="77777777" w:rsidR="00761B6C" w:rsidRPr="00236418" w:rsidRDefault="00761B6C" w:rsidP="00761B6C">
            <w:pPr>
              <w:pStyle w:val="TableText0"/>
              <w:ind w:firstLine="284"/>
              <w:rPr>
                <w:rFonts w:asciiTheme="minorHAnsi" w:hAnsiTheme="minorHAnsi" w:cstheme="minorHAnsi"/>
              </w:rPr>
            </w:pPr>
            <w:r w:rsidRPr="00236418">
              <w:rPr>
                <w:rFonts w:asciiTheme="minorHAnsi" w:hAnsiTheme="minorHAnsi" w:cstheme="minorHAnsi"/>
              </w:rPr>
              <w:t>Éléments transports</w:t>
            </w:r>
          </w:p>
        </w:tc>
        <w:tc>
          <w:tcPr>
            <w:tcW w:w="2622" w:type="dxa"/>
          </w:tcPr>
          <w:p w14:paraId="6D86C0EF"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c>
          <w:tcPr>
            <w:tcW w:w="2622" w:type="dxa"/>
          </w:tcPr>
          <w:p w14:paraId="65A48244"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EE08C2">
              <w:rPr>
                <w:szCs w:val="18"/>
                <w:lang w:val="en-US" w:eastAsia="fr-FR"/>
              </w:rPr>
              <w:t>40</w:t>
            </w:r>
          </w:p>
        </w:tc>
      </w:tr>
      <w:tr w:rsidR="00761B6C" w:rsidRPr="00236418" w14:paraId="5E16626F" w14:textId="77777777" w:rsidTr="00926C1D">
        <w:tc>
          <w:tcPr>
            <w:tcW w:w="4957" w:type="dxa"/>
          </w:tcPr>
          <w:p w14:paraId="1E2BD9A7" w14:textId="77777777" w:rsidR="00761B6C" w:rsidRPr="00AE2C91" w:rsidRDefault="00761B6C" w:rsidP="00761B6C">
            <w:pPr>
              <w:pStyle w:val="TableText0"/>
              <w:ind w:firstLine="284"/>
              <w:rPr>
                <w:rFonts w:asciiTheme="minorHAnsi" w:hAnsiTheme="minorHAnsi" w:cstheme="minorHAnsi"/>
              </w:rPr>
            </w:pPr>
            <w:r w:rsidRPr="00AE2C91">
              <w:rPr>
                <w:rFonts w:asciiTheme="minorHAnsi" w:hAnsiTheme="minorHAnsi" w:cstheme="minorHAnsi"/>
              </w:rPr>
              <w:t>Autres actifs liés aux b</w:t>
            </w:r>
            <w:r>
              <w:rPr>
                <w:rFonts w:asciiTheme="minorHAnsi" w:hAnsiTheme="minorHAnsi" w:cstheme="minorHAnsi"/>
              </w:rPr>
              <w:t>âtiments</w:t>
            </w:r>
          </w:p>
        </w:tc>
        <w:tc>
          <w:tcPr>
            <w:tcW w:w="2622" w:type="dxa"/>
          </w:tcPr>
          <w:p w14:paraId="1349A4BA" w14:textId="77777777" w:rsidR="00761B6C" w:rsidRPr="00236418" w:rsidRDefault="00761B6C" w:rsidP="00761B6C">
            <w:pPr>
              <w:pStyle w:val="Tabletext"/>
              <w:spacing w:before="20" w:after="0"/>
              <w:ind w:right="424"/>
              <w:jc w:val="right"/>
              <w:rPr>
                <w:rFonts w:asciiTheme="minorHAnsi" w:hAnsiTheme="minorHAnsi" w:cstheme="minorHAnsi"/>
                <w:lang w:eastAsia="fr-FR"/>
              </w:rPr>
            </w:pPr>
          </w:p>
        </w:tc>
        <w:tc>
          <w:tcPr>
            <w:tcW w:w="2622" w:type="dxa"/>
          </w:tcPr>
          <w:p w14:paraId="0B412ADF" w14:textId="77777777" w:rsidR="00761B6C" w:rsidRPr="00236418" w:rsidRDefault="00761B6C" w:rsidP="00761B6C">
            <w:pPr>
              <w:pStyle w:val="Tabletext"/>
              <w:spacing w:before="20" w:after="0"/>
              <w:ind w:right="424"/>
              <w:jc w:val="right"/>
              <w:rPr>
                <w:rFonts w:asciiTheme="minorHAnsi" w:hAnsiTheme="minorHAnsi" w:cstheme="minorHAnsi"/>
                <w:lang w:eastAsia="fr-FR"/>
              </w:rPr>
            </w:pPr>
            <w:r w:rsidRPr="003762B1">
              <w:rPr>
                <w:szCs w:val="18"/>
                <w:lang w:val="en-US" w:eastAsia="fr-FR"/>
              </w:rPr>
              <w:t>10</w:t>
            </w:r>
          </w:p>
        </w:tc>
      </w:tr>
      <w:tr w:rsidR="00761B6C" w:rsidRPr="00236418" w14:paraId="23E13F58" w14:textId="77777777" w:rsidTr="00926C1D">
        <w:tc>
          <w:tcPr>
            <w:tcW w:w="4957" w:type="dxa"/>
          </w:tcPr>
          <w:p w14:paraId="1BCB29B9" w14:textId="77777777" w:rsidR="00761B6C" w:rsidRPr="00236418" w:rsidRDefault="00761B6C" w:rsidP="00761B6C">
            <w:pPr>
              <w:pStyle w:val="TableText0"/>
              <w:spacing w:before="0" w:after="0"/>
              <w:rPr>
                <w:rFonts w:asciiTheme="minorHAnsi" w:hAnsiTheme="minorHAnsi" w:cstheme="minorHAnsi"/>
              </w:rPr>
            </w:pPr>
          </w:p>
        </w:tc>
        <w:tc>
          <w:tcPr>
            <w:tcW w:w="2622" w:type="dxa"/>
          </w:tcPr>
          <w:p w14:paraId="5C0C592D" w14:textId="77777777" w:rsidR="00761B6C" w:rsidRPr="00236418" w:rsidRDefault="00761B6C" w:rsidP="00761B6C">
            <w:pPr>
              <w:pStyle w:val="TableText0"/>
              <w:spacing w:before="0" w:after="0"/>
              <w:rPr>
                <w:rFonts w:asciiTheme="minorHAnsi" w:hAnsiTheme="minorHAnsi" w:cstheme="minorHAnsi"/>
              </w:rPr>
            </w:pPr>
          </w:p>
        </w:tc>
        <w:tc>
          <w:tcPr>
            <w:tcW w:w="2622" w:type="dxa"/>
          </w:tcPr>
          <w:p w14:paraId="60C5EB50" w14:textId="77777777" w:rsidR="00761B6C" w:rsidRPr="00236418" w:rsidRDefault="00761B6C" w:rsidP="00761B6C">
            <w:pPr>
              <w:pStyle w:val="TableText0"/>
              <w:spacing w:before="0" w:after="0"/>
              <w:rPr>
                <w:rFonts w:asciiTheme="minorHAnsi" w:hAnsiTheme="minorHAnsi" w:cstheme="minorHAnsi"/>
              </w:rPr>
            </w:pPr>
          </w:p>
        </w:tc>
      </w:tr>
      <w:tr w:rsidR="00761B6C" w:rsidRPr="00236418" w14:paraId="236B41C8" w14:textId="77777777" w:rsidTr="00926C1D">
        <w:tc>
          <w:tcPr>
            <w:tcW w:w="4957" w:type="dxa"/>
          </w:tcPr>
          <w:p w14:paraId="1347E04C" w14:textId="77777777" w:rsidR="00761B6C" w:rsidRPr="00236418" w:rsidRDefault="00761B6C" w:rsidP="00761B6C">
            <w:pPr>
              <w:pStyle w:val="TableText0"/>
              <w:rPr>
                <w:rFonts w:asciiTheme="minorHAnsi" w:hAnsiTheme="minorHAnsi" w:cstheme="minorHAnsi"/>
              </w:rPr>
            </w:pPr>
            <w:r w:rsidRPr="00236418">
              <w:rPr>
                <w:rFonts w:asciiTheme="minorHAnsi" w:hAnsiTheme="minorHAnsi" w:cstheme="minorHAnsi"/>
              </w:rPr>
              <w:t>Machineries et équipements</w:t>
            </w:r>
          </w:p>
        </w:tc>
        <w:tc>
          <w:tcPr>
            <w:tcW w:w="2622" w:type="dxa"/>
          </w:tcPr>
          <w:p w14:paraId="47748878" w14:textId="77777777" w:rsidR="00761B6C" w:rsidRPr="00236418" w:rsidRDefault="00761B6C" w:rsidP="00761B6C">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5</w:t>
            </w:r>
          </w:p>
        </w:tc>
        <w:tc>
          <w:tcPr>
            <w:tcW w:w="2622" w:type="dxa"/>
          </w:tcPr>
          <w:p w14:paraId="5CA43AA9" w14:textId="77777777" w:rsidR="00761B6C" w:rsidRPr="00236418" w:rsidRDefault="00761B6C" w:rsidP="00761B6C">
            <w:pPr>
              <w:pStyle w:val="Tabletext"/>
              <w:spacing w:before="20" w:after="20"/>
              <w:ind w:right="424"/>
              <w:jc w:val="right"/>
              <w:rPr>
                <w:rFonts w:asciiTheme="minorHAnsi" w:hAnsiTheme="minorHAnsi" w:cstheme="minorHAnsi"/>
                <w:lang w:eastAsia="fr-FR"/>
              </w:rPr>
            </w:pPr>
            <w:r w:rsidRPr="00EE08C2">
              <w:rPr>
                <w:szCs w:val="18"/>
                <w:lang w:val="en-US" w:eastAsia="fr-FR"/>
              </w:rPr>
              <w:t>5</w:t>
            </w:r>
          </w:p>
        </w:tc>
      </w:tr>
      <w:tr w:rsidR="00761B6C" w:rsidRPr="00236418" w14:paraId="3830AD3B" w14:textId="77777777" w:rsidTr="00926C1D">
        <w:tc>
          <w:tcPr>
            <w:tcW w:w="4957" w:type="dxa"/>
          </w:tcPr>
          <w:p w14:paraId="64C76E12" w14:textId="77777777" w:rsidR="00761B6C" w:rsidRPr="00236418" w:rsidRDefault="00761B6C" w:rsidP="00761B6C">
            <w:pPr>
              <w:pStyle w:val="TableText0"/>
              <w:rPr>
                <w:rFonts w:asciiTheme="minorHAnsi" w:hAnsiTheme="minorHAnsi" w:cstheme="minorHAnsi"/>
              </w:rPr>
            </w:pPr>
            <w:r w:rsidRPr="00236418">
              <w:rPr>
                <w:rFonts w:asciiTheme="minorHAnsi" w:hAnsiTheme="minorHAnsi" w:cstheme="minorHAnsi"/>
              </w:rPr>
              <w:t>Mobilier &amp; agencement</w:t>
            </w:r>
          </w:p>
        </w:tc>
        <w:tc>
          <w:tcPr>
            <w:tcW w:w="2622" w:type="dxa"/>
          </w:tcPr>
          <w:p w14:paraId="51D68F44" w14:textId="77777777" w:rsidR="00761B6C" w:rsidRPr="00236418" w:rsidRDefault="00761B6C" w:rsidP="00761B6C">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5</w:t>
            </w:r>
          </w:p>
        </w:tc>
        <w:tc>
          <w:tcPr>
            <w:tcW w:w="2622" w:type="dxa"/>
          </w:tcPr>
          <w:p w14:paraId="2F42FEAB" w14:textId="77777777" w:rsidR="00761B6C" w:rsidRPr="00236418" w:rsidRDefault="00761B6C" w:rsidP="00761B6C">
            <w:pPr>
              <w:pStyle w:val="Tabletext"/>
              <w:spacing w:before="20" w:after="20"/>
              <w:ind w:right="424"/>
              <w:jc w:val="right"/>
              <w:rPr>
                <w:rFonts w:asciiTheme="minorHAnsi" w:hAnsiTheme="minorHAnsi" w:cstheme="minorHAnsi"/>
                <w:lang w:eastAsia="fr-FR"/>
              </w:rPr>
            </w:pPr>
            <w:r w:rsidRPr="00EE08C2">
              <w:rPr>
                <w:szCs w:val="18"/>
                <w:lang w:val="en-US" w:eastAsia="fr-FR"/>
              </w:rPr>
              <w:t>5</w:t>
            </w:r>
          </w:p>
        </w:tc>
      </w:tr>
      <w:tr w:rsidR="00761B6C" w:rsidRPr="00236418" w14:paraId="2E0AAE49" w14:textId="77777777" w:rsidTr="00926C1D">
        <w:tc>
          <w:tcPr>
            <w:tcW w:w="4957" w:type="dxa"/>
          </w:tcPr>
          <w:p w14:paraId="3E72725F" w14:textId="77777777" w:rsidR="00761B6C" w:rsidRPr="00236418" w:rsidRDefault="00761B6C" w:rsidP="00761B6C">
            <w:pPr>
              <w:pStyle w:val="TableText0"/>
              <w:rPr>
                <w:rFonts w:asciiTheme="minorHAnsi" w:hAnsiTheme="minorHAnsi" w:cstheme="minorHAnsi"/>
              </w:rPr>
            </w:pPr>
            <w:r w:rsidRPr="00236418">
              <w:rPr>
                <w:rFonts w:asciiTheme="minorHAnsi" w:hAnsiTheme="minorHAnsi" w:cstheme="minorHAnsi"/>
              </w:rPr>
              <w:t>Véhicules</w:t>
            </w:r>
          </w:p>
        </w:tc>
        <w:tc>
          <w:tcPr>
            <w:tcW w:w="2622" w:type="dxa"/>
          </w:tcPr>
          <w:p w14:paraId="479A7A5B" w14:textId="77777777" w:rsidR="00761B6C" w:rsidRPr="00236418" w:rsidRDefault="00761B6C" w:rsidP="00761B6C">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5</w:t>
            </w:r>
          </w:p>
        </w:tc>
        <w:tc>
          <w:tcPr>
            <w:tcW w:w="2622" w:type="dxa"/>
          </w:tcPr>
          <w:p w14:paraId="0C54D8B7" w14:textId="77777777" w:rsidR="00761B6C" w:rsidRPr="00236418" w:rsidRDefault="00761B6C" w:rsidP="00761B6C">
            <w:pPr>
              <w:pStyle w:val="Tabletext"/>
              <w:spacing w:before="20" w:after="20"/>
              <w:ind w:right="424"/>
              <w:jc w:val="right"/>
              <w:rPr>
                <w:rFonts w:asciiTheme="minorHAnsi" w:hAnsiTheme="minorHAnsi" w:cstheme="minorHAnsi"/>
                <w:lang w:eastAsia="fr-FR"/>
              </w:rPr>
            </w:pPr>
            <w:r w:rsidRPr="00EE08C2">
              <w:rPr>
                <w:szCs w:val="18"/>
                <w:lang w:val="en-US" w:eastAsia="fr-FR"/>
              </w:rPr>
              <w:t>5</w:t>
            </w:r>
          </w:p>
        </w:tc>
      </w:tr>
      <w:tr w:rsidR="00761B6C" w:rsidRPr="00236418" w14:paraId="227B848D" w14:textId="77777777" w:rsidTr="00926C1D">
        <w:tc>
          <w:tcPr>
            <w:tcW w:w="4957" w:type="dxa"/>
          </w:tcPr>
          <w:p w14:paraId="6ACCFD22" w14:textId="77777777" w:rsidR="00761B6C" w:rsidRPr="00236418" w:rsidRDefault="00761B6C" w:rsidP="00761B6C">
            <w:pPr>
              <w:pStyle w:val="TableText0"/>
              <w:rPr>
                <w:rFonts w:asciiTheme="minorHAnsi" w:hAnsiTheme="minorHAnsi" w:cstheme="minorHAnsi"/>
              </w:rPr>
            </w:pPr>
            <w:r w:rsidRPr="00236418">
              <w:rPr>
                <w:rFonts w:asciiTheme="minorHAnsi" w:hAnsiTheme="minorHAnsi" w:cstheme="minorHAnsi"/>
              </w:rPr>
              <w:t>Matériel informatique</w:t>
            </w:r>
          </w:p>
        </w:tc>
        <w:tc>
          <w:tcPr>
            <w:tcW w:w="2622" w:type="dxa"/>
          </w:tcPr>
          <w:p w14:paraId="551800A7" w14:textId="77777777" w:rsidR="00761B6C" w:rsidRPr="00236418" w:rsidRDefault="00761B6C" w:rsidP="00761B6C">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3</w:t>
            </w:r>
          </w:p>
        </w:tc>
        <w:tc>
          <w:tcPr>
            <w:tcW w:w="2622" w:type="dxa"/>
          </w:tcPr>
          <w:p w14:paraId="14DDF7E3" w14:textId="77777777" w:rsidR="00761B6C" w:rsidRPr="00236418" w:rsidRDefault="00761B6C" w:rsidP="00761B6C">
            <w:pPr>
              <w:pStyle w:val="Tabletext"/>
              <w:spacing w:before="20" w:after="20"/>
              <w:ind w:right="424"/>
              <w:jc w:val="right"/>
              <w:rPr>
                <w:rFonts w:asciiTheme="minorHAnsi" w:hAnsiTheme="minorHAnsi" w:cstheme="minorHAnsi"/>
                <w:lang w:eastAsia="fr-FR"/>
              </w:rPr>
            </w:pPr>
            <w:r w:rsidRPr="00EE08C2">
              <w:rPr>
                <w:szCs w:val="18"/>
                <w:lang w:val="en-US" w:eastAsia="fr-FR"/>
              </w:rPr>
              <w:t>3</w:t>
            </w:r>
          </w:p>
        </w:tc>
      </w:tr>
      <w:tr w:rsidR="00761B6C" w:rsidRPr="00236418" w14:paraId="76A1D02A" w14:textId="77777777" w:rsidTr="00926C1D">
        <w:tc>
          <w:tcPr>
            <w:tcW w:w="4957" w:type="dxa"/>
          </w:tcPr>
          <w:p w14:paraId="7798DAD4" w14:textId="77777777" w:rsidR="00761B6C" w:rsidRPr="00236418" w:rsidRDefault="00761B6C" w:rsidP="00761B6C">
            <w:pPr>
              <w:pStyle w:val="TableText0"/>
              <w:spacing w:before="0" w:after="0"/>
              <w:rPr>
                <w:rFonts w:asciiTheme="minorHAnsi" w:hAnsiTheme="minorHAnsi" w:cstheme="minorHAnsi"/>
              </w:rPr>
            </w:pPr>
          </w:p>
        </w:tc>
        <w:tc>
          <w:tcPr>
            <w:tcW w:w="2622" w:type="dxa"/>
          </w:tcPr>
          <w:p w14:paraId="3E0FED67" w14:textId="77777777" w:rsidR="00761B6C" w:rsidRPr="00236418" w:rsidRDefault="00761B6C" w:rsidP="00761B6C">
            <w:pPr>
              <w:pStyle w:val="Tabletext"/>
              <w:spacing w:before="0" w:after="0"/>
              <w:ind w:right="424"/>
              <w:jc w:val="right"/>
              <w:rPr>
                <w:rFonts w:asciiTheme="minorHAnsi" w:hAnsiTheme="minorHAnsi" w:cstheme="minorHAnsi"/>
                <w:lang w:eastAsia="fr-FR"/>
              </w:rPr>
            </w:pPr>
          </w:p>
        </w:tc>
        <w:tc>
          <w:tcPr>
            <w:tcW w:w="2622" w:type="dxa"/>
          </w:tcPr>
          <w:p w14:paraId="041361F6" w14:textId="77777777" w:rsidR="00761B6C" w:rsidRPr="00236418" w:rsidRDefault="00761B6C" w:rsidP="00761B6C">
            <w:pPr>
              <w:pStyle w:val="Tabletext"/>
              <w:spacing w:before="0" w:after="0"/>
              <w:ind w:right="424"/>
              <w:jc w:val="right"/>
              <w:rPr>
                <w:rFonts w:asciiTheme="minorHAnsi" w:hAnsiTheme="minorHAnsi" w:cstheme="minorHAnsi"/>
                <w:lang w:eastAsia="fr-FR"/>
              </w:rPr>
            </w:pPr>
          </w:p>
        </w:tc>
      </w:tr>
      <w:tr w:rsidR="00761B6C" w:rsidRPr="00236418" w14:paraId="36FFC25F" w14:textId="77777777" w:rsidTr="00926C1D">
        <w:tc>
          <w:tcPr>
            <w:tcW w:w="4957" w:type="dxa"/>
          </w:tcPr>
          <w:p w14:paraId="38BBC522" w14:textId="77777777" w:rsidR="00761B6C" w:rsidRPr="00236418" w:rsidRDefault="00761B6C" w:rsidP="00761B6C">
            <w:pPr>
              <w:pStyle w:val="TableText0"/>
              <w:rPr>
                <w:rFonts w:asciiTheme="minorHAnsi" w:hAnsiTheme="minorHAnsi" w:cstheme="minorHAnsi"/>
              </w:rPr>
            </w:pPr>
            <w:r w:rsidRPr="00236418">
              <w:rPr>
                <w:rFonts w:asciiTheme="minorHAnsi" w:hAnsiTheme="minorHAnsi" w:cstheme="minorHAnsi"/>
              </w:rPr>
              <w:t>Licences et progiciels</w:t>
            </w:r>
          </w:p>
        </w:tc>
        <w:tc>
          <w:tcPr>
            <w:tcW w:w="2622" w:type="dxa"/>
          </w:tcPr>
          <w:p w14:paraId="16867628" w14:textId="77777777" w:rsidR="00761B6C" w:rsidRPr="00236418" w:rsidRDefault="00761B6C" w:rsidP="00761B6C">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3</w:t>
            </w:r>
          </w:p>
        </w:tc>
        <w:tc>
          <w:tcPr>
            <w:tcW w:w="2622" w:type="dxa"/>
          </w:tcPr>
          <w:p w14:paraId="3F6F96FA" w14:textId="77777777" w:rsidR="00761B6C" w:rsidRPr="00236418" w:rsidRDefault="00761B6C" w:rsidP="00761B6C">
            <w:pPr>
              <w:pStyle w:val="Tabletext"/>
              <w:spacing w:before="20" w:after="20"/>
              <w:ind w:right="424"/>
              <w:jc w:val="right"/>
              <w:rPr>
                <w:rFonts w:asciiTheme="minorHAnsi" w:hAnsiTheme="minorHAnsi" w:cstheme="minorHAnsi"/>
                <w:lang w:eastAsia="fr-FR"/>
              </w:rPr>
            </w:pPr>
            <w:r w:rsidRPr="00EE08C2">
              <w:rPr>
                <w:szCs w:val="18"/>
                <w:lang w:val="en-US" w:eastAsia="fr-FR"/>
              </w:rPr>
              <w:t>3</w:t>
            </w:r>
          </w:p>
        </w:tc>
      </w:tr>
    </w:tbl>
    <w:p w14:paraId="0377C671" w14:textId="77777777" w:rsidR="00926C1D" w:rsidRDefault="00926C1D" w:rsidP="00761B6C">
      <w:pPr>
        <w:pStyle w:val="Normalaftertitle"/>
      </w:pPr>
      <w:r>
        <w:br w:type="page"/>
      </w:r>
    </w:p>
    <w:p w14:paraId="0CD09047" w14:textId="33A2B147" w:rsidR="00761B6C" w:rsidRPr="00236418" w:rsidRDefault="00761B6C" w:rsidP="00761B6C">
      <w:pPr>
        <w:pStyle w:val="Normalaftertitle"/>
      </w:pPr>
      <w:r w:rsidRPr="00236418">
        <w:lastRenderedPageBreak/>
        <w:t>L</w:t>
      </w:r>
      <w:r>
        <w:t>'</w:t>
      </w:r>
      <w:r w:rsidRPr="00236418">
        <w:t>UIT examine à chaque date de clôture annuelle s</w:t>
      </w:r>
      <w:r>
        <w:t>'</w:t>
      </w:r>
      <w:r w:rsidRPr="00236418">
        <w:t>il existe un indice révélant qu</w:t>
      </w:r>
      <w:r>
        <w:t>'</w:t>
      </w:r>
      <w:r w:rsidRPr="00236418">
        <w:t>un actif a pu perdre de sa valeur. Si un tel indice existe, la valeur recouvrable de l</w:t>
      </w:r>
      <w:r>
        <w:t>'</w:t>
      </w:r>
      <w:r w:rsidRPr="00236418">
        <w:t>actif est estimée et une perte de valeur est inscrite dans l</w:t>
      </w:r>
      <w:r>
        <w:t>'</w:t>
      </w:r>
      <w:r w:rsidRPr="00236418">
        <w:t>état de la performance financière lorsque la valeur comptable est supérieure à la valeur recouvrable.</w:t>
      </w:r>
    </w:p>
    <w:p w14:paraId="383BBE7F" w14:textId="77777777" w:rsidR="00761B6C" w:rsidRPr="00236418" w:rsidRDefault="00761B6C" w:rsidP="00761B6C">
      <w:r w:rsidRPr="00236418">
        <w:t>La valeur recouvrable est la valeur la plus élevée entre la juste valeur nette des coûts de sortie et la valeur d</w:t>
      </w:r>
      <w:r>
        <w:t>'</w:t>
      </w:r>
      <w:r w:rsidRPr="00236418">
        <w:t>utilité. La valeur recouvrable d</w:t>
      </w:r>
      <w:r>
        <w:t>'</w:t>
      </w:r>
      <w:r w:rsidRPr="00236418">
        <w:t>un actif est calculée de manière individuelle. La valeur d</w:t>
      </w:r>
      <w:r>
        <w:t>'</w:t>
      </w:r>
      <w:r w:rsidRPr="00236418">
        <w:t>utilité des actifs immobilisés utilisés à des fins non commerciales correspond à la valeur actualisée du potentiel de service attendu de leur utilisation.</w:t>
      </w:r>
    </w:p>
    <w:p w14:paraId="6707EBA5" w14:textId="77777777" w:rsidR="00761B6C" w:rsidRPr="00236418" w:rsidRDefault="00761B6C" w:rsidP="00761B6C">
      <w:r w:rsidRPr="00236418">
        <w:t>Une perte de valeur comptabilisée au cours d</w:t>
      </w:r>
      <w:r>
        <w:t>'</w:t>
      </w:r>
      <w:r w:rsidRPr="00236418">
        <w:t>exercices antérieurs est reprise lorsqu</w:t>
      </w:r>
      <w:r>
        <w:t>'</w:t>
      </w:r>
      <w:r w:rsidRPr="00236418">
        <w:t>il y a un changement dans les estimations de la valeur recouvrable depuis la dernière estimation. La valeur nette comptable de l</w:t>
      </w:r>
      <w:r>
        <w:t>'</w:t>
      </w:r>
      <w:r w:rsidRPr="00236418">
        <w:t>actif est augmentée, mais ne doit pas excéder la valeur nette comptable qui aurait été celle de l</w:t>
      </w:r>
      <w:r>
        <w:t>'</w:t>
      </w:r>
      <w:r w:rsidRPr="00236418">
        <w:t>actif si aucune perte de valeur n</w:t>
      </w:r>
      <w:r>
        <w:t>'</w:t>
      </w:r>
      <w:r w:rsidRPr="00236418">
        <w:t>avait été reconnue en premier lieu. La reprise est inscrite au compte de résultat.</w:t>
      </w:r>
    </w:p>
    <w:p w14:paraId="35E80D28" w14:textId="77777777" w:rsidR="00761B6C" w:rsidRPr="00144C9E" w:rsidRDefault="00761B6C" w:rsidP="00144C9E">
      <w:pPr>
        <w:pStyle w:val="Headingb"/>
        <w:rPr>
          <w:u w:val="single"/>
        </w:rPr>
      </w:pPr>
      <w:bookmarkStart w:id="1019" w:name="_Toc329202559"/>
      <w:bookmarkStart w:id="1020" w:name="_Toc329204991"/>
      <w:bookmarkStart w:id="1021" w:name="_Toc329206828"/>
      <w:bookmarkStart w:id="1022" w:name="_Toc358379914"/>
      <w:bookmarkStart w:id="1023" w:name="_Toc358380454"/>
      <w:bookmarkStart w:id="1024" w:name="_Toc387166636"/>
      <w:bookmarkStart w:id="1025" w:name="_Toc395260921"/>
      <w:bookmarkStart w:id="1026" w:name="_Toc395511700"/>
      <w:bookmarkStart w:id="1027" w:name="_Toc452138613"/>
      <w:bookmarkStart w:id="1028" w:name="_Toc452139062"/>
      <w:bookmarkStart w:id="1029" w:name="_Toc452139426"/>
      <w:bookmarkStart w:id="1030" w:name="_Toc452139826"/>
      <w:bookmarkStart w:id="1031" w:name="_Toc452140693"/>
      <w:bookmarkStart w:id="1032" w:name="_Toc482801483"/>
      <w:bookmarkStart w:id="1033" w:name="_Toc511649453"/>
      <w:bookmarkStart w:id="1034" w:name="_Toc511649825"/>
      <w:bookmarkStart w:id="1035" w:name="_Toc511649939"/>
      <w:bookmarkStart w:id="1036" w:name="_Toc511651195"/>
      <w:bookmarkStart w:id="1037" w:name="_Toc511724060"/>
      <w:bookmarkStart w:id="1038" w:name="_Toc511739049"/>
      <w:bookmarkStart w:id="1039" w:name="_Toc511741218"/>
      <w:bookmarkStart w:id="1040" w:name="_Toc10450724"/>
      <w:bookmarkStart w:id="1041" w:name="_Toc41566326"/>
      <w:bookmarkStart w:id="1042" w:name="_Toc41567839"/>
      <w:bookmarkStart w:id="1043" w:name="_Toc73356395"/>
      <w:r w:rsidRPr="00144C9E">
        <w:rPr>
          <w:u w:val="single"/>
        </w:rPr>
        <w:t>Immobilisations acquises en contrats de location</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224D86CF" w14:textId="77777777" w:rsidR="00761B6C" w:rsidRPr="00236418" w:rsidRDefault="00761B6C" w:rsidP="00761B6C">
      <w:pPr>
        <w:rPr>
          <w:rStyle w:val="Heading3Char"/>
          <w:b w:val="0"/>
          <w:color w:val="000000" w:themeColor="text1"/>
          <w:u w:val="single"/>
        </w:rPr>
      </w:pPr>
      <w:r w:rsidRPr="00236418">
        <w:t>Dans le cadre de ses activités, l</w:t>
      </w:r>
      <w:r>
        <w:t>'</w:t>
      </w:r>
      <w:r w:rsidRPr="00236418">
        <w:t>UIT peut utiliser des actifs mis à sa disposition en vertu de contrats de location. Ces contrats de location ont fait l</w:t>
      </w:r>
      <w:r>
        <w:t>'</w:t>
      </w:r>
      <w:r w:rsidRPr="00236418">
        <w:t>objet d</w:t>
      </w:r>
      <w:r>
        <w:t>'</w:t>
      </w:r>
      <w:r w:rsidRPr="00236418">
        <w:t>une analyse au regard des situations décrites et indicateurs fournis par la norme IPSAS 13 afin de déterminer s</w:t>
      </w:r>
      <w:r>
        <w:t>'</w:t>
      </w:r>
      <w:r w:rsidRPr="00236418">
        <w:t>il s</w:t>
      </w:r>
      <w:r>
        <w:t>'</w:t>
      </w:r>
      <w:r w:rsidRPr="00236418">
        <w:t>agit de contrats de location simple ou de contrats de location</w:t>
      </w:r>
      <w:r w:rsidRPr="00236418">
        <w:rPr>
          <w:rFonts w:cs="Arial"/>
          <w:color w:val="000000"/>
          <w:szCs w:val="24"/>
          <w:lang w:eastAsia="fr-FR"/>
        </w:rPr>
        <w:t>-</w:t>
      </w:r>
      <w:r w:rsidRPr="00236418">
        <w:t>financement. Au 31 décembre 2019, les contrats de location passés par l</w:t>
      </w:r>
      <w:r>
        <w:t>'</w:t>
      </w:r>
      <w:r w:rsidRPr="00236418">
        <w:t>UIT correspondent à la définition de contrats de location simple et sont comptabilisés comme tels. Les paiements effectués au titre de ces contrats sont comptabilisés en charges dans l</w:t>
      </w:r>
      <w:r>
        <w:t>'</w:t>
      </w:r>
      <w:r w:rsidRPr="00236418">
        <w:t>état de la performance financière sur une base linéaire jusqu</w:t>
      </w:r>
      <w:r>
        <w:t>'</w:t>
      </w:r>
      <w:r w:rsidRPr="00236418">
        <w:t>à l</w:t>
      </w:r>
      <w:r>
        <w:t>'</w:t>
      </w:r>
      <w:r w:rsidRPr="00236418">
        <w:t>échéance du contrat.</w:t>
      </w:r>
      <w:bookmarkStart w:id="1044" w:name="_Toc269839072"/>
    </w:p>
    <w:p w14:paraId="13396D6C" w14:textId="77777777" w:rsidR="00761B6C" w:rsidRPr="00144C9E" w:rsidRDefault="00761B6C" w:rsidP="00144C9E">
      <w:pPr>
        <w:pStyle w:val="Headingb"/>
        <w:rPr>
          <w:u w:val="single"/>
        </w:rPr>
      </w:pPr>
      <w:bookmarkStart w:id="1045" w:name="_Toc329178771"/>
      <w:bookmarkStart w:id="1046" w:name="_Toc329181744"/>
      <w:bookmarkStart w:id="1047" w:name="_Toc329202560"/>
      <w:bookmarkStart w:id="1048" w:name="_Toc329204992"/>
      <w:bookmarkStart w:id="1049" w:name="_Toc329206829"/>
      <w:bookmarkStart w:id="1050" w:name="_Toc358379915"/>
      <w:bookmarkStart w:id="1051" w:name="_Toc358380455"/>
      <w:bookmarkStart w:id="1052" w:name="_Toc387166637"/>
      <w:bookmarkStart w:id="1053" w:name="_Toc395260922"/>
      <w:bookmarkStart w:id="1054" w:name="_Toc395511701"/>
      <w:bookmarkStart w:id="1055" w:name="_Toc452138614"/>
      <w:bookmarkStart w:id="1056" w:name="_Toc452139063"/>
      <w:bookmarkStart w:id="1057" w:name="_Toc452139427"/>
      <w:bookmarkStart w:id="1058" w:name="_Toc452139827"/>
      <w:bookmarkStart w:id="1059" w:name="_Toc452140694"/>
      <w:bookmarkStart w:id="1060" w:name="_Toc482801484"/>
      <w:bookmarkStart w:id="1061" w:name="_Toc511649454"/>
      <w:bookmarkStart w:id="1062" w:name="_Toc511649826"/>
      <w:bookmarkStart w:id="1063" w:name="_Toc511649940"/>
      <w:bookmarkStart w:id="1064" w:name="_Toc511651196"/>
      <w:bookmarkStart w:id="1065" w:name="_Toc511724061"/>
      <w:bookmarkStart w:id="1066" w:name="_Toc511739050"/>
      <w:bookmarkStart w:id="1067" w:name="_Toc511741219"/>
      <w:bookmarkStart w:id="1068" w:name="_Toc10450725"/>
      <w:bookmarkStart w:id="1069" w:name="_Toc41566327"/>
      <w:bookmarkStart w:id="1070" w:name="_Toc41567840"/>
      <w:bookmarkStart w:id="1071" w:name="_Toc73356396"/>
      <w:r w:rsidRPr="00144C9E">
        <w:rPr>
          <w:u w:val="single"/>
        </w:rPr>
        <w:t>Immobilisations incorporelles</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1D2780E2" w14:textId="77777777" w:rsidR="00761B6C" w:rsidRPr="00236418" w:rsidRDefault="00761B6C" w:rsidP="00761B6C">
      <w:pPr>
        <w:keepNext/>
        <w:keepLines/>
      </w:pPr>
      <w:r w:rsidRPr="00236418">
        <w:t>Les immobilisations incorporelles, les licences informatiques et les logiciels d</w:t>
      </w:r>
      <w:r>
        <w:t>'</w:t>
      </w:r>
      <w:r w:rsidRPr="00236418">
        <w:t>une valeur supérieure à 50 000 CHF sont comptabilisés sur la base de leur coût historique déduction faite du cumul des amortissements et des pertes de valeur éventuelles, à l</w:t>
      </w:r>
      <w:r>
        <w:t>'</w:t>
      </w:r>
      <w:r w:rsidRPr="00236418">
        <w:t>exception du bilan d</w:t>
      </w:r>
      <w:r>
        <w:t>'</w:t>
      </w:r>
      <w:r w:rsidRPr="00236418">
        <w:t xml:space="preserve">ouverture où la valeur nette a été reprise. Les licences, progiciels, </w:t>
      </w:r>
      <w:r w:rsidRPr="00236418">
        <w:rPr>
          <w:color w:val="000000" w:themeColor="text1"/>
        </w:rPr>
        <w:t>patentes, et droits</w:t>
      </w:r>
      <w:r w:rsidRPr="00236418">
        <w:t xml:space="preserve"> sont amortis linéairement sur une durée de trois ans.</w:t>
      </w:r>
    </w:p>
    <w:p w14:paraId="0F881DDE" w14:textId="77777777" w:rsidR="00761B6C" w:rsidRPr="00236418" w:rsidRDefault="00761B6C" w:rsidP="00761B6C">
      <w:pPr>
        <w:rPr>
          <w:b/>
        </w:rPr>
      </w:pPr>
      <w:r w:rsidRPr="00236418">
        <w:t>Tous les coûts égaux ou inférieurs à 50 000 CHF sont capitalisés au moment de la réception des biens et comptabilisés entièrement en tant que dépenses dans l</w:t>
      </w:r>
      <w:r>
        <w:t>'</w:t>
      </w:r>
      <w:r w:rsidRPr="00236418">
        <w:t>état de la performance financière à la clôture mensuelle suivant l</w:t>
      </w:r>
      <w:r>
        <w:t>'</w:t>
      </w:r>
      <w:r w:rsidRPr="00236418">
        <w:t>acquisition.</w:t>
      </w:r>
    </w:p>
    <w:p w14:paraId="73EE973A" w14:textId="77777777" w:rsidR="00761B6C" w:rsidRPr="00236418" w:rsidRDefault="00761B6C" w:rsidP="00761B6C">
      <w:r w:rsidRPr="00236418">
        <w:t>Les licences, progiciels, brevets développés en interne sont capitalisés si l</w:t>
      </w:r>
      <w:r>
        <w:t>'</w:t>
      </w:r>
      <w:r w:rsidRPr="00236418">
        <w:t>UIT peut espérer bénéficier des avantages économiques ou des possibilités de service qui leur sont associés. Les coûts de développement directement liés à la conception et à l</w:t>
      </w:r>
      <w:r>
        <w:t>'</w:t>
      </w:r>
      <w:r w:rsidRPr="00236418">
        <w:t>essai de produits logiciels reconnaissables et uniques gérés par l</w:t>
      </w:r>
      <w:r>
        <w:t>'</w:t>
      </w:r>
      <w:r w:rsidRPr="00236418">
        <w:t>UIT sont comptabilisés comme des immobilisations incorporelles lorsque les critères ci</w:t>
      </w:r>
      <w:r w:rsidRPr="00236418">
        <w:rPr>
          <w:rFonts w:cs="Arial"/>
          <w:color w:val="000000"/>
          <w:szCs w:val="24"/>
          <w:lang w:eastAsia="fr-FR"/>
        </w:rPr>
        <w:t>-</w:t>
      </w:r>
      <w:r w:rsidRPr="00236418">
        <w:t>après sont satisfaits à la date de clôture:</w:t>
      </w:r>
    </w:p>
    <w:p w14:paraId="232C7426" w14:textId="77777777" w:rsidR="00761B6C" w:rsidRPr="00236418" w:rsidRDefault="00761B6C" w:rsidP="00761B6C">
      <w:pPr>
        <w:pStyle w:val="enumlev1"/>
      </w:pPr>
      <w:r w:rsidRPr="00236418">
        <w:t>–</w:t>
      </w:r>
      <w:r w:rsidRPr="00236418">
        <w:tab/>
        <w:t>Il est techniquement possible d</w:t>
      </w:r>
      <w:r>
        <w:t>'</w:t>
      </w:r>
      <w:r w:rsidRPr="00236418">
        <w:t>achever le développement du produit logiciel qui pourra ainsi être utilisé.</w:t>
      </w:r>
    </w:p>
    <w:p w14:paraId="7B7094D1" w14:textId="77777777" w:rsidR="00761B6C" w:rsidRPr="00236418" w:rsidRDefault="00761B6C" w:rsidP="00761B6C">
      <w:pPr>
        <w:pStyle w:val="enumlev1"/>
      </w:pPr>
      <w:r w:rsidRPr="00236418">
        <w:t>–</w:t>
      </w:r>
      <w:r w:rsidRPr="00236418">
        <w:tab/>
        <w:t>La direction a l</w:t>
      </w:r>
      <w:r>
        <w:t>'</w:t>
      </w:r>
      <w:r w:rsidRPr="00236418">
        <w:t>intention d</w:t>
      </w:r>
      <w:r>
        <w:t>'</w:t>
      </w:r>
      <w:r w:rsidRPr="00236418">
        <w:t>achever le développement du produit logiciel et de l</w:t>
      </w:r>
      <w:r>
        <w:t>'</w:t>
      </w:r>
      <w:r w:rsidRPr="00236418">
        <w:t>utiliser ou de le mettre en vente.</w:t>
      </w:r>
    </w:p>
    <w:p w14:paraId="290A0CEA" w14:textId="77777777" w:rsidR="00761B6C" w:rsidRPr="00236418" w:rsidRDefault="00761B6C" w:rsidP="00761B6C">
      <w:pPr>
        <w:pStyle w:val="enumlev1"/>
      </w:pPr>
      <w:r w:rsidRPr="00236418">
        <w:t>–</w:t>
      </w:r>
      <w:r w:rsidRPr="00236418">
        <w:tab/>
        <w:t>Il est possible d</w:t>
      </w:r>
      <w:r>
        <w:t>'</w:t>
      </w:r>
      <w:r w:rsidRPr="00236418">
        <w:t>utiliser ou de vendre le produit logiciel.</w:t>
      </w:r>
    </w:p>
    <w:p w14:paraId="019E3192" w14:textId="77777777" w:rsidR="00761B6C" w:rsidRPr="00236418" w:rsidRDefault="00761B6C" w:rsidP="00761B6C">
      <w:pPr>
        <w:pStyle w:val="enumlev1"/>
      </w:pPr>
      <w:r w:rsidRPr="00236418">
        <w:t>–</w:t>
      </w:r>
      <w:r w:rsidRPr="00236418">
        <w:tab/>
        <w:t>Il est possible de prouver que le produit logiciel générera vraisemblablement des bénéfices économiques dans l</w:t>
      </w:r>
      <w:r>
        <w:t>'</w:t>
      </w:r>
      <w:r w:rsidRPr="00236418">
        <w:t>avenir.</w:t>
      </w:r>
    </w:p>
    <w:p w14:paraId="2CE0693C" w14:textId="77777777" w:rsidR="00761B6C" w:rsidRPr="00236418" w:rsidRDefault="00761B6C" w:rsidP="00761B6C">
      <w:pPr>
        <w:pStyle w:val="enumlev1"/>
      </w:pPr>
      <w:r w:rsidRPr="00236418">
        <w:lastRenderedPageBreak/>
        <w:t>–</w:t>
      </w:r>
      <w:r w:rsidRPr="00236418">
        <w:tab/>
        <w:t xml:space="preserve">Des ressources appropriées sur les plans technique, financier ou autre </w:t>
      </w:r>
      <w:proofErr w:type="gramStart"/>
      <w:r w:rsidRPr="00236418">
        <w:t>sont</w:t>
      </w:r>
      <w:proofErr w:type="gramEnd"/>
      <w:r w:rsidRPr="00236418">
        <w:t xml:space="preserve"> disponibles pour achever le développement du produit logiciel et l</w:t>
      </w:r>
      <w:r>
        <w:t>'</w:t>
      </w:r>
      <w:r w:rsidRPr="00236418">
        <w:t>utiliser ou le vendre; les charges liées au développement du produit logiciel peuvent être évaluées de façon fiable.</w:t>
      </w:r>
    </w:p>
    <w:p w14:paraId="3831E94E" w14:textId="77777777" w:rsidR="00761B6C" w:rsidRPr="00236418" w:rsidRDefault="00761B6C" w:rsidP="00761B6C">
      <w:r w:rsidRPr="00236418">
        <w:t>Les coûts directement liés au produit logiciel, qui sont capitalisés en tant qu</w:t>
      </w:r>
      <w:r>
        <w:t>'</w:t>
      </w:r>
      <w:r w:rsidRPr="00236418">
        <w:t>élément de ce produit, comprennent les dépenses de personnel liées au développement du logiciel et une part appropriée des charges indirectes correspondantes.</w:t>
      </w:r>
    </w:p>
    <w:p w14:paraId="6DD037C0" w14:textId="77777777" w:rsidR="00761B6C" w:rsidRPr="00236418" w:rsidRDefault="00761B6C" w:rsidP="00761B6C">
      <w:r w:rsidRPr="00236418">
        <w:t>D</w:t>
      </w:r>
      <w:r>
        <w:t>'</w:t>
      </w:r>
      <w:r w:rsidRPr="00236418">
        <w:t>autres dépenses liées au développement, qui ne satisfont pas à ces critères, sont comptabilisées comme des charges lorsqu</w:t>
      </w:r>
      <w:r>
        <w:t>'</w:t>
      </w:r>
      <w:r w:rsidRPr="00236418">
        <w:t>elles sont engagées. Les coûts de développement qui ont été comptabilisés au préalable comme des charges ne sont pas comptabilisés dans l</w:t>
      </w:r>
      <w:r>
        <w:t>'</w:t>
      </w:r>
      <w:r w:rsidRPr="00236418">
        <w:t>actif de l</w:t>
      </w:r>
      <w:r>
        <w:t>'</w:t>
      </w:r>
      <w:r w:rsidRPr="00236418">
        <w:t>exercice suivant.</w:t>
      </w:r>
    </w:p>
    <w:p w14:paraId="67F7C42C" w14:textId="77777777" w:rsidR="00761B6C" w:rsidRPr="00236418" w:rsidRDefault="00761B6C" w:rsidP="00761B6C">
      <w:r w:rsidRPr="00236418">
        <w:t>Les coûts de développement de logiciels informatiques comptabilisés comme des actifs sont amortis pendant leur durée de vie utile estimée (trois ans maximum).</w:t>
      </w:r>
    </w:p>
    <w:p w14:paraId="272DBCE7" w14:textId="77777777" w:rsidR="00761B6C" w:rsidRPr="00236418" w:rsidRDefault="00761B6C" w:rsidP="00761B6C">
      <w:r w:rsidRPr="00236418">
        <w:t>Les coûts associés à l</w:t>
      </w:r>
      <w:r>
        <w:t>'</w:t>
      </w:r>
      <w:r w:rsidRPr="00236418">
        <w:t>entretien des progiciels informatiques sont comptabilisés comme des charges lorsqu</w:t>
      </w:r>
      <w:r>
        <w:t>'</w:t>
      </w:r>
      <w:r w:rsidRPr="00236418">
        <w:t>ils sont engagés.</w:t>
      </w:r>
    </w:p>
    <w:p w14:paraId="20B4B97E" w14:textId="77777777" w:rsidR="00761B6C" w:rsidRPr="00144C9E" w:rsidRDefault="00761B6C" w:rsidP="00144C9E">
      <w:pPr>
        <w:pStyle w:val="Headingb"/>
        <w:rPr>
          <w:u w:val="single"/>
        </w:rPr>
      </w:pPr>
      <w:bookmarkStart w:id="1072" w:name="_Toc269839074"/>
      <w:bookmarkStart w:id="1073" w:name="_Toc329178772"/>
      <w:bookmarkStart w:id="1074" w:name="_Toc329181745"/>
      <w:bookmarkStart w:id="1075" w:name="_Toc329202561"/>
      <w:bookmarkStart w:id="1076" w:name="_Toc329204993"/>
      <w:bookmarkStart w:id="1077" w:name="_Toc329206830"/>
      <w:bookmarkStart w:id="1078" w:name="_Toc358379916"/>
      <w:bookmarkStart w:id="1079" w:name="_Toc358380456"/>
      <w:bookmarkStart w:id="1080" w:name="_Toc387166638"/>
      <w:bookmarkStart w:id="1081" w:name="_Toc395260923"/>
      <w:bookmarkStart w:id="1082" w:name="_Toc395511702"/>
      <w:bookmarkStart w:id="1083" w:name="_Toc452138615"/>
      <w:bookmarkStart w:id="1084" w:name="_Toc452139064"/>
      <w:bookmarkStart w:id="1085" w:name="_Toc452139428"/>
      <w:bookmarkStart w:id="1086" w:name="_Toc452139828"/>
      <w:bookmarkStart w:id="1087" w:name="_Toc452140695"/>
      <w:bookmarkStart w:id="1088" w:name="_Toc482801485"/>
      <w:bookmarkStart w:id="1089" w:name="_Toc511649455"/>
      <w:bookmarkStart w:id="1090" w:name="_Toc511649827"/>
      <w:bookmarkStart w:id="1091" w:name="_Toc511649941"/>
      <w:bookmarkStart w:id="1092" w:name="_Toc511651197"/>
      <w:bookmarkStart w:id="1093" w:name="_Toc511724062"/>
      <w:bookmarkStart w:id="1094" w:name="_Toc511739051"/>
      <w:bookmarkStart w:id="1095" w:name="_Toc511741220"/>
      <w:bookmarkStart w:id="1096" w:name="_Toc10450726"/>
      <w:bookmarkStart w:id="1097" w:name="_Toc41566328"/>
      <w:bookmarkStart w:id="1098" w:name="_Toc41567841"/>
      <w:bookmarkStart w:id="1099" w:name="_Toc73356397"/>
      <w:r w:rsidRPr="00144C9E">
        <w:rPr>
          <w:u w:val="single"/>
        </w:rPr>
        <w:t>Provisions</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503CECDE" w14:textId="77777777" w:rsidR="00761B6C" w:rsidRPr="00236418" w:rsidRDefault="00761B6C" w:rsidP="00761B6C">
      <w:r w:rsidRPr="00236418">
        <w:t>Les provisions comprennent les engagements dont l</w:t>
      </w:r>
      <w:r>
        <w:t>'</w:t>
      </w:r>
      <w:r w:rsidRPr="00236418">
        <w:t>issue, l</w:t>
      </w:r>
      <w:r>
        <w:t>'</w:t>
      </w:r>
      <w:r w:rsidRPr="00236418">
        <w:t>échéance ou le montant à payer est incertain. Elles sont comptabilisées lorsque l</w:t>
      </w:r>
      <w:r>
        <w:t>'</w:t>
      </w:r>
      <w:r w:rsidRPr="00236418">
        <w:t>UIT a une obligation juridique ou implicite résultant d</w:t>
      </w:r>
      <w:r>
        <w:t>'</w:t>
      </w:r>
      <w:r w:rsidRPr="00236418">
        <w:t>un événement passé, lorsqu</w:t>
      </w:r>
      <w:r>
        <w:t>'</w:t>
      </w:r>
      <w:r w:rsidRPr="00236418">
        <w:t>il est probable qu</w:t>
      </w:r>
      <w:r>
        <w:t>'</w:t>
      </w:r>
      <w:r w:rsidRPr="00236418">
        <w:t>une sortie de ressources sera nécessaire pour éteindre l</w:t>
      </w:r>
      <w:r>
        <w:t>'</w:t>
      </w:r>
      <w:r w:rsidRPr="00236418">
        <w:t>obligation et lorsque le montant de l</w:t>
      </w:r>
      <w:r>
        <w:t>'</w:t>
      </w:r>
      <w:r w:rsidRPr="00236418">
        <w:t xml:space="preserve">obligation peut être estimé de manière fiable. </w:t>
      </w:r>
    </w:p>
    <w:p w14:paraId="4C57CF2C" w14:textId="77777777" w:rsidR="00761B6C" w:rsidRPr="00236418" w:rsidRDefault="00761B6C" w:rsidP="00761B6C">
      <w:pPr>
        <w:spacing w:before="40"/>
      </w:pPr>
      <w:r w:rsidRPr="00236418">
        <w:t>Lorsqu</w:t>
      </w:r>
      <w:r>
        <w:t>'</w:t>
      </w:r>
      <w:r w:rsidRPr="00236418">
        <w:t>une sortie de ressources n</w:t>
      </w:r>
      <w:r>
        <w:t>'</w:t>
      </w:r>
      <w:r w:rsidRPr="00236418">
        <w:t>est pas probable ou ne peut pas être estimée de manière fiable, l</w:t>
      </w:r>
      <w:r>
        <w:t>'</w:t>
      </w:r>
      <w:r w:rsidRPr="00236418">
        <w:t>obligation n</w:t>
      </w:r>
      <w:r>
        <w:t>'</w:t>
      </w:r>
      <w:r w:rsidRPr="00236418">
        <w:t>est pas portée au bilan mais est présentée dans les Notes.</w:t>
      </w:r>
    </w:p>
    <w:p w14:paraId="5FB3B29C" w14:textId="77777777" w:rsidR="00761B6C" w:rsidRPr="00144C9E" w:rsidRDefault="00761B6C" w:rsidP="00144C9E">
      <w:pPr>
        <w:pStyle w:val="Headingb"/>
        <w:rPr>
          <w:u w:val="single"/>
        </w:rPr>
      </w:pPr>
      <w:bookmarkStart w:id="1100" w:name="_Toc269839075"/>
      <w:bookmarkStart w:id="1101" w:name="_Toc329178773"/>
      <w:bookmarkStart w:id="1102" w:name="_Toc329181746"/>
      <w:bookmarkStart w:id="1103" w:name="_Toc329202562"/>
      <w:bookmarkStart w:id="1104" w:name="_Toc329204994"/>
      <w:bookmarkStart w:id="1105" w:name="_Toc329206831"/>
      <w:bookmarkStart w:id="1106" w:name="_Toc358379917"/>
      <w:bookmarkStart w:id="1107" w:name="_Toc358380457"/>
      <w:bookmarkStart w:id="1108" w:name="_Toc387166639"/>
      <w:bookmarkStart w:id="1109" w:name="_Toc395260924"/>
      <w:bookmarkStart w:id="1110" w:name="_Toc395511703"/>
      <w:bookmarkStart w:id="1111" w:name="_Toc452138616"/>
      <w:bookmarkStart w:id="1112" w:name="_Toc452139065"/>
      <w:bookmarkStart w:id="1113" w:name="_Toc452139429"/>
      <w:bookmarkStart w:id="1114" w:name="_Toc452139829"/>
      <w:bookmarkStart w:id="1115" w:name="_Toc452140696"/>
      <w:bookmarkStart w:id="1116" w:name="_Toc482801486"/>
      <w:bookmarkStart w:id="1117" w:name="_Toc511649456"/>
      <w:bookmarkStart w:id="1118" w:name="_Toc511649828"/>
      <w:bookmarkStart w:id="1119" w:name="_Toc511649942"/>
      <w:bookmarkStart w:id="1120" w:name="_Toc511651198"/>
      <w:bookmarkStart w:id="1121" w:name="_Toc511724063"/>
      <w:bookmarkStart w:id="1122" w:name="_Toc511739052"/>
      <w:bookmarkStart w:id="1123" w:name="_Toc511741221"/>
      <w:bookmarkStart w:id="1124" w:name="_Toc10450727"/>
      <w:bookmarkStart w:id="1125" w:name="_Toc41566329"/>
      <w:bookmarkStart w:id="1126" w:name="_Toc41567842"/>
      <w:bookmarkStart w:id="1127" w:name="_Toc73356398"/>
      <w:r w:rsidRPr="00144C9E">
        <w:rPr>
          <w:u w:val="single"/>
        </w:rPr>
        <w:t>Actifs et passifs éventuels</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0BD7EC88" w14:textId="77777777" w:rsidR="00761B6C" w:rsidRPr="00236418" w:rsidRDefault="00761B6C" w:rsidP="00761B6C">
      <w:r w:rsidRPr="00236418">
        <w:t>Les actifs et passifs éventuels sont des droits et des engagements possibles qui résultent d</w:t>
      </w:r>
      <w:r>
        <w:t>'</w:t>
      </w:r>
      <w:r w:rsidRPr="00236418">
        <w:t>évènements passés et dont l</w:t>
      </w:r>
      <w:r>
        <w:t>'</w:t>
      </w:r>
      <w:r w:rsidRPr="00236418">
        <w:t>existence sera confirmée uniquement par la survenance ou la non</w:t>
      </w:r>
      <w:r>
        <w:noBreakHyphen/>
      </w:r>
      <w:r w:rsidRPr="00236418">
        <w:t>occurrence d</w:t>
      </w:r>
      <w:r>
        <w:t>'</w:t>
      </w:r>
      <w:r w:rsidRPr="00236418">
        <w:t>un ou de plusieurs évènements futurs incertains sur lesquels l</w:t>
      </w:r>
      <w:r>
        <w:t>'</w:t>
      </w:r>
      <w:r w:rsidRPr="00236418">
        <w:t>UIT n</w:t>
      </w:r>
      <w:r>
        <w:t>'</w:t>
      </w:r>
      <w:r w:rsidRPr="00236418">
        <w:t>exerce pas un contrôle total. Ces éléments sont présentés dans les Notes.</w:t>
      </w:r>
    </w:p>
    <w:p w14:paraId="7599D96C" w14:textId="77777777" w:rsidR="00761B6C" w:rsidRPr="00144C9E" w:rsidRDefault="00761B6C" w:rsidP="00144C9E">
      <w:pPr>
        <w:pStyle w:val="Headingb"/>
        <w:rPr>
          <w:u w:val="single"/>
          <w:lang w:eastAsia="zh-CN"/>
        </w:rPr>
      </w:pPr>
      <w:bookmarkStart w:id="1128" w:name="_Toc329178774"/>
      <w:bookmarkStart w:id="1129" w:name="_Toc329181747"/>
      <w:bookmarkStart w:id="1130" w:name="_Toc329202563"/>
      <w:bookmarkStart w:id="1131" w:name="_Toc329204995"/>
      <w:bookmarkStart w:id="1132" w:name="_Toc329206832"/>
      <w:bookmarkStart w:id="1133" w:name="_Toc358379918"/>
      <w:bookmarkStart w:id="1134" w:name="_Toc358380458"/>
      <w:bookmarkStart w:id="1135" w:name="_Toc387166640"/>
      <w:bookmarkStart w:id="1136" w:name="_Toc395260925"/>
      <w:bookmarkStart w:id="1137" w:name="_Toc395511704"/>
      <w:bookmarkStart w:id="1138" w:name="_Toc452138617"/>
      <w:bookmarkStart w:id="1139" w:name="_Toc452139066"/>
      <w:bookmarkStart w:id="1140" w:name="_Toc452139430"/>
      <w:bookmarkStart w:id="1141" w:name="_Toc452139830"/>
      <w:bookmarkStart w:id="1142" w:name="_Toc452140697"/>
      <w:bookmarkStart w:id="1143" w:name="_Toc482801487"/>
      <w:bookmarkStart w:id="1144" w:name="_Toc511649457"/>
      <w:bookmarkStart w:id="1145" w:name="_Toc511649829"/>
      <w:bookmarkStart w:id="1146" w:name="_Toc511649943"/>
      <w:bookmarkStart w:id="1147" w:name="_Toc511651199"/>
      <w:bookmarkStart w:id="1148" w:name="_Toc511724064"/>
      <w:bookmarkStart w:id="1149" w:name="_Toc511739053"/>
      <w:bookmarkStart w:id="1150" w:name="_Toc511741222"/>
      <w:bookmarkStart w:id="1151" w:name="_Toc10450728"/>
      <w:bookmarkStart w:id="1152" w:name="_Toc41566330"/>
      <w:bookmarkStart w:id="1153" w:name="_Toc41567843"/>
      <w:bookmarkStart w:id="1154" w:name="_Toc73356399"/>
      <w:r w:rsidRPr="00144C9E">
        <w:rPr>
          <w:u w:val="single"/>
        </w:rPr>
        <w:t>Prestations dues aux employés</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2A36F108" w14:textId="77777777" w:rsidR="00761B6C" w:rsidRPr="00236418" w:rsidRDefault="00761B6C" w:rsidP="00761B6C">
      <w:r w:rsidRPr="00236418">
        <w:t>Les prestations suivantes qui sont dues aux employés sont comptabilisées:</w:t>
      </w:r>
    </w:p>
    <w:p w14:paraId="18C98FDC" w14:textId="77777777" w:rsidR="00761B6C" w:rsidRPr="00236418" w:rsidRDefault="00761B6C" w:rsidP="00761B6C">
      <w:pPr>
        <w:pStyle w:val="enumlev1"/>
      </w:pPr>
      <w:r w:rsidRPr="00236418">
        <w:t>–</w:t>
      </w:r>
      <w:r w:rsidRPr="00236418">
        <w:tab/>
        <w:t>Les prestations à court terme qui doivent être réglées dans les douze mois suivant la clôture de l</w:t>
      </w:r>
      <w:r>
        <w:t>'</w:t>
      </w:r>
      <w:r w:rsidRPr="00236418">
        <w:t>exercice pendant lequel les employés ont assuré les services correspondants.</w:t>
      </w:r>
    </w:p>
    <w:p w14:paraId="07A09722" w14:textId="77777777" w:rsidR="00761B6C" w:rsidRPr="00236418" w:rsidRDefault="00761B6C" w:rsidP="00761B6C">
      <w:pPr>
        <w:pStyle w:val="enumlev1"/>
      </w:pPr>
      <w:r w:rsidRPr="00236418">
        <w:t>–</w:t>
      </w:r>
      <w:r w:rsidRPr="00236418">
        <w:tab/>
        <w:t>Les prestations à long terme dues au report possible d</w:t>
      </w:r>
      <w:r>
        <w:t>'</w:t>
      </w:r>
      <w:r w:rsidRPr="00236418">
        <w:t>avantages acquis pendant l</w:t>
      </w:r>
      <w:r>
        <w:t>'</w:t>
      </w:r>
      <w:r w:rsidRPr="00236418">
        <w:t>exercice ou les exercices précédents.</w:t>
      </w:r>
    </w:p>
    <w:p w14:paraId="36D2AD46" w14:textId="77777777" w:rsidR="00761B6C" w:rsidRPr="00236418" w:rsidRDefault="00761B6C" w:rsidP="00761B6C">
      <w:pPr>
        <w:pStyle w:val="enumlev1"/>
      </w:pPr>
      <w:r w:rsidRPr="00236418">
        <w:t>–</w:t>
      </w:r>
      <w:r w:rsidRPr="00236418">
        <w:tab/>
        <w:t>Les prestations à long terme dues après la cessation de service.</w:t>
      </w:r>
    </w:p>
    <w:p w14:paraId="4B4E1991" w14:textId="77777777" w:rsidR="00761B6C" w:rsidRPr="00236418" w:rsidRDefault="00761B6C" w:rsidP="00761B6C">
      <w:r w:rsidRPr="00236418">
        <w:t>Les prestations à long terme comprennent:</w:t>
      </w:r>
    </w:p>
    <w:p w14:paraId="0E379FED" w14:textId="77777777" w:rsidR="00761B6C" w:rsidRPr="00236418" w:rsidRDefault="00761B6C" w:rsidP="00761B6C">
      <w:pPr>
        <w:pStyle w:val="enumlev1"/>
      </w:pPr>
      <w:r w:rsidRPr="00236418">
        <w:t>–</w:t>
      </w:r>
      <w:r w:rsidRPr="00236418">
        <w:tab/>
        <w:t>Les engagements liés à la possibilité d</w:t>
      </w:r>
      <w:r>
        <w:t>'</w:t>
      </w:r>
      <w:r w:rsidRPr="00236418">
        <w:t>accumuler des congés non pris et qui sont pris en compte pour définir la date de départ en retraite.</w:t>
      </w:r>
    </w:p>
    <w:p w14:paraId="06FF0F2F" w14:textId="77777777" w:rsidR="00761B6C" w:rsidRPr="00236418" w:rsidRDefault="00761B6C" w:rsidP="00761B6C">
      <w:pPr>
        <w:pStyle w:val="enumlev1"/>
      </w:pPr>
      <w:r w:rsidRPr="00236418">
        <w:t>–</w:t>
      </w:r>
      <w:r w:rsidRPr="00236418">
        <w:tab/>
        <w:t>Les engagements liés aux obligations de rapatriement.</w:t>
      </w:r>
    </w:p>
    <w:p w14:paraId="01F62784" w14:textId="77777777" w:rsidR="00761B6C" w:rsidRPr="00236418" w:rsidRDefault="00761B6C" w:rsidP="00761B6C">
      <w:pPr>
        <w:pStyle w:val="enumlev1"/>
      </w:pPr>
      <w:r w:rsidRPr="00236418">
        <w:t>–</w:t>
      </w:r>
      <w:r w:rsidRPr="00236418">
        <w:tab/>
        <w:t>Les engagements liés au plan de pension de la Caisse commune des pensions du personnel des Nations Unies.</w:t>
      </w:r>
    </w:p>
    <w:p w14:paraId="5B569139" w14:textId="77777777" w:rsidR="00761B6C" w:rsidRPr="00236418" w:rsidRDefault="00761B6C" w:rsidP="00761B6C">
      <w:pPr>
        <w:pStyle w:val="enumlev1"/>
      </w:pPr>
      <w:r w:rsidRPr="00236418">
        <w:lastRenderedPageBreak/>
        <w:t>–</w:t>
      </w:r>
      <w:r w:rsidRPr="00236418">
        <w:tab/>
        <w:t>Les engagements concernant l</w:t>
      </w:r>
      <w:r>
        <w:t>'</w:t>
      </w:r>
      <w:r w:rsidRPr="00236418">
        <w:t>assurance maladie après la cessation de service (ASHI) tels que définis par le programme ASHI des Nations Unies.</w:t>
      </w:r>
    </w:p>
    <w:p w14:paraId="230E203D" w14:textId="77777777" w:rsidR="00761B6C" w:rsidRPr="00236418" w:rsidRDefault="00761B6C" w:rsidP="00761B6C">
      <w:pPr>
        <w:pStyle w:val="enumlev1"/>
      </w:pPr>
      <w:r w:rsidRPr="00236418">
        <w:t>–</w:t>
      </w:r>
      <w:r w:rsidRPr="00236418">
        <w:tab/>
        <w:t>Les engagements pour l</w:t>
      </w:r>
      <w:r>
        <w:t>'</w:t>
      </w:r>
      <w:r w:rsidRPr="00236418">
        <w:t>ancien plan de pension afin de définir les engagements de l</w:t>
      </w:r>
      <w:r>
        <w:t>'</w:t>
      </w:r>
      <w:r w:rsidRPr="00236418">
        <w:t>UIT à la date de clôture de l</w:t>
      </w:r>
      <w:r>
        <w:t>'</w:t>
      </w:r>
      <w:r w:rsidRPr="00236418">
        <w:t>exercice.</w:t>
      </w:r>
    </w:p>
    <w:p w14:paraId="6FF7772F" w14:textId="77777777" w:rsidR="00761B6C" w:rsidRPr="00236418" w:rsidRDefault="00761B6C" w:rsidP="00761B6C">
      <w:r w:rsidRPr="00236418">
        <w:t>Ces deux dernières prestations répondent à la définition de régimes à prestations définies et, comme c</w:t>
      </w:r>
      <w:r>
        <w:t>'</w:t>
      </w:r>
      <w:r w:rsidRPr="00236418">
        <w:t>est le cas également pour les obligations de rapatriement, font l</w:t>
      </w:r>
      <w:r>
        <w:t>'</w:t>
      </w:r>
      <w:r w:rsidRPr="00236418">
        <w:t>objet d</w:t>
      </w:r>
      <w:r>
        <w:t>'</w:t>
      </w:r>
      <w:r w:rsidRPr="00236418">
        <w:t>études actuarielles.</w:t>
      </w:r>
    </w:p>
    <w:p w14:paraId="03A43AAB" w14:textId="77777777" w:rsidR="00761B6C" w:rsidRPr="00236418" w:rsidRDefault="00761B6C" w:rsidP="00761B6C">
      <w:r w:rsidRPr="00236418">
        <w:t>L</w:t>
      </w:r>
      <w:r>
        <w:t>'</w:t>
      </w:r>
      <w:r w:rsidRPr="00236418">
        <w:t>UIT est une organisation membre de la Caisse commune des pensions du personnel des Nations Unies (CCPPNU), créée par l</w:t>
      </w:r>
      <w:r>
        <w:t>'</w:t>
      </w:r>
      <w:r w:rsidRPr="00236418">
        <w:t>Assemblée générale des Nations Unies pour assurer aux employés des prestations de retraite, de décès, d</w:t>
      </w:r>
      <w:r>
        <w:t>'</w:t>
      </w:r>
      <w:r w:rsidRPr="00236418">
        <w:t>invalidité et des prestations connexes. La Caisse est un régime multi-employeurs capitalisé à prestations définies. Comme indiqué dans l</w:t>
      </w:r>
      <w:r>
        <w:t>'</w:t>
      </w:r>
      <w:r w:rsidRPr="00236418">
        <w:t>Article 3b) des Statuts de la Caisse, peuvent s</w:t>
      </w:r>
      <w:r>
        <w:t>'</w:t>
      </w:r>
      <w:r w:rsidRPr="00236418">
        <w:t>affilier à la Caisse les institutions spécialisées, ainsi que toute autre organisation intergouvernementale internationale qui applique le régime commun de traitements, indemnités et autres conditions d</w:t>
      </w:r>
      <w:r>
        <w:t>'</w:t>
      </w:r>
      <w:r w:rsidRPr="00236418">
        <w:t>emploi de l</w:t>
      </w:r>
      <w:r>
        <w:t>'</w:t>
      </w:r>
      <w:r w:rsidRPr="00236418">
        <w:t>Organisation des Nations Unies et des institutions spécialisées.</w:t>
      </w:r>
    </w:p>
    <w:p w14:paraId="4E6B5782" w14:textId="77777777" w:rsidR="00761B6C" w:rsidRPr="00236418" w:rsidRDefault="00761B6C" w:rsidP="00761B6C">
      <w:r w:rsidRPr="00236418">
        <w:t>Le plan expose les organisations affiliées aux risques actuariels liés aux employés en activité et aux anciens employés d</w:t>
      </w:r>
      <w:r>
        <w:t>'</w:t>
      </w:r>
      <w:r w:rsidRPr="00236418">
        <w:t>autres organisations participant à la Caisse, de sorte qu</w:t>
      </w:r>
      <w:r>
        <w:t>'</w:t>
      </w:r>
      <w:r w:rsidRPr="00236418">
        <w:t>il n</w:t>
      </w:r>
      <w:r>
        <w:t>'</w:t>
      </w:r>
      <w:r w:rsidRPr="00236418">
        <w:t>existe aucune base cohérente et fiable permettant de répartir les engagements, les actifs du régime et les coûts entre les différentes organisations participant au régime. L</w:t>
      </w:r>
      <w:r>
        <w:t>'</w:t>
      </w:r>
      <w:r w:rsidRPr="00236418">
        <w:t>UIT et la CCPPNU, tout comme les autres organisations affiliées à la Caisse, ne sont pas en mesure de déterminer la quote-part de l</w:t>
      </w:r>
      <w:r>
        <w:t>'</w:t>
      </w:r>
      <w:r w:rsidRPr="00236418">
        <w:t>institution dans les engagements au titre des prestations définies, les actifs du régime et les coûts associés au régime de façon suffisamment fiable aux fins de comptabilisation. En conséquence, l</w:t>
      </w:r>
      <w:r>
        <w:t>'</w:t>
      </w:r>
      <w:r w:rsidRPr="00236418">
        <w:t xml:space="preserve">institution assimile ce régime à un régime à cotisations définies, conformément aux dispositions de la norme IPSAS 39 sur </w:t>
      </w:r>
      <w:r w:rsidRPr="00236418">
        <w:rPr>
          <w:color w:val="000000"/>
        </w:rPr>
        <w:t>les avantages du personnel</w:t>
      </w:r>
      <w:r w:rsidRPr="00236418">
        <w:t>. Les cotisations de l</w:t>
      </w:r>
      <w:r>
        <w:t>'</w:t>
      </w:r>
      <w:r w:rsidRPr="00236418">
        <w:t>institution au plan pendant l</w:t>
      </w:r>
      <w:r>
        <w:t>'</w:t>
      </w:r>
      <w:r w:rsidRPr="00236418">
        <w:t>exercice sont comptabilisées en charges dans l</w:t>
      </w:r>
      <w:r>
        <w:t>'</w:t>
      </w:r>
      <w:r w:rsidRPr="00236418">
        <w:t>état de la performance financière.</w:t>
      </w:r>
    </w:p>
    <w:p w14:paraId="07090892" w14:textId="225C17A6" w:rsidR="00761B6C" w:rsidRPr="00895B85" w:rsidRDefault="00761B6C" w:rsidP="00761B6C">
      <w:r w:rsidRPr="00FC2C30">
        <w:t>Depuis le 1er janvier 2020, l</w:t>
      </w:r>
      <w:r>
        <w:t>'</w:t>
      </w:r>
      <w:r w:rsidRPr="00FC2C30">
        <w:t>UIT a intégré l</w:t>
      </w:r>
      <w:r>
        <w:t>'</w:t>
      </w:r>
      <w:r w:rsidRPr="00FC2C30">
        <w:t>Assurance mutuelle contre la maladie et les accidents du personnel des Nations Unies (UNSMIS)</w:t>
      </w:r>
      <w:r>
        <w:t xml:space="preserve">, </w:t>
      </w:r>
      <w:r w:rsidRPr="00FC2C30">
        <w:t>qui regroupe plusieurs organisations et institutions spécialisées des Nations Unies basées à Genève et comprend le personnel de l</w:t>
      </w:r>
      <w:r>
        <w:t>'</w:t>
      </w:r>
      <w:r w:rsidR="00926C1D">
        <w:t>Office des Nations </w:t>
      </w:r>
      <w:r w:rsidRPr="00FC2C30">
        <w:t>Unies, du HCR et de l</w:t>
      </w:r>
      <w:r>
        <w:t>'</w:t>
      </w:r>
      <w:r w:rsidRPr="00FC2C30">
        <w:t>OMM</w:t>
      </w:r>
      <w:r w:rsidRPr="00FC2C30">
        <w:rPr>
          <w:iCs/>
        </w:rPr>
        <w:t>.</w:t>
      </w:r>
      <w:r w:rsidRPr="00FC2C30">
        <w:t xml:space="preserve"> </w:t>
      </w:r>
      <w:r w:rsidRPr="00236418">
        <w:t>Les engagements concernant l</w:t>
      </w:r>
      <w:r>
        <w:t>'</w:t>
      </w:r>
      <w:r w:rsidRPr="00236418">
        <w:t>ASHI font l</w:t>
      </w:r>
      <w:r>
        <w:t>'</w:t>
      </w:r>
      <w:r w:rsidRPr="00236418">
        <w:t>objet d</w:t>
      </w:r>
      <w:r>
        <w:t>'</w:t>
      </w:r>
      <w:r w:rsidRPr="00236418">
        <w:t>une étude actuarielle selon la norme IPSAS 39 afin de définir et de comptabiliser le montant des engagements futurs de l</w:t>
      </w:r>
      <w:r>
        <w:t>'</w:t>
      </w:r>
      <w:r w:rsidRPr="00236418">
        <w:t>UIT relatif à ces prestations. Une évaluation actuarielle indépendante a été commandée par l</w:t>
      </w:r>
      <w:r>
        <w:t>'</w:t>
      </w:r>
      <w:r w:rsidRPr="00236418">
        <w:t>UIT afin d</w:t>
      </w:r>
      <w:r>
        <w:t>'</w:t>
      </w:r>
      <w:r w:rsidRPr="00236418">
        <w:t>évaluer les engagements au titre de l</w:t>
      </w:r>
      <w:r>
        <w:t>'</w:t>
      </w:r>
      <w:r w:rsidRPr="00236418">
        <w:t>ASHI fin décembre. La comptabilisation des gains et pertes actuarielles de ce plan suit la méthode AERE "Autres éléments du résultat étendu" qui prescrit une comptabilisation des gains et pertes actuarielles de l</w:t>
      </w:r>
      <w:r>
        <w:t>'</w:t>
      </w:r>
      <w:r w:rsidRPr="00236418">
        <w:t>exercice à l</w:t>
      </w:r>
      <w:r>
        <w:t>'</w:t>
      </w:r>
      <w:r w:rsidRPr="00236418">
        <w:t>actif net dans l</w:t>
      </w:r>
      <w:r>
        <w:t>'</w:t>
      </w:r>
      <w:r w:rsidRPr="00236418">
        <w:t>état de la situation financière.</w:t>
      </w:r>
    </w:p>
    <w:p w14:paraId="009A8390" w14:textId="77777777" w:rsidR="00761B6C" w:rsidRPr="00236418" w:rsidRDefault="00761B6C" w:rsidP="00761B6C">
      <w:r w:rsidRPr="00236418">
        <w:t>Les hypothèses concernant l</w:t>
      </w:r>
      <w:r>
        <w:t>'</w:t>
      </w:r>
      <w:r w:rsidRPr="00236418">
        <w:t>UIT sont décrites dans les Notes relatives aux avantages du personnel.</w:t>
      </w:r>
    </w:p>
    <w:p w14:paraId="42B5D978" w14:textId="77777777" w:rsidR="00761B6C" w:rsidRPr="00144C9E" w:rsidRDefault="00761B6C" w:rsidP="00144C9E">
      <w:pPr>
        <w:pStyle w:val="Headingb"/>
        <w:rPr>
          <w:u w:val="single"/>
        </w:rPr>
      </w:pPr>
      <w:bookmarkStart w:id="1155" w:name="_Toc329202564"/>
      <w:bookmarkStart w:id="1156" w:name="_Toc329204996"/>
      <w:bookmarkStart w:id="1157" w:name="_Toc329206833"/>
      <w:bookmarkStart w:id="1158" w:name="_Toc358379919"/>
      <w:bookmarkStart w:id="1159" w:name="_Toc358380459"/>
      <w:bookmarkStart w:id="1160" w:name="_Toc387166641"/>
      <w:bookmarkStart w:id="1161" w:name="_Toc395260926"/>
      <w:bookmarkStart w:id="1162" w:name="_Toc395511705"/>
      <w:bookmarkStart w:id="1163" w:name="_Toc452138618"/>
      <w:bookmarkStart w:id="1164" w:name="_Toc452139067"/>
      <w:bookmarkStart w:id="1165" w:name="_Toc452139431"/>
      <w:bookmarkStart w:id="1166" w:name="_Toc452139831"/>
      <w:bookmarkStart w:id="1167" w:name="_Toc452140698"/>
      <w:bookmarkStart w:id="1168" w:name="_Toc482801488"/>
      <w:bookmarkStart w:id="1169" w:name="_Toc511649458"/>
      <w:bookmarkStart w:id="1170" w:name="_Toc511649830"/>
      <w:bookmarkStart w:id="1171" w:name="_Toc511649944"/>
      <w:bookmarkStart w:id="1172" w:name="_Toc511651200"/>
      <w:bookmarkStart w:id="1173" w:name="_Toc511724065"/>
      <w:bookmarkStart w:id="1174" w:name="_Toc511739054"/>
      <w:bookmarkStart w:id="1175" w:name="_Toc511741223"/>
      <w:bookmarkStart w:id="1176" w:name="_Toc10450729"/>
      <w:bookmarkStart w:id="1177" w:name="_Toc41566331"/>
      <w:bookmarkStart w:id="1178" w:name="_Toc41567844"/>
      <w:bookmarkStart w:id="1179" w:name="_Toc73356400"/>
      <w:r w:rsidRPr="00144C9E">
        <w:rPr>
          <w:u w:val="single"/>
        </w:rPr>
        <w:t>Comptabilisation des fonds</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5564A63D" w14:textId="77777777" w:rsidR="00761B6C" w:rsidRPr="00236418" w:rsidRDefault="00761B6C" w:rsidP="00761B6C">
      <w:pPr>
        <w:pStyle w:val="Headingb"/>
        <w:rPr>
          <w:i/>
          <w:iCs/>
        </w:rPr>
      </w:pPr>
      <w:bookmarkStart w:id="1180" w:name="_Toc329202565"/>
      <w:bookmarkStart w:id="1181" w:name="_Toc329204997"/>
      <w:bookmarkStart w:id="1182" w:name="_Toc329206834"/>
      <w:bookmarkStart w:id="1183" w:name="_Toc358379920"/>
      <w:bookmarkStart w:id="1184" w:name="_Toc358380460"/>
      <w:bookmarkStart w:id="1185" w:name="_Toc387166642"/>
      <w:bookmarkStart w:id="1186" w:name="_Toc387167453"/>
      <w:bookmarkStart w:id="1187" w:name="_Toc395260927"/>
      <w:bookmarkStart w:id="1188" w:name="_Toc395511706"/>
      <w:bookmarkStart w:id="1189" w:name="_Toc452138619"/>
      <w:bookmarkStart w:id="1190" w:name="_Toc452139068"/>
      <w:bookmarkStart w:id="1191" w:name="_Toc452139432"/>
      <w:bookmarkStart w:id="1192" w:name="_Toc452139832"/>
      <w:bookmarkStart w:id="1193" w:name="_Toc452140419"/>
      <w:bookmarkStart w:id="1194" w:name="_Toc452140699"/>
      <w:bookmarkStart w:id="1195" w:name="_Toc482801489"/>
      <w:bookmarkStart w:id="1196" w:name="_Toc511649459"/>
      <w:bookmarkStart w:id="1197" w:name="_Toc511649831"/>
      <w:bookmarkStart w:id="1198" w:name="_Toc511649945"/>
      <w:bookmarkStart w:id="1199" w:name="_Toc511650063"/>
      <w:bookmarkStart w:id="1200" w:name="_Toc511650556"/>
      <w:bookmarkStart w:id="1201" w:name="_Toc511651201"/>
      <w:bookmarkStart w:id="1202" w:name="_Toc511724066"/>
      <w:bookmarkStart w:id="1203" w:name="_Toc511739055"/>
      <w:bookmarkStart w:id="1204" w:name="_Toc511741224"/>
      <w:bookmarkStart w:id="1205" w:name="_Toc9605718"/>
      <w:bookmarkStart w:id="1206" w:name="_Toc10450730"/>
      <w:bookmarkStart w:id="1207" w:name="_Toc41566332"/>
      <w:bookmarkStart w:id="1208" w:name="_Toc41814945"/>
      <w:bookmarkStart w:id="1209" w:name="_Toc73354434"/>
      <w:bookmarkStart w:id="1210" w:name="_Toc73356401"/>
      <w:r w:rsidRPr="00236418">
        <w:rPr>
          <w:i/>
          <w:iCs/>
        </w:rPr>
        <w:t>Fonds de tiers affectés</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114A48B5" w14:textId="08D8F1F8" w:rsidR="00761B6C" w:rsidRPr="00236418" w:rsidRDefault="00761B6C" w:rsidP="00761B6C">
      <w:r w:rsidRPr="00236418">
        <w:t>Il s</w:t>
      </w:r>
      <w:r>
        <w:t>'</w:t>
      </w:r>
      <w:r w:rsidRPr="00236418">
        <w:t>agit de financements provenant de tiers pour appuyer l</w:t>
      </w:r>
      <w:r>
        <w:t>'</w:t>
      </w:r>
      <w:r w:rsidRPr="00236418">
        <w:t xml:space="preserve">Union dans la mise en œuvre de projets en faveur des pays en développement ou menés dans ces pays. Ces contributions sont assorties de conditions contractuelles. Ces financements ne sont comptabilisés en tant que revenus que lorsque les donateurs se sont engagés par écrit et au fur et à mesure des dépenses encourues. </w:t>
      </w:r>
      <w:r w:rsidRPr="00236418">
        <w:lastRenderedPageBreak/>
        <w:t>Les</w:t>
      </w:r>
      <w:r w:rsidR="00926C1D">
        <w:t> </w:t>
      </w:r>
      <w:r w:rsidRPr="00236418">
        <w:t>projets financés ne débutent que lorsque les fonds ont été versés à l</w:t>
      </w:r>
      <w:r>
        <w:t>'</w:t>
      </w:r>
      <w:r w:rsidRPr="00236418">
        <w:t>UIT. À la clôture de l</w:t>
      </w:r>
      <w:r>
        <w:t>'</w:t>
      </w:r>
      <w:r w:rsidRPr="00236418">
        <w:t>exercice budgétaire, le solde non utilisé de ces financements est comptabilisé dans la balance des fonds affectés dans l</w:t>
      </w:r>
      <w:r>
        <w:t>'</w:t>
      </w:r>
      <w:r w:rsidRPr="00236418">
        <w:t>état de la situation financière. Dans certains cas particuliers, les fonds sont versés à l</w:t>
      </w:r>
      <w:r>
        <w:t>'</w:t>
      </w:r>
      <w:r w:rsidRPr="00236418">
        <w:t>UIT en remboursement des dépenses déjà engagées.</w:t>
      </w:r>
    </w:p>
    <w:p w14:paraId="69D3F35C" w14:textId="77777777" w:rsidR="00761B6C" w:rsidRPr="00236418" w:rsidRDefault="00761B6C" w:rsidP="00761B6C">
      <w:pPr>
        <w:keepNext/>
        <w:keepLines/>
      </w:pPr>
      <w:r w:rsidRPr="00236418">
        <w:t>Ces fonds de tiers affectés se répartissent de la manière suivante:</w:t>
      </w:r>
    </w:p>
    <w:p w14:paraId="032C05B0" w14:textId="77777777" w:rsidR="00761B6C" w:rsidRPr="00236418" w:rsidRDefault="00761B6C" w:rsidP="00761B6C">
      <w:pPr>
        <w:pStyle w:val="enumlev1"/>
        <w:keepNext/>
        <w:keepLines/>
        <w:rPr>
          <w:b/>
          <w:bCs/>
        </w:rPr>
      </w:pPr>
      <w:r w:rsidRPr="00236418">
        <w:t>–</w:t>
      </w:r>
      <w:r w:rsidRPr="00236418">
        <w:rPr>
          <w:b/>
          <w:bCs/>
        </w:rPr>
        <w:tab/>
        <w:t>Programme des Nations Unies pour le développement</w:t>
      </w:r>
    </w:p>
    <w:p w14:paraId="4AE2EEAE" w14:textId="77777777" w:rsidR="00761B6C" w:rsidRPr="00236418" w:rsidRDefault="00761B6C" w:rsidP="00761B6C">
      <w:r w:rsidRPr="00236418">
        <w:t>L</w:t>
      </w:r>
      <w:r>
        <w:t>'</w:t>
      </w:r>
      <w:r w:rsidRPr="00236418">
        <w:t xml:space="preserve">UIT a passé un Accord avec le Programme des Nations Unies pour le développement (PNUD), et peut être exécuteur exclusif ou </w:t>
      </w:r>
      <w:proofErr w:type="spellStart"/>
      <w:r w:rsidRPr="00236418">
        <w:t>coexécuteur</w:t>
      </w:r>
      <w:proofErr w:type="spellEnd"/>
      <w:r w:rsidRPr="00236418">
        <w:t xml:space="preserve"> avec le PNUD de divers projets. Pour les projets exécutés, soit partiellement, soit en totalité par l</w:t>
      </w:r>
      <w:r>
        <w:t>'</w:t>
      </w:r>
      <w:r w:rsidRPr="00236418">
        <w:t>UIT, le PNUD fournit à l</w:t>
      </w:r>
      <w:r>
        <w:t>'</w:t>
      </w:r>
      <w:r w:rsidRPr="00236418">
        <w:t>UIT une allocation budgétaire. De manière générale, il existe deux catégories de projets PNUD: les projets exécutés par l</w:t>
      </w:r>
      <w:r>
        <w:t>'</w:t>
      </w:r>
      <w:r w:rsidRPr="00236418">
        <w:t>UIT; et les projets exécutés par les gouvernements.</w:t>
      </w:r>
    </w:p>
    <w:p w14:paraId="7EEB5676" w14:textId="77777777" w:rsidR="00761B6C" w:rsidRPr="00236418" w:rsidRDefault="00761B6C" w:rsidP="00761B6C">
      <w:r w:rsidRPr="00236418">
        <w:t>À la fin de chaque année sur la base du "Project Delivery Report" (PDR), le PNUD rembourse à l</w:t>
      </w:r>
      <w:r>
        <w:t>'</w:t>
      </w:r>
      <w:r w:rsidRPr="00236418">
        <w:t>UIT la totalité des dépenses encourues, fixées par cette allocation. Au titre de son appui aux projets, l</w:t>
      </w:r>
      <w:r>
        <w:t>'</w:t>
      </w:r>
      <w:r w:rsidRPr="00236418">
        <w:t>UIT perçoit une allocation calculée au prorata des dépenses enregistrées dans les PDR.</w:t>
      </w:r>
    </w:p>
    <w:p w14:paraId="2560E820" w14:textId="77777777" w:rsidR="00761B6C" w:rsidRPr="00236418" w:rsidRDefault="00761B6C" w:rsidP="00761B6C">
      <w:pPr>
        <w:pStyle w:val="enumlev1"/>
        <w:rPr>
          <w:b/>
          <w:bCs/>
        </w:rPr>
      </w:pPr>
      <w:r w:rsidRPr="00236418">
        <w:t>–</w:t>
      </w:r>
      <w:r w:rsidRPr="00236418">
        <w:rPr>
          <w:b/>
          <w:bCs/>
        </w:rPr>
        <w:tab/>
        <w:t>Fonds d</w:t>
      </w:r>
      <w:r>
        <w:rPr>
          <w:b/>
          <w:bCs/>
        </w:rPr>
        <w:t>'</w:t>
      </w:r>
      <w:r w:rsidRPr="00236418">
        <w:rPr>
          <w:b/>
          <w:bCs/>
        </w:rPr>
        <w:t>affectation spéciale</w:t>
      </w:r>
    </w:p>
    <w:p w14:paraId="11B5E5D3" w14:textId="77777777" w:rsidR="00761B6C" w:rsidRPr="00236418" w:rsidRDefault="00761B6C" w:rsidP="00761B6C">
      <w:r w:rsidRPr="00236418">
        <w:t>Les fonds d</w:t>
      </w:r>
      <w:r>
        <w:t>'</w:t>
      </w:r>
      <w:r w:rsidRPr="00236418">
        <w:t>affectation spéciale (FAS) servent à exécuter des projets qui sont financés par des contributions réservées, par le Fonds pour le développement des TIC (FDTIC) ou par les gouvernements. Dans tous les cas, les fonds doivent être crédités aux projets avant que les dépenses ne soient engagées. Les fonds d</w:t>
      </w:r>
      <w:r>
        <w:t>'</w:t>
      </w:r>
      <w:r w:rsidRPr="00236418">
        <w:t>affection spéciale sont constitués de contributions volontaires dont l</w:t>
      </w:r>
      <w:r>
        <w:t>'</w:t>
      </w:r>
      <w:r w:rsidRPr="00236418">
        <w:t>utilisation est spécifique et restreinte. Ces contributions engendrent des dépenses d</w:t>
      </w:r>
      <w:r>
        <w:t>'</w:t>
      </w:r>
      <w:r w:rsidRPr="00236418">
        <w:t>appui pendant l</w:t>
      </w:r>
      <w:r>
        <w:t>'</w:t>
      </w:r>
      <w:r w:rsidRPr="00236418">
        <w:t>exécution et la mise en œuvre des projets.</w:t>
      </w:r>
    </w:p>
    <w:p w14:paraId="0A3E8D19" w14:textId="77777777" w:rsidR="00761B6C" w:rsidRPr="00236418" w:rsidRDefault="00761B6C" w:rsidP="00761B6C">
      <w:pPr>
        <w:pStyle w:val="enumlev1"/>
        <w:keepNext/>
        <w:keepLines/>
        <w:rPr>
          <w:b/>
          <w:bCs/>
        </w:rPr>
      </w:pPr>
      <w:r w:rsidRPr="00D162AD">
        <w:t>–</w:t>
      </w:r>
      <w:r w:rsidRPr="00D162AD">
        <w:tab/>
      </w:r>
      <w:r w:rsidRPr="00236418">
        <w:rPr>
          <w:b/>
          <w:bCs/>
        </w:rPr>
        <w:t>Contributions volontaires</w:t>
      </w:r>
    </w:p>
    <w:p w14:paraId="1CB7A976" w14:textId="77777777" w:rsidR="00761B6C" w:rsidRPr="00236418" w:rsidRDefault="00761B6C" w:rsidP="00761B6C">
      <w:pPr>
        <w:keepNext/>
        <w:keepLines/>
      </w:pPr>
      <w:r w:rsidRPr="00236418">
        <w:t>Les contributions volontaires proviennent de donateurs et viennent compléter le financement des activités spécifiques inscrites au budget ordinaire, telles que les séminaires, les groupes de travail, les commissions d</w:t>
      </w:r>
      <w:r>
        <w:t>'</w:t>
      </w:r>
      <w:r w:rsidRPr="00236418">
        <w:t>études, les formations et les bourses. Elles peuvent servir à financer des activités à long terme et n</w:t>
      </w:r>
      <w:r>
        <w:t>'</w:t>
      </w:r>
      <w:r w:rsidRPr="00236418">
        <w:t>engendrent pas de dépenses d</w:t>
      </w:r>
      <w:r>
        <w:t>'</w:t>
      </w:r>
      <w:r w:rsidRPr="00236418">
        <w:t>appui.</w:t>
      </w:r>
    </w:p>
    <w:p w14:paraId="4CECE23E" w14:textId="77777777" w:rsidR="00761B6C" w:rsidRPr="00236418" w:rsidRDefault="00761B6C" w:rsidP="00761B6C">
      <w:r w:rsidRPr="00236418">
        <w:t>L</w:t>
      </w:r>
      <w:r>
        <w:t>'</w:t>
      </w:r>
      <w:r w:rsidRPr="00236418">
        <w:t>Union tient une comptabilité des contributions volontaires dans la devise dans laquelle celles-ci sont versées, et gère les projets fondés sur le budget alloué dans cette même devise, sauf indication contraire.</w:t>
      </w:r>
    </w:p>
    <w:p w14:paraId="36B03E37" w14:textId="77777777" w:rsidR="00761B6C" w:rsidRPr="00236418" w:rsidRDefault="00761B6C" w:rsidP="00761B6C">
      <w:pPr>
        <w:pStyle w:val="Headingi"/>
        <w:keepNext w:val="0"/>
        <w:keepLines w:val="0"/>
        <w:spacing w:before="120"/>
        <w:ind w:left="0" w:firstLine="0"/>
        <w:outlineLvl w:val="9"/>
        <w:rPr>
          <w:b/>
          <w:bCs/>
        </w:rPr>
      </w:pPr>
      <w:bookmarkStart w:id="1211" w:name="_Toc329202566"/>
      <w:bookmarkStart w:id="1212" w:name="_Toc329204998"/>
      <w:bookmarkStart w:id="1213" w:name="_Toc329206835"/>
      <w:bookmarkStart w:id="1214" w:name="_Toc358379921"/>
      <w:bookmarkStart w:id="1215" w:name="_Toc358380461"/>
      <w:bookmarkStart w:id="1216" w:name="_Toc387166643"/>
      <w:bookmarkStart w:id="1217" w:name="_Toc387167454"/>
      <w:bookmarkStart w:id="1218" w:name="_Toc395260928"/>
      <w:bookmarkStart w:id="1219" w:name="_Toc395511707"/>
      <w:bookmarkStart w:id="1220" w:name="_Toc452138620"/>
      <w:bookmarkStart w:id="1221" w:name="_Toc452139069"/>
      <w:bookmarkStart w:id="1222" w:name="_Toc452139433"/>
      <w:bookmarkStart w:id="1223" w:name="_Toc452139833"/>
      <w:bookmarkStart w:id="1224" w:name="_Toc452140420"/>
      <w:bookmarkStart w:id="1225" w:name="_Toc452140700"/>
      <w:bookmarkStart w:id="1226" w:name="_Toc482801490"/>
      <w:bookmarkStart w:id="1227" w:name="_Toc482888745"/>
      <w:bookmarkStart w:id="1228" w:name="_Toc511649460"/>
      <w:bookmarkStart w:id="1229" w:name="_Toc511649832"/>
      <w:bookmarkStart w:id="1230" w:name="_Toc511649946"/>
      <w:bookmarkStart w:id="1231" w:name="_Toc511650064"/>
      <w:bookmarkStart w:id="1232" w:name="_Toc511650557"/>
      <w:bookmarkStart w:id="1233" w:name="_Toc511651202"/>
      <w:bookmarkStart w:id="1234" w:name="_Toc511724067"/>
      <w:bookmarkStart w:id="1235" w:name="_Toc511739056"/>
      <w:bookmarkStart w:id="1236" w:name="_Toc511741225"/>
      <w:bookmarkStart w:id="1237" w:name="_Toc9605719"/>
      <w:bookmarkStart w:id="1238" w:name="_Toc10450731"/>
      <w:bookmarkStart w:id="1239" w:name="_Toc41566333"/>
      <w:bookmarkStart w:id="1240" w:name="_Toc41814946"/>
      <w:bookmarkStart w:id="1241" w:name="_Toc73354435"/>
      <w:bookmarkStart w:id="1242" w:name="_Toc73356402"/>
      <w:r w:rsidRPr="00236418">
        <w:rPr>
          <w:b/>
          <w:bCs/>
        </w:rPr>
        <w:t>Fonds de tiers en cours d</w:t>
      </w:r>
      <w:r>
        <w:rPr>
          <w:b/>
          <w:bCs/>
        </w:rPr>
        <w:t>'</w:t>
      </w:r>
      <w:r w:rsidRPr="00236418">
        <w:rPr>
          <w:b/>
          <w:bCs/>
        </w:rPr>
        <w:t>affectation</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224F87B8" w14:textId="77777777" w:rsidR="00761B6C" w:rsidRPr="00236418" w:rsidRDefault="00761B6C" w:rsidP="00761B6C">
      <w:r w:rsidRPr="00236418">
        <w:t>Il s</w:t>
      </w:r>
      <w:r>
        <w:t>'</w:t>
      </w:r>
      <w:r w:rsidRPr="00236418">
        <w:t>agit de fonds reçus de tiers dont l</w:t>
      </w:r>
      <w:r>
        <w:t>'</w:t>
      </w:r>
      <w:r w:rsidRPr="00236418">
        <w:t>affectation n</w:t>
      </w:r>
      <w:r>
        <w:t>'</w:t>
      </w:r>
      <w:r w:rsidRPr="00236418">
        <w:t>a pas encore été finalisée et qui ne peuvent en conséquence pas encore être dépensés.</w:t>
      </w:r>
    </w:p>
    <w:p w14:paraId="6016591C" w14:textId="77777777" w:rsidR="00761B6C" w:rsidRPr="00144C9E" w:rsidRDefault="00761B6C" w:rsidP="00144C9E">
      <w:pPr>
        <w:pStyle w:val="Headingb"/>
        <w:rPr>
          <w:u w:val="single"/>
        </w:rPr>
      </w:pPr>
      <w:bookmarkStart w:id="1243" w:name="_Toc329202567"/>
      <w:bookmarkStart w:id="1244" w:name="_Toc329204999"/>
      <w:bookmarkStart w:id="1245" w:name="_Toc329206836"/>
      <w:bookmarkStart w:id="1246" w:name="_Toc358379922"/>
      <w:bookmarkStart w:id="1247" w:name="_Toc358380462"/>
      <w:bookmarkStart w:id="1248" w:name="_Toc387166645"/>
      <w:bookmarkStart w:id="1249" w:name="_Toc395260930"/>
      <w:bookmarkStart w:id="1250" w:name="_Toc395511709"/>
      <w:bookmarkStart w:id="1251" w:name="_Toc452138621"/>
      <w:bookmarkStart w:id="1252" w:name="_Toc452139070"/>
      <w:bookmarkStart w:id="1253" w:name="_Toc452139434"/>
      <w:bookmarkStart w:id="1254" w:name="_Toc452139834"/>
      <w:bookmarkStart w:id="1255" w:name="_Toc452140701"/>
      <w:bookmarkStart w:id="1256" w:name="_Toc482801491"/>
      <w:bookmarkStart w:id="1257" w:name="_Toc511649461"/>
      <w:bookmarkStart w:id="1258" w:name="_Toc511649833"/>
      <w:bookmarkStart w:id="1259" w:name="_Toc511649947"/>
      <w:bookmarkStart w:id="1260" w:name="_Toc511651203"/>
      <w:bookmarkStart w:id="1261" w:name="_Toc511724068"/>
      <w:bookmarkStart w:id="1262" w:name="_Toc511739057"/>
      <w:bookmarkStart w:id="1263" w:name="_Toc511741226"/>
      <w:bookmarkStart w:id="1264" w:name="_Toc10450732"/>
      <w:bookmarkStart w:id="1265" w:name="_Toc41566334"/>
      <w:bookmarkStart w:id="1266" w:name="_Toc41567845"/>
      <w:bookmarkStart w:id="1267" w:name="_Toc73356403"/>
      <w:r w:rsidRPr="00144C9E">
        <w:rPr>
          <w:u w:val="single"/>
        </w:rPr>
        <w:t>Fonds de réserve</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14:paraId="54657B03" w14:textId="77777777" w:rsidR="00761B6C" w:rsidRPr="00236418" w:rsidRDefault="00761B6C" w:rsidP="00761B6C">
      <w:pPr>
        <w:rPr>
          <w:b/>
        </w:rPr>
      </w:pPr>
      <w:r w:rsidRPr="00236418">
        <w:t>Conformément au numéro 485 de la Convention et à l</w:t>
      </w:r>
      <w:r>
        <w:t>'</w:t>
      </w:r>
      <w:r w:rsidRPr="00236418">
        <w:t>Article 27 du Règlement financier, le Fonds de réserve est alimenté principalement par des crédits budgétaires inutilisés. Son évolution est décrite en détail dans l</w:t>
      </w:r>
      <w:r>
        <w:t>'</w:t>
      </w:r>
      <w:r w:rsidRPr="00236418">
        <w:t>état de variation de l</w:t>
      </w:r>
      <w:r>
        <w:t>'</w:t>
      </w:r>
      <w:r w:rsidRPr="00236418">
        <w:t>actif net de l</w:t>
      </w:r>
      <w:r>
        <w:t>'</w:t>
      </w:r>
      <w:r w:rsidRPr="00236418">
        <w:t>Union. Le Fonds de réserve est constitué des éléments suivants:</w:t>
      </w:r>
    </w:p>
    <w:p w14:paraId="542CF4E2" w14:textId="77777777" w:rsidR="00761B6C" w:rsidRPr="00236418" w:rsidRDefault="00761B6C" w:rsidP="00761B6C">
      <w:pPr>
        <w:pStyle w:val="enumlev1"/>
      </w:pPr>
      <w:r w:rsidRPr="00236418">
        <w:t>a)</w:t>
      </w:r>
      <w:r w:rsidRPr="00236418">
        <w:tab/>
        <w:t>Le solde net positif/négatif de la mise en œuvre du budget ordinaire de chaque exercice.</w:t>
      </w:r>
    </w:p>
    <w:p w14:paraId="5BBB774A" w14:textId="77777777" w:rsidR="00761B6C" w:rsidRPr="00236418" w:rsidRDefault="00761B6C" w:rsidP="00761B6C">
      <w:pPr>
        <w:pStyle w:val="enumlev1"/>
      </w:pPr>
      <w:r w:rsidRPr="00236418">
        <w:t>b)</w:t>
      </w:r>
      <w:r w:rsidRPr="00236418">
        <w:tab/>
        <w:t>Les transferts provenant d</w:t>
      </w:r>
      <w:r>
        <w:t>'</w:t>
      </w:r>
      <w:r w:rsidRPr="00236418">
        <w:t>autres fonds et/ou réserves, sur décision du Conseil.</w:t>
      </w:r>
    </w:p>
    <w:p w14:paraId="41DC2F05" w14:textId="77777777" w:rsidR="00761B6C" w:rsidRPr="00236418" w:rsidRDefault="00761B6C" w:rsidP="00761B6C">
      <w:pPr>
        <w:pStyle w:val="enumlev1"/>
      </w:pPr>
      <w:r w:rsidRPr="00236418">
        <w:t>c)</w:t>
      </w:r>
      <w:r w:rsidRPr="00236418">
        <w:tab/>
        <w:t>Les autres augmentations du Fonds de réserve prescrites par les normes comptables communes aux organisations du système des Nations Unies.</w:t>
      </w:r>
    </w:p>
    <w:p w14:paraId="481BA951" w14:textId="77777777" w:rsidR="00761B6C" w:rsidRPr="00236418" w:rsidRDefault="00761B6C" w:rsidP="00761B6C">
      <w:r w:rsidRPr="00236418">
        <w:lastRenderedPageBreak/>
        <w:t>Le Fonds de réserve inclut également les fonds provenant des activités pour lesquelles l</w:t>
      </w:r>
      <w:r>
        <w:t>'</w:t>
      </w:r>
      <w:r w:rsidRPr="00236418">
        <w:t>UIT applique le principe du recouvrement des coûts conformément à la Résolution 1113 du Conseil (Document C97/133). À ce jour, les produits et les services pour lesquels l</w:t>
      </w:r>
      <w:r>
        <w:t>'</w:t>
      </w:r>
      <w:r w:rsidRPr="00236418">
        <w:t>UIT applique le principe de recouvrement des coûts sont les suivants:</w:t>
      </w:r>
    </w:p>
    <w:p w14:paraId="683B6722" w14:textId="77777777" w:rsidR="00761B6C" w:rsidRPr="00236418" w:rsidRDefault="00761B6C" w:rsidP="00761B6C">
      <w:pPr>
        <w:pStyle w:val="enumlev1"/>
      </w:pPr>
      <w:r w:rsidRPr="00236418">
        <w:t>–</w:t>
      </w:r>
      <w:r w:rsidRPr="00236418">
        <w:tab/>
        <w:t>L</w:t>
      </w:r>
      <w:r>
        <w:t>'</w:t>
      </w:r>
      <w:r w:rsidRPr="00236418">
        <w:t>enregistrement des numéros universels de libre appel international (UIFN).</w:t>
      </w:r>
    </w:p>
    <w:p w14:paraId="49F073F8" w14:textId="77777777" w:rsidR="00761B6C" w:rsidRPr="00236418" w:rsidRDefault="00761B6C" w:rsidP="00761B6C">
      <w:pPr>
        <w:pStyle w:val="enumlev1"/>
      </w:pPr>
      <w:r w:rsidRPr="00236418">
        <w:t>–</w:t>
      </w:r>
      <w:r w:rsidRPr="00236418">
        <w:tab/>
        <w:t>Le mémorandum d</w:t>
      </w:r>
      <w:r>
        <w:t>'</w:t>
      </w:r>
      <w:r w:rsidRPr="00236418">
        <w:t>accord sur les systèmes mobiles mondiaux de communications personnelles par satellite (GMPCS-</w:t>
      </w:r>
      <w:proofErr w:type="spellStart"/>
      <w:r w:rsidRPr="00236418">
        <w:t>MoU</w:t>
      </w:r>
      <w:proofErr w:type="spellEnd"/>
      <w:r w:rsidRPr="00236418">
        <w:t>).</w:t>
      </w:r>
    </w:p>
    <w:p w14:paraId="289DCB29" w14:textId="77777777" w:rsidR="00761B6C" w:rsidRPr="00236418" w:rsidRDefault="00761B6C" w:rsidP="00761B6C">
      <w:pPr>
        <w:pStyle w:val="enumlev1"/>
      </w:pPr>
      <w:r w:rsidRPr="00236418">
        <w:t>–</w:t>
      </w:r>
      <w:r w:rsidRPr="00236418">
        <w:tab/>
        <w:t>Le traitement des fiches de notification des réseaux à satellite.</w:t>
      </w:r>
    </w:p>
    <w:p w14:paraId="4887A41C" w14:textId="77777777" w:rsidR="00761B6C" w:rsidRPr="00236418" w:rsidRDefault="00761B6C" w:rsidP="00761B6C">
      <w:pPr>
        <w:pStyle w:val="enumlev1"/>
      </w:pPr>
      <w:r w:rsidRPr="00236418">
        <w:t>–</w:t>
      </w:r>
      <w:r w:rsidRPr="00236418">
        <w:tab/>
        <w:t>L</w:t>
      </w:r>
      <w:r>
        <w:t>'</w:t>
      </w:r>
      <w:r w:rsidRPr="00236418">
        <w:t>enregistrement des numéros de kiosque internationaux universels (UIPRN) et des numéros internationaux universels à coût partagé (UISCN).</w:t>
      </w:r>
    </w:p>
    <w:p w14:paraId="16AF9333" w14:textId="77777777" w:rsidR="00761B6C" w:rsidRPr="00236418" w:rsidRDefault="00761B6C" w:rsidP="00761B6C">
      <w:pPr>
        <w:pStyle w:val="enumlev1"/>
      </w:pPr>
      <w:r w:rsidRPr="00236418">
        <w:t>–</w:t>
      </w:r>
      <w:r w:rsidRPr="00236418">
        <w:tab/>
        <w:t>ITU TELECOM.</w:t>
      </w:r>
    </w:p>
    <w:p w14:paraId="68AEDAE0" w14:textId="77777777" w:rsidR="00761B6C" w:rsidRPr="00236418" w:rsidRDefault="00761B6C" w:rsidP="00761B6C">
      <w:pPr>
        <w:pStyle w:val="enumlev1"/>
      </w:pPr>
      <w:r w:rsidRPr="00236418">
        <w:t>–</w:t>
      </w:r>
      <w:r w:rsidRPr="00236418">
        <w:tab/>
        <w:t>La vente des publications.</w:t>
      </w:r>
    </w:p>
    <w:p w14:paraId="170FAAEE" w14:textId="77777777" w:rsidR="00761B6C" w:rsidRPr="00236418" w:rsidRDefault="00761B6C" w:rsidP="00761B6C">
      <w:pPr>
        <w:pStyle w:val="enumlev1"/>
      </w:pPr>
      <w:r w:rsidRPr="00236418">
        <w:t>–</w:t>
      </w:r>
      <w:r w:rsidRPr="00236418">
        <w:tab/>
        <w:t>Les recettes au titre de l</w:t>
      </w:r>
      <w:r>
        <w:t>'</w:t>
      </w:r>
      <w:r w:rsidRPr="00236418">
        <w:t>appui aux projets.</w:t>
      </w:r>
    </w:p>
    <w:p w14:paraId="4F1D20FC" w14:textId="77777777" w:rsidR="00761B6C" w:rsidRPr="00236418" w:rsidRDefault="00761B6C" w:rsidP="00761B6C">
      <w:pPr>
        <w:rPr>
          <w:b/>
        </w:rPr>
      </w:pPr>
      <w:r w:rsidRPr="00236418">
        <w:t>Nonobstant la disposition 4b) de l</w:t>
      </w:r>
      <w:r>
        <w:t>'</w:t>
      </w:r>
      <w:r w:rsidRPr="00236418">
        <w:t>Article 13 du Règlement financier de l</w:t>
      </w:r>
      <w:r>
        <w:t>'</w:t>
      </w:r>
      <w:r w:rsidRPr="00236418">
        <w:t>UIT, compte tenu de la nécessité de maintenir le Fonds de réserve à un niveau minimal fixé par la Conférence de plénipotentiaires, le Conseil, par décision spéciale, peut effectuer des prélèvements sur le Fonds de réserve, afin, notamment, de procéder aux opérations suivantes:</w:t>
      </w:r>
    </w:p>
    <w:p w14:paraId="2B874A0D" w14:textId="77777777" w:rsidR="00761B6C" w:rsidRPr="00236418" w:rsidRDefault="00761B6C" w:rsidP="00761B6C">
      <w:pPr>
        <w:pStyle w:val="enumlev1"/>
      </w:pPr>
      <w:r w:rsidRPr="00236418">
        <w:t>a)</w:t>
      </w:r>
      <w:r w:rsidRPr="00236418">
        <w:tab/>
        <w:t>réduire le montant de l</w:t>
      </w:r>
      <w:r>
        <w:t>'</w:t>
      </w:r>
      <w:r w:rsidRPr="00236418">
        <w:t>unité contributive;</w:t>
      </w:r>
    </w:p>
    <w:p w14:paraId="00309AC9" w14:textId="77777777" w:rsidR="00761B6C" w:rsidRPr="00236418" w:rsidRDefault="00761B6C" w:rsidP="00761B6C">
      <w:pPr>
        <w:pStyle w:val="enumlev1"/>
      </w:pPr>
      <w:r w:rsidRPr="00236418">
        <w:t>b)</w:t>
      </w:r>
      <w:r w:rsidRPr="00236418">
        <w:tab/>
        <w:t>équilibrer le Budget de l</w:t>
      </w:r>
      <w:r>
        <w:t>'</w:t>
      </w:r>
      <w:r w:rsidRPr="00236418">
        <w:t>Union;</w:t>
      </w:r>
    </w:p>
    <w:p w14:paraId="63AEBE20" w14:textId="77777777" w:rsidR="00761B6C" w:rsidRPr="00236418" w:rsidRDefault="00761B6C" w:rsidP="00761B6C">
      <w:pPr>
        <w:pStyle w:val="enumlev1"/>
      </w:pPr>
      <w:r w:rsidRPr="00236418">
        <w:t>c)</w:t>
      </w:r>
      <w:r w:rsidRPr="00236418">
        <w:tab/>
        <w:t>effectuer des transferts sur d</w:t>
      </w:r>
      <w:r>
        <w:t>'</w:t>
      </w:r>
      <w:r w:rsidRPr="00236418">
        <w:t>autres fonds et/ou réserves; ou</w:t>
      </w:r>
    </w:p>
    <w:p w14:paraId="41C0B8CE" w14:textId="77777777" w:rsidR="00761B6C" w:rsidRPr="00236418" w:rsidRDefault="00761B6C" w:rsidP="00761B6C">
      <w:pPr>
        <w:pStyle w:val="enumlev1"/>
      </w:pPr>
      <w:r w:rsidRPr="00236418">
        <w:t>d)</w:t>
      </w:r>
      <w:r w:rsidRPr="00236418">
        <w:tab/>
        <w:t>débiter du Fonds de réserve tout montant prescrit par les normes comptables communes aux organisations du système des Nations Unies.</w:t>
      </w:r>
    </w:p>
    <w:p w14:paraId="197E7D45" w14:textId="77777777" w:rsidR="00761B6C" w:rsidRPr="00144C9E" w:rsidRDefault="00761B6C" w:rsidP="00144C9E">
      <w:pPr>
        <w:pStyle w:val="Headingb"/>
        <w:rPr>
          <w:u w:val="single"/>
        </w:rPr>
      </w:pPr>
      <w:bookmarkStart w:id="1268" w:name="_Toc452140702"/>
      <w:bookmarkStart w:id="1269" w:name="_Toc482801492"/>
      <w:bookmarkStart w:id="1270" w:name="_Toc511649462"/>
      <w:bookmarkStart w:id="1271" w:name="_Toc511649834"/>
      <w:bookmarkStart w:id="1272" w:name="_Toc511649948"/>
      <w:bookmarkStart w:id="1273" w:name="_Toc511651204"/>
      <w:bookmarkStart w:id="1274" w:name="_Toc511724069"/>
      <w:bookmarkStart w:id="1275" w:name="_Toc511739058"/>
      <w:bookmarkStart w:id="1276" w:name="_Toc511741227"/>
      <w:bookmarkStart w:id="1277" w:name="_Toc10450733"/>
      <w:bookmarkStart w:id="1278" w:name="_Toc41566335"/>
      <w:bookmarkStart w:id="1279" w:name="_Toc41567846"/>
      <w:bookmarkStart w:id="1280" w:name="_Toc73356404"/>
      <w:r w:rsidRPr="00144C9E">
        <w:rPr>
          <w:u w:val="single"/>
        </w:rPr>
        <w:t>Autres fonds</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14:paraId="24989004" w14:textId="77777777" w:rsidR="00761B6C" w:rsidRPr="00236418" w:rsidRDefault="00761B6C" w:rsidP="00761B6C">
      <w:r w:rsidRPr="00236418">
        <w:t>Les autres fonds incluent la Caisse d</w:t>
      </w:r>
      <w:r>
        <w:t>'</w:t>
      </w:r>
      <w:r w:rsidRPr="00236418">
        <w:t>assurance du personnel de l</w:t>
      </w:r>
      <w:r>
        <w:t>'</w:t>
      </w:r>
      <w:r w:rsidRPr="00236418">
        <w:t>UIT, la Caisse des pensions et le Fonds ASHI.</w:t>
      </w:r>
    </w:p>
    <w:p w14:paraId="0BD9BC07" w14:textId="77777777" w:rsidR="00761B6C" w:rsidRPr="00236418" w:rsidRDefault="00761B6C" w:rsidP="00761B6C">
      <w:r w:rsidRPr="00236418">
        <w:t>La Caisse d</w:t>
      </w:r>
      <w:r>
        <w:t>'</w:t>
      </w:r>
      <w:r w:rsidRPr="00236418">
        <w:t>assurance du personnel de l</w:t>
      </w:r>
      <w:r>
        <w:t>'</w:t>
      </w:r>
      <w:r w:rsidRPr="00236418">
        <w:t>UIT recouvre deux fonds:</w:t>
      </w:r>
    </w:p>
    <w:p w14:paraId="3B0F1277" w14:textId="77777777" w:rsidR="00761B6C" w:rsidRPr="00236418" w:rsidRDefault="00761B6C" w:rsidP="00761B6C">
      <w:pPr>
        <w:pStyle w:val="enumlev1"/>
      </w:pPr>
      <w:r w:rsidRPr="00236418">
        <w:t>–</w:t>
      </w:r>
      <w:r w:rsidRPr="00236418">
        <w:tab/>
        <w:t>Le Fonds de pensions.</w:t>
      </w:r>
    </w:p>
    <w:p w14:paraId="4C44225E" w14:textId="77777777" w:rsidR="00761B6C" w:rsidRPr="00236418" w:rsidRDefault="00761B6C" w:rsidP="00761B6C">
      <w:pPr>
        <w:pStyle w:val="enumlev1"/>
      </w:pPr>
      <w:r w:rsidRPr="00236418">
        <w:t>–</w:t>
      </w:r>
      <w:r w:rsidRPr="00236418">
        <w:tab/>
        <w:t>Le Fonds d</w:t>
      </w:r>
      <w:r>
        <w:t>'</w:t>
      </w:r>
      <w:r w:rsidRPr="00236418">
        <w:t>intervention.</w:t>
      </w:r>
    </w:p>
    <w:p w14:paraId="6CE74065" w14:textId="77777777" w:rsidR="00761B6C" w:rsidRPr="00236418" w:rsidRDefault="00761B6C" w:rsidP="00761B6C">
      <w:r w:rsidRPr="00236418">
        <w:t>Ces fonds servent à assurer le paiement des pensions des membres du personnel qui étaient en service avant le 1er janvier 1960, date à laquelle l</w:t>
      </w:r>
      <w:r>
        <w:t>'</w:t>
      </w:r>
      <w:r w:rsidRPr="00236418">
        <w:t>UIT a été affiliée à la Caisse commune des pensions du personnel des Nations Unies. En 20</w:t>
      </w:r>
      <w:r>
        <w:t>20</w:t>
      </w:r>
      <w:r w:rsidRPr="00236418">
        <w:t xml:space="preserve">, le Fonds de réserve et des compléments a assuré le paiement de </w:t>
      </w:r>
      <w:r>
        <w:t>16</w:t>
      </w:r>
      <w:r w:rsidRPr="00236418">
        <w:t xml:space="preserve"> pensions de retraite et de 1</w:t>
      </w:r>
      <w:r>
        <w:t>6</w:t>
      </w:r>
      <w:r w:rsidRPr="00236418">
        <w:t> pensions de réversion. Le Fonds d</w:t>
      </w:r>
      <w:r>
        <w:t>'</w:t>
      </w:r>
      <w:r w:rsidRPr="00236418">
        <w:t>intervention a servi à aider les fonctionnaires pensionnés ou en service qui se trouvent en difficulté financière. Le dernier calcul des engagements à provisionner pour les bénéficiaires de la Caisse d</w:t>
      </w:r>
      <w:r>
        <w:t>'</w:t>
      </w:r>
      <w:r w:rsidRPr="00236418">
        <w:t>assurance du personnel de l</w:t>
      </w:r>
      <w:r>
        <w:t>'</w:t>
      </w:r>
      <w:r w:rsidRPr="00236418">
        <w:t>UIT a été effectué le 31 décembre 2011.</w:t>
      </w:r>
    </w:p>
    <w:p w14:paraId="7E9E5122" w14:textId="77777777" w:rsidR="00761B6C" w:rsidRPr="00236418" w:rsidRDefault="00761B6C" w:rsidP="00761B6C">
      <w:r w:rsidRPr="00236418">
        <w:t>Conformément à la Résolution 7 (Genève, 1959) de la Conférence de plénipotentiaires, le personnel de l</w:t>
      </w:r>
      <w:r>
        <w:t>'</w:t>
      </w:r>
      <w:r w:rsidRPr="00236418">
        <w:t>UIT est affilié, à compter du 1er janvier 1960, à la Caisse commune des pensions du personnel des Nations Unies. Aux termes de l</w:t>
      </w:r>
      <w:r>
        <w:t>'</w:t>
      </w:r>
      <w:r w:rsidRPr="00236418">
        <w:t>Article 86 de ses Statuts, la Caisse d</w:t>
      </w:r>
      <w:r>
        <w:t>'</w:t>
      </w:r>
      <w:r w:rsidRPr="00236418">
        <w:t>assurance du personnel de l</w:t>
      </w:r>
      <w:r>
        <w:t>'</w:t>
      </w:r>
      <w:r w:rsidRPr="00236418">
        <w:t>UIT est administrée par l</w:t>
      </w:r>
      <w:r>
        <w:t>'</w:t>
      </w:r>
      <w:r w:rsidRPr="00236418">
        <w:t>Union. La fortune de la Caisse d</w:t>
      </w:r>
      <w:r>
        <w:t>'</w:t>
      </w:r>
      <w:r w:rsidRPr="00236418">
        <w:t>assurance est à placer en valeurs pupillaires. Les comptes de cette Caisse sont vérifiés par le Vérificateur extérieur dans le cadre des contrôles périodiques des comptes de l</w:t>
      </w:r>
      <w:r>
        <w:t>'</w:t>
      </w:r>
      <w:r w:rsidRPr="00236418">
        <w:t xml:space="preserve">Union. </w:t>
      </w:r>
    </w:p>
    <w:p w14:paraId="1A9B7BAA" w14:textId="77777777" w:rsidR="00761B6C" w:rsidRPr="00236418" w:rsidRDefault="00761B6C" w:rsidP="00761B6C">
      <w:r w:rsidRPr="00236418">
        <w:lastRenderedPageBreak/>
        <w:t>Depuis 2013, les autres fonds incluent également un fonds destiné au financement à long terme des engagements non financés au titre de l</w:t>
      </w:r>
      <w:r>
        <w:t>'</w:t>
      </w:r>
      <w:r w:rsidRPr="00236418">
        <w:t>assurance maladie après la cessation d</w:t>
      </w:r>
      <w:r>
        <w:t>'</w:t>
      </w:r>
      <w:r w:rsidRPr="00236418">
        <w:t>activité (ASHI), ainsi qu</w:t>
      </w:r>
      <w:r>
        <w:t>'</w:t>
      </w:r>
      <w:r w:rsidRPr="00236418">
        <w:t>une nouvelle caisse d</w:t>
      </w:r>
      <w:r>
        <w:t>'</w:t>
      </w:r>
      <w:r w:rsidRPr="00236418">
        <w:t>assurance maladie, laquelle sert de fonds de garantie pour le nouveau régime d</w:t>
      </w:r>
      <w:r>
        <w:t>'</w:t>
      </w:r>
      <w:r w:rsidRPr="00236418">
        <w:t>assurance maladie de l</w:t>
      </w:r>
      <w:r>
        <w:t>'</w:t>
      </w:r>
      <w:r w:rsidRPr="00236418">
        <w:t>UIT depuis 2014.</w:t>
      </w:r>
    </w:p>
    <w:p w14:paraId="59E3FB67" w14:textId="77777777" w:rsidR="00761B6C" w:rsidRPr="00144C9E" w:rsidRDefault="00761B6C" w:rsidP="00144C9E">
      <w:pPr>
        <w:pStyle w:val="Headingb"/>
        <w:rPr>
          <w:u w:val="single"/>
        </w:rPr>
      </w:pPr>
      <w:bookmarkStart w:id="1281" w:name="_Toc511651205"/>
      <w:bookmarkStart w:id="1282" w:name="_Toc511724070"/>
      <w:bookmarkStart w:id="1283" w:name="_Toc511739059"/>
      <w:bookmarkStart w:id="1284" w:name="_Toc511741228"/>
      <w:bookmarkStart w:id="1285" w:name="_Toc10450734"/>
      <w:bookmarkStart w:id="1286" w:name="_Toc41566336"/>
      <w:bookmarkStart w:id="1287" w:name="_Toc41567847"/>
      <w:bookmarkStart w:id="1288" w:name="_Toc73356405"/>
      <w:r w:rsidRPr="00144C9E">
        <w:rPr>
          <w:u w:val="single"/>
        </w:rPr>
        <w:t>Fonds pour le nouveau bâtiment</w:t>
      </w:r>
      <w:bookmarkEnd w:id="1281"/>
      <w:bookmarkEnd w:id="1282"/>
      <w:bookmarkEnd w:id="1283"/>
      <w:bookmarkEnd w:id="1284"/>
      <w:bookmarkEnd w:id="1285"/>
      <w:bookmarkEnd w:id="1286"/>
      <w:bookmarkEnd w:id="1287"/>
      <w:bookmarkEnd w:id="1288"/>
    </w:p>
    <w:p w14:paraId="1A3085AC" w14:textId="77777777" w:rsidR="00761B6C" w:rsidRPr="00236418" w:rsidRDefault="00761B6C" w:rsidP="00761B6C">
      <w:r w:rsidRPr="00236418">
        <w:t xml:space="preserve">Par sa </w:t>
      </w:r>
      <w:hyperlink r:id="rId39" w:history="1">
        <w:r w:rsidRPr="00236418">
          <w:rPr>
            <w:rStyle w:val="Hyperlink"/>
            <w:rFonts w:asciiTheme="minorHAnsi" w:hAnsiTheme="minorHAnsi"/>
          </w:rPr>
          <w:t>Décision 588</w:t>
        </w:r>
      </w:hyperlink>
      <w:r w:rsidRPr="00236418">
        <w:t>, le Conseil, à sa session de 2016, a décidé de remplacer le bâtiment Varembé par une nouvelle construction (ci-après dénommée "Varembé-2") incluant aussi les bureaux et les installations de la Tour, en complément du bâtiment Montbrillant, qui sera conservé et réaménagé.</w:t>
      </w:r>
    </w:p>
    <w:p w14:paraId="5284D680" w14:textId="38AB170F" w:rsidR="00761B6C" w:rsidRPr="00FC2C30" w:rsidRDefault="00761B6C" w:rsidP="00761B6C">
      <w:r w:rsidRPr="00236418">
        <w:t>Un prêt sans intérêt à hauteur de 150 millions CHF a été accordé par la Confédération suisse pour financer ce projet. À sa session additionnelle de 2019, le Conseil a adopté sa Décision 619 par laquelle il a fixé le budget pour le nouveau bâtiment à 170 139 000 CHF (150</w:t>
      </w:r>
      <w:r>
        <w:t xml:space="preserve"> </w:t>
      </w:r>
      <w:r w:rsidRPr="00236418">
        <w:t>000 000 CHF provenant du prêt consenti par le pays hôte et 20,14 millions CHF des parrainages, des dons et des économies provenant de l</w:t>
      </w:r>
      <w:r>
        <w:t>'</w:t>
      </w:r>
      <w:r w:rsidRPr="00236418">
        <w:t>excédent enregistré en 2018) et a demandé de prévoir un fonds de réserve additionnel de 12,6 millions CHF à utiliser, au besoin, pour couvrir les coûts supplémentaires non prévus. Le Fonds pour le registre des risques a été créé à cet effet.</w:t>
      </w:r>
      <w:r>
        <w:t xml:space="preserve"> </w:t>
      </w:r>
      <w:r w:rsidR="00310B03">
        <w:t>Au </w:t>
      </w:r>
      <w:r w:rsidRPr="00FC2C30">
        <w:t>31</w:t>
      </w:r>
      <w:r>
        <w:t> </w:t>
      </w:r>
      <w:r w:rsidRPr="00FC2C30">
        <w:t>décembre 2020, le Fonds pour le registre des risques s</w:t>
      </w:r>
      <w:r>
        <w:t>e chiffrait à 3,</w:t>
      </w:r>
      <w:r w:rsidRPr="00FC2C30">
        <w:t>43 million</w:t>
      </w:r>
      <w:r>
        <w:t>s CHF</w:t>
      </w:r>
      <w:r w:rsidRPr="00FC2C30">
        <w:t>.</w:t>
      </w:r>
    </w:p>
    <w:p w14:paraId="4D25BD1F" w14:textId="77777777" w:rsidR="00761B6C" w:rsidRPr="0044662E" w:rsidRDefault="00761B6C" w:rsidP="00761B6C">
      <w:pPr>
        <w:rPr>
          <w:color w:val="000000"/>
        </w:rPr>
      </w:pPr>
      <w:r w:rsidRPr="00236418">
        <w:t>Le Secrétaire général a adressé une demande à la Suisse pour la première tranche du prêt concernant la première phase du projet, qui couvre le concours d</w:t>
      </w:r>
      <w:r>
        <w:t>'</w:t>
      </w:r>
      <w:r w:rsidRPr="00236418">
        <w:t>architecture, les études architecturales et les dépenses connexes pour la période allant jusqu</w:t>
      </w:r>
      <w:r>
        <w:t>'</w:t>
      </w:r>
      <w:r w:rsidRPr="00236418">
        <w:t>au 3</w:t>
      </w:r>
      <w:r>
        <w:t>0</w:t>
      </w:r>
      <w:r w:rsidRPr="00236418">
        <w:t xml:space="preserve"> </w:t>
      </w:r>
      <w:r>
        <w:t>juin</w:t>
      </w:r>
      <w:r w:rsidRPr="00236418">
        <w:t xml:space="preserve"> 2021. </w:t>
      </w:r>
      <w:r w:rsidRPr="00236418">
        <w:rPr>
          <w:color w:val="000000"/>
        </w:rPr>
        <w:t>Le prêt demandé s</w:t>
      </w:r>
      <w:r>
        <w:rPr>
          <w:color w:val="000000"/>
        </w:rPr>
        <w:t>'</w:t>
      </w:r>
      <w:r w:rsidRPr="00236418">
        <w:rPr>
          <w:color w:val="000000"/>
        </w:rPr>
        <w:t>élève à 12 millions CHF, et le premier remboursement annuel ne sera effectué qu</w:t>
      </w:r>
      <w:r>
        <w:rPr>
          <w:color w:val="000000"/>
        </w:rPr>
        <w:t>'</w:t>
      </w:r>
      <w:r w:rsidRPr="00236418">
        <w:rPr>
          <w:color w:val="000000"/>
        </w:rPr>
        <w:t>après réception du bâtiment (au plus tôt en 2026). Le prêt a été octroyé par le Parlement suisse en décembre 2016 et l</w:t>
      </w:r>
      <w:r>
        <w:rPr>
          <w:color w:val="000000"/>
        </w:rPr>
        <w:t>'</w:t>
      </w:r>
      <w:r w:rsidRPr="00236418">
        <w:rPr>
          <w:color w:val="000000"/>
        </w:rPr>
        <w:t xml:space="preserve">UIT a signé un contrat avec la Fondation des immeubles pour les organisations internationales (FIPOI) pour la gestion du prêt. </w:t>
      </w:r>
      <w:r w:rsidRPr="0044662E">
        <w:rPr>
          <w:color w:val="000000"/>
        </w:rPr>
        <w:t>Les fonds ont été débloqués au début de l</w:t>
      </w:r>
      <w:r>
        <w:rPr>
          <w:color w:val="000000"/>
        </w:rPr>
        <w:t>'</w:t>
      </w:r>
      <w:r w:rsidRPr="0044662E">
        <w:rPr>
          <w:color w:val="000000"/>
        </w:rPr>
        <w:t>année</w:t>
      </w:r>
      <w:r>
        <w:rPr>
          <w:color w:val="000000"/>
        </w:rPr>
        <w:t> </w:t>
      </w:r>
      <w:r w:rsidRPr="0044662E">
        <w:rPr>
          <w:color w:val="000000"/>
        </w:rPr>
        <w:t>2017.</w:t>
      </w:r>
    </w:p>
    <w:p w14:paraId="3BD5392F" w14:textId="77777777" w:rsidR="00761B6C" w:rsidRPr="00FC2C30" w:rsidRDefault="00761B6C" w:rsidP="00761B6C">
      <w:pPr>
        <w:rPr>
          <w:color w:val="000000"/>
        </w:rPr>
      </w:pPr>
      <w:r w:rsidRPr="00FC2C30">
        <w:rPr>
          <w:color w:val="000000"/>
        </w:rPr>
        <w:t xml:space="preserve">La </w:t>
      </w:r>
      <w:r>
        <w:rPr>
          <w:color w:val="000000"/>
        </w:rPr>
        <w:t>seconde</w:t>
      </w:r>
      <w:r w:rsidRPr="00FC2C30">
        <w:rPr>
          <w:color w:val="000000"/>
        </w:rPr>
        <w:t xml:space="preserve"> tranche du p</w:t>
      </w:r>
      <w:r>
        <w:rPr>
          <w:color w:val="000000"/>
        </w:rPr>
        <w:t>rêt, d'un montant de 138 millions CHF, a été validée au début de 2021.</w:t>
      </w:r>
    </w:p>
    <w:p w14:paraId="7DFFA1A1" w14:textId="77777777" w:rsidR="00761B6C" w:rsidRPr="00236418" w:rsidRDefault="00761B6C" w:rsidP="00761B6C">
      <w:bookmarkStart w:id="1289" w:name="_Hlk40869603"/>
      <w:r w:rsidRPr="00236418">
        <w:t>Afin d</w:t>
      </w:r>
      <w:r>
        <w:t>'</w:t>
      </w:r>
      <w:r w:rsidRPr="00236418">
        <w:t xml:space="preserve">assurer le suivi de la mise en œuvre de ce projet </w:t>
      </w:r>
      <w:bookmarkEnd w:id="1289"/>
      <w:r w:rsidRPr="00236418">
        <w:t>et des politiques comptables, deux fonds ont été créés en vue d</w:t>
      </w:r>
      <w:r>
        <w:t>'</w:t>
      </w:r>
      <w:r w:rsidRPr="00236418">
        <w:t>identifier les sources de financement de ce projet de nouveau bâtiment. Ces fonds sont décrits au titre de la présentation de l</w:t>
      </w:r>
      <w:r>
        <w:t>'</w:t>
      </w:r>
      <w:r w:rsidRPr="00236418">
        <w:t>information sectorielle, ainsi que dans l</w:t>
      </w:r>
      <w:r>
        <w:t>'</w:t>
      </w:r>
      <w:r w:rsidRPr="00236418">
        <w:t>Annexe B2.</w:t>
      </w:r>
    </w:p>
    <w:p w14:paraId="52E88A5C" w14:textId="77777777" w:rsidR="00761B6C" w:rsidRPr="00144C9E" w:rsidRDefault="00761B6C" w:rsidP="00144C9E">
      <w:pPr>
        <w:pStyle w:val="Headingb"/>
        <w:rPr>
          <w:u w:val="single"/>
        </w:rPr>
      </w:pPr>
      <w:bookmarkStart w:id="1290" w:name="_Toc452140703"/>
      <w:bookmarkStart w:id="1291" w:name="_Toc482801493"/>
      <w:bookmarkStart w:id="1292" w:name="_Toc511649463"/>
      <w:bookmarkStart w:id="1293" w:name="_Toc511649835"/>
      <w:bookmarkStart w:id="1294" w:name="_Toc511649949"/>
      <w:bookmarkStart w:id="1295" w:name="_Toc511651206"/>
      <w:bookmarkStart w:id="1296" w:name="_Toc511724071"/>
      <w:bookmarkStart w:id="1297" w:name="_Toc511739060"/>
      <w:bookmarkStart w:id="1298" w:name="_Toc511741229"/>
      <w:bookmarkStart w:id="1299" w:name="_Toc10450735"/>
      <w:bookmarkStart w:id="1300" w:name="_Toc41566337"/>
      <w:bookmarkStart w:id="1301" w:name="_Toc41567848"/>
      <w:bookmarkStart w:id="1302" w:name="_Toc73356406"/>
      <w:r w:rsidRPr="00144C9E">
        <w:rPr>
          <w:u w:val="single"/>
        </w:rPr>
        <w:t>Fonds destinés aux activités extrabudgétaires</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3E10C26A" w14:textId="77777777" w:rsidR="00761B6C" w:rsidRPr="00236418" w:rsidRDefault="00761B6C" w:rsidP="00761B6C">
      <w:pPr>
        <w:pStyle w:val="enumlev1"/>
        <w:spacing w:before="120"/>
        <w:rPr>
          <w:b/>
          <w:bCs/>
        </w:rPr>
      </w:pPr>
      <w:r w:rsidRPr="00236418">
        <w:t>–</w:t>
      </w:r>
      <w:r w:rsidRPr="00236418">
        <w:rPr>
          <w:b/>
          <w:bCs/>
        </w:rPr>
        <w:tab/>
        <w:t>Fonds pour le développement des technologies de l</w:t>
      </w:r>
      <w:r>
        <w:rPr>
          <w:b/>
          <w:bCs/>
        </w:rPr>
        <w:t>'</w:t>
      </w:r>
      <w:r w:rsidRPr="00236418">
        <w:rPr>
          <w:b/>
          <w:bCs/>
        </w:rPr>
        <w:t>information et de la communication</w:t>
      </w:r>
    </w:p>
    <w:p w14:paraId="23FF31EE" w14:textId="77777777" w:rsidR="00761B6C" w:rsidRPr="00236418" w:rsidRDefault="00761B6C" w:rsidP="00761B6C">
      <w:r w:rsidRPr="00236418">
        <w:t>Conformément à la mission de l</w:t>
      </w:r>
      <w:r>
        <w:t>'</w:t>
      </w:r>
      <w:r w:rsidRPr="00236418">
        <w:t>UIT, qui est d</w:t>
      </w:r>
      <w:r>
        <w:t>'</w:t>
      </w:r>
      <w:r w:rsidRPr="00236418">
        <w:t>encourager l</w:t>
      </w:r>
      <w:r>
        <w:t>'</w:t>
      </w:r>
      <w:r w:rsidRPr="00236418">
        <w:t>expansion des services modernes de communication dans le monde, le Conseil attribue une part des excédents de recettes produits par les manifestations ITU TELECOM au Fonds pour le développement des technologies de l</w:t>
      </w:r>
      <w:r>
        <w:t>'</w:t>
      </w:r>
      <w:r w:rsidRPr="00236418">
        <w:t>information et de la communication (FDTIC) et utilisée pour financer divers projets nationaux et régionaux de développement. Dans le cadre d</w:t>
      </w:r>
      <w:r>
        <w:t>'</w:t>
      </w:r>
      <w:r w:rsidRPr="00236418">
        <w:t>un financement de projet à travers le FDTIC, seules les charges sont comptabilisées dans le compte de résultat. À la clôture de chaque exercice budgétaire, les fonds propres affectés qui figurent au bilan sont diminués du montant total des charges encourues au cours de ce même exercice. Ce même principe s</w:t>
      </w:r>
      <w:r>
        <w:t>'</w:t>
      </w:r>
      <w:r w:rsidRPr="00236418">
        <w:t>applique pour les projets financés par le plan d</w:t>
      </w:r>
      <w:r>
        <w:t>'</w:t>
      </w:r>
      <w:r w:rsidRPr="00236418">
        <w:t xml:space="preserve">action de développement. En effet, les fonds disponibles pour ces programmes ont déjà été comptabilisés comme des produits lors des exercices budgétaires précédents. </w:t>
      </w:r>
    </w:p>
    <w:p w14:paraId="102B2DA3" w14:textId="77777777" w:rsidR="00761B6C" w:rsidRPr="00236418" w:rsidRDefault="00761B6C" w:rsidP="00761B6C">
      <w:r w:rsidRPr="00236418">
        <w:lastRenderedPageBreak/>
        <w:t>Le FDTIC enregistre également des contributions versées par des Membres ou des tiers pour financer divers projets de développement des TIC.</w:t>
      </w:r>
    </w:p>
    <w:p w14:paraId="63828634" w14:textId="77777777" w:rsidR="00761B6C" w:rsidRPr="00236418" w:rsidRDefault="00761B6C" w:rsidP="00761B6C">
      <w:pPr>
        <w:pStyle w:val="enumlev1"/>
        <w:spacing w:before="120"/>
        <w:rPr>
          <w:b/>
          <w:bCs/>
        </w:rPr>
      </w:pPr>
      <w:r w:rsidRPr="00236418">
        <w:t>–</w:t>
      </w:r>
      <w:r w:rsidRPr="00236418">
        <w:rPr>
          <w:b/>
          <w:bCs/>
        </w:rPr>
        <w:tab/>
        <w:t>Fonds de roulement des expositions ITU TELECOM</w:t>
      </w:r>
    </w:p>
    <w:p w14:paraId="21635761" w14:textId="77777777" w:rsidR="00761B6C" w:rsidRPr="00236418" w:rsidRDefault="00761B6C" w:rsidP="00761B6C">
      <w:r w:rsidRPr="00236418">
        <w:t>Les manifestations ITU Telecom constituent une tribune mondiale dans le cadre de laquelle les gouvernements, les grandes sociétés et les petites et moyennes entreprises (PME) s</w:t>
      </w:r>
      <w:r>
        <w:t>'</w:t>
      </w:r>
      <w:r w:rsidRPr="00236418">
        <w:t>emploient à accélérer l</w:t>
      </w:r>
      <w:r>
        <w:t>'</w:t>
      </w:r>
      <w:r w:rsidRPr="00236418">
        <w:t>innovation dans le secteur des TIC au service du développement socio-économique. Elles comprennent une exposition dans le cadre de laquelle sont présentés des services, des applications et des solutions novateurs ainsi que les possibilités d</w:t>
      </w:r>
      <w:r>
        <w:t>'</w:t>
      </w:r>
      <w:r w:rsidRPr="00236418">
        <w:t>investissement et de partenariat dans le monde entier; un sommet des hautes personnalités et un Forum de premier plan qui sont le cadre de débats au plus haut niveau sur des questions d</w:t>
      </w:r>
      <w:r>
        <w:t>'</w:t>
      </w:r>
      <w:r w:rsidRPr="00236418">
        <w:t>actualité ayant des incidences pour le secteur des TIC et permettent d</w:t>
      </w:r>
      <w:r>
        <w:t>'</w:t>
      </w:r>
      <w:r w:rsidRPr="00236418">
        <w:t>étudier en détail les évolutions en ce qui concerne les questions technologiques, politiques et réglementaires, ainsi que les modèles stratégiques et économiques dans l</w:t>
      </w:r>
      <w:r>
        <w:t>'</w:t>
      </w:r>
      <w:r w:rsidRPr="00236418">
        <w:t>économie numérique. Les manifestations ITU Telecom rassemblent également des participants de tout premier plan, notamment des chefs d</w:t>
      </w:r>
      <w:r>
        <w:t>'</w:t>
      </w:r>
      <w:r w:rsidRPr="00236418">
        <w:t>État, des ministres, des régulateurs, des cadres dirigeants et d</w:t>
      </w:r>
      <w:r>
        <w:t>'</w:t>
      </w:r>
      <w:r w:rsidRPr="00236418">
        <w:t>autres personnalités influentes.</w:t>
      </w:r>
    </w:p>
    <w:p w14:paraId="7B1BD995" w14:textId="77777777" w:rsidR="00761B6C" w:rsidRPr="00236418" w:rsidRDefault="00761B6C" w:rsidP="00761B6C">
      <w:r w:rsidRPr="00236418">
        <w:t>Après la clôture des comptes de chaque manifestation ITU Telecom, l</w:t>
      </w:r>
      <w:r>
        <w:t>'</w:t>
      </w:r>
      <w:r w:rsidRPr="00236418">
        <w:t>excédent de recettes ou l</w:t>
      </w:r>
      <w:r>
        <w:t>'</w:t>
      </w:r>
      <w:r w:rsidRPr="00236418">
        <w:t>excédent de dépenses est transféré au Fonds de roulement des expositions dont le solde est inscrit dans les états financiers de l</w:t>
      </w:r>
      <w:r>
        <w:t>'</w:t>
      </w:r>
      <w:r w:rsidRPr="00236418">
        <w:t>Union. Sous réserve de l</w:t>
      </w:r>
      <w:r>
        <w:t>'</w:t>
      </w:r>
      <w:r w:rsidRPr="00236418">
        <w:t>approbation du Conseil, les fonds peuvent être transférés du Fonds de roulement des expositions au Fonds pour le développement des TIC.</w:t>
      </w:r>
    </w:p>
    <w:p w14:paraId="767735EB" w14:textId="77777777" w:rsidR="00761B6C" w:rsidRPr="00236418" w:rsidRDefault="00761B6C" w:rsidP="00761B6C">
      <w:pPr>
        <w:pStyle w:val="enumlev1"/>
        <w:spacing w:before="120"/>
        <w:rPr>
          <w:b/>
          <w:bCs/>
        </w:rPr>
      </w:pPr>
      <w:r w:rsidRPr="00236418">
        <w:t>–</w:t>
      </w:r>
      <w:r w:rsidRPr="00236418">
        <w:rPr>
          <w:b/>
          <w:bCs/>
        </w:rPr>
        <w:tab/>
        <w:t>Réserves destinées aux projets extrabudgétaires</w:t>
      </w:r>
    </w:p>
    <w:p w14:paraId="565C5DE6" w14:textId="77777777" w:rsidR="00761B6C" w:rsidRPr="00236418" w:rsidRDefault="00761B6C" w:rsidP="00761B6C">
      <w:r w:rsidRPr="00236418">
        <w:t>L</w:t>
      </w:r>
      <w:r>
        <w:t>'</w:t>
      </w:r>
      <w:r w:rsidRPr="00236418">
        <w:t>Union a constitué un compte de réserve qui est alimenté par les reliquats de projets clôturés. Cette réserve servira à financer de nouveaux projets ou de nouvelles initiatives régionales mais également à combler certains projets déficitaires.</w:t>
      </w:r>
    </w:p>
    <w:p w14:paraId="308B1F31" w14:textId="77777777" w:rsidR="00761B6C" w:rsidRPr="00144C9E" w:rsidRDefault="00761B6C" w:rsidP="00144C9E">
      <w:pPr>
        <w:pStyle w:val="Headingb"/>
        <w:rPr>
          <w:u w:val="single"/>
        </w:rPr>
      </w:pPr>
      <w:bookmarkStart w:id="1303" w:name="_Toc269839077"/>
      <w:bookmarkStart w:id="1304" w:name="_Toc329178775"/>
      <w:bookmarkStart w:id="1305" w:name="_Toc329181748"/>
      <w:bookmarkStart w:id="1306" w:name="_Toc329202568"/>
      <w:bookmarkStart w:id="1307" w:name="_Toc329205000"/>
      <w:bookmarkStart w:id="1308" w:name="_Toc329206837"/>
      <w:bookmarkStart w:id="1309" w:name="_Toc358379923"/>
      <w:bookmarkStart w:id="1310" w:name="_Toc358380463"/>
      <w:bookmarkStart w:id="1311" w:name="_Toc387166646"/>
      <w:bookmarkStart w:id="1312" w:name="_Toc395260931"/>
      <w:bookmarkStart w:id="1313" w:name="_Toc395511710"/>
      <w:bookmarkStart w:id="1314" w:name="_Toc452140704"/>
      <w:bookmarkStart w:id="1315" w:name="_Toc482801494"/>
      <w:bookmarkStart w:id="1316" w:name="_Toc511649464"/>
      <w:bookmarkStart w:id="1317" w:name="_Toc511649836"/>
      <w:bookmarkStart w:id="1318" w:name="_Toc511649950"/>
      <w:bookmarkStart w:id="1319" w:name="_Toc511651207"/>
      <w:bookmarkStart w:id="1320" w:name="_Toc511724072"/>
      <w:bookmarkStart w:id="1321" w:name="_Toc511739061"/>
      <w:bookmarkStart w:id="1322" w:name="_Toc511741230"/>
      <w:bookmarkStart w:id="1323" w:name="_Toc10450736"/>
      <w:bookmarkStart w:id="1324" w:name="_Toc41566338"/>
      <w:bookmarkStart w:id="1325" w:name="_Toc41567849"/>
      <w:bookmarkStart w:id="1326" w:name="_Toc73356407"/>
      <w:r w:rsidRPr="00144C9E">
        <w:rPr>
          <w:u w:val="single"/>
        </w:rPr>
        <w:t>Comptabilisation des produits</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64385E16" w14:textId="77777777" w:rsidR="00761B6C" w:rsidRPr="00236418" w:rsidRDefault="00761B6C" w:rsidP="00761B6C">
      <w:pPr>
        <w:keepNext/>
        <w:keepLines/>
      </w:pPr>
      <w:r w:rsidRPr="00236418">
        <w:t>Les états financiers sont établis sur la base d</w:t>
      </w:r>
      <w:r>
        <w:t>'</w:t>
      </w:r>
      <w:r w:rsidRPr="00236418">
        <w:t>une comptabilité d</w:t>
      </w:r>
      <w:r>
        <w:t>'</w:t>
      </w:r>
      <w:r w:rsidRPr="00236418">
        <w:t>exercice, les produits étant comptabilisés: au début de chaque exercice pour les contributions des Membres (budget ordinaire); ou lorsque les contributions sont confirmées (contributions volontaires) par écrit.</w:t>
      </w:r>
    </w:p>
    <w:p w14:paraId="617E502D" w14:textId="77777777" w:rsidR="00761B6C" w:rsidRPr="00236418" w:rsidRDefault="00761B6C" w:rsidP="00761B6C">
      <w:pPr>
        <w:rPr>
          <w:b/>
        </w:rPr>
      </w:pPr>
      <w:r w:rsidRPr="00236418">
        <w:t>Les produits comprennent les contributions mises en recouvrement, les contributions volontaires et les autres produits tirés du recouvrement.</w:t>
      </w:r>
    </w:p>
    <w:p w14:paraId="45D6B48D" w14:textId="77777777" w:rsidR="00761B6C" w:rsidRPr="00236418" w:rsidRDefault="00761B6C" w:rsidP="00761B6C">
      <w:r w:rsidRPr="00236418">
        <w:rPr>
          <w:u w:val="single"/>
        </w:rPr>
        <w:t>Contributions mises en recouvrement</w:t>
      </w:r>
      <w:r w:rsidRPr="00236418">
        <w:t>: Il s</w:t>
      </w:r>
      <w:r>
        <w:t>'</w:t>
      </w:r>
      <w:r w:rsidRPr="00236418">
        <w:t>agit principalement des contributions provenant des États Membres, des Membres de Secteur ainsi que des Associés. La Conférence de plénipotentiaires fixe la limite supérieure de l</w:t>
      </w:r>
      <w:r>
        <w:t>'</w:t>
      </w:r>
      <w:r w:rsidRPr="00236418">
        <w:t>unité contributive qui servira de base dans le calcul des revenus de l</w:t>
      </w:r>
      <w:r>
        <w:t>'</w:t>
      </w:r>
      <w:r w:rsidRPr="00236418">
        <w:t>Union pour les budgets biennaux des quatre années à venir. Les États Membres et les Membres de Secteur choisissent librement la classe de contribution selon laquelle ils entendent participer aux dépenses de l</w:t>
      </w:r>
      <w:r>
        <w:t>'</w:t>
      </w:r>
      <w:r w:rsidRPr="00236418">
        <w:t xml:space="preserve">Union </w:t>
      </w:r>
      <w:r w:rsidRPr="00236418">
        <w:rPr>
          <w:color w:val="000000"/>
        </w:rPr>
        <w:t>conformément aux dispositions pertinentes de la Constitution de l</w:t>
      </w:r>
      <w:r>
        <w:rPr>
          <w:color w:val="000000"/>
        </w:rPr>
        <w:t>'</w:t>
      </w:r>
      <w:r w:rsidRPr="00236418">
        <w:rPr>
          <w:color w:val="000000"/>
        </w:rPr>
        <w:t>UIT et s</w:t>
      </w:r>
      <w:r>
        <w:rPr>
          <w:color w:val="000000"/>
        </w:rPr>
        <w:t>'</w:t>
      </w:r>
      <w:r w:rsidRPr="00236418">
        <w:rPr>
          <w:color w:val="000000"/>
        </w:rPr>
        <w:t>acquittent, au titre de l</w:t>
      </w:r>
      <w:r>
        <w:rPr>
          <w:color w:val="000000"/>
        </w:rPr>
        <w:t>'</w:t>
      </w:r>
      <w:r w:rsidRPr="00236418">
        <w:rPr>
          <w:color w:val="000000"/>
        </w:rPr>
        <w:t>année de leur adhésion ou admission, une contribution calculée, pour les Membres, à partir du premier jour du mois de l</w:t>
      </w:r>
      <w:r>
        <w:rPr>
          <w:color w:val="000000"/>
        </w:rPr>
        <w:t>'</w:t>
      </w:r>
      <w:r w:rsidRPr="00236418">
        <w:rPr>
          <w:color w:val="000000"/>
        </w:rPr>
        <w:t>adhésion ou de l</w:t>
      </w:r>
      <w:r>
        <w:rPr>
          <w:color w:val="000000"/>
        </w:rPr>
        <w:t>'</w:t>
      </w:r>
      <w:r w:rsidRPr="00236418">
        <w:rPr>
          <w:color w:val="000000"/>
        </w:rPr>
        <w:t xml:space="preserve">admission. </w:t>
      </w:r>
      <w:r w:rsidRPr="00236418">
        <w:t>Ces revenus servent à mettre en application les activités de l</w:t>
      </w:r>
      <w:r>
        <w:t>'</w:t>
      </w:r>
      <w:r w:rsidRPr="00236418">
        <w:t>Union définies par cette même Conférence de plénipotentiaires.</w:t>
      </w:r>
    </w:p>
    <w:p w14:paraId="58D955C5" w14:textId="77777777" w:rsidR="00761B6C" w:rsidRPr="00236418" w:rsidRDefault="00761B6C" w:rsidP="00761B6C">
      <w:pPr>
        <w:keepNext/>
        <w:keepLines/>
        <w:rPr>
          <w:b/>
        </w:rPr>
      </w:pPr>
      <w:r w:rsidRPr="00236418">
        <w:lastRenderedPageBreak/>
        <w:t xml:space="preserve">Les </w:t>
      </w:r>
      <w:r w:rsidRPr="00236418">
        <w:rPr>
          <w:u w:val="single"/>
        </w:rPr>
        <w:t>autres produits tirés du recouvrement</w:t>
      </w:r>
      <w:r w:rsidRPr="00236418">
        <w:t xml:space="preserve"> comprennent les produits et les services pour lesquels l</w:t>
      </w:r>
      <w:r>
        <w:t>'</w:t>
      </w:r>
      <w:r w:rsidRPr="00236418">
        <w:t xml:space="preserve">UIT applique le principe du recouvrement des coûts, à savoir: </w:t>
      </w:r>
    </w:p>
    <w:p w14:paraId="24BC4A86" w14:textId="039A526D" w:rsidR="00761B6C" w:rsidRPr="00236418" w:rsidRDefault="00761B6C" w:rsidP="00761B6C">
      <w:pPr>
        <w:pStyle w:val="enumlev1"/>
        <w:keepNext/>
        <w:keepLines/>
      </w:pPr>
      <w:r w:rsidRPr="00236418">
        <w:t>–</w:t>
      </w:r>
      <w:r w:rsidRPr="00236418">
        <w:tab/>
      </w:r>
      <w:r w:rsidR="00310B03">
        <w:t>l</w:t>
      </w:r>
      <w:r>
        <w:t>'</w:t>
      </w:r>
      <w:r w:rsidRPr="00236418">
        <w:t>enregistrement des numéros universels de libre appel international (UIFN)</w:t>
      </w:r>
      <w:r w:rsidR="00310B03">
        <w:t>;</w:t>
      </w:r>
    </w:p>
    <w:p w14:paraId="6683B5FE" w14:textId="59ACC1FE" w:rsidR="00761B6C" w:rsidRPr="00236418" w:rsidRDefault="00761B6C" w:rsidP="00761B6C">
      <w:pPr>
        <w:pStyle w:val="enumlev1"/>
        <w:keepNext/>
        <w:keepLines/>
      </w:pPr>
      <w:r w:rsidRPr="00236418">
        <w:t>–</w:t>
      </w:r>
      <w:r w:rsidRPr="00236418">
        <w:tab/>
      </w:r>
      <w:r w:rsidR="00310B03">
        <w:t>l</w:t>
      </w:r>
      <w:r w:rsidRPr="00236418">
        <w:t>e mémorandum d</w:t>
      </w:r>
      <w:r>
        <w:t>'</w:t>
      </w:r>
      <w:r w:rsidRPr="00236418">
        <w:t>accord sur les communications personnelles mondiales par satellite (GMPCS</w:t>
      </w:r>
      <w:r w:rsidRPr="00236418">
        <w:noBreakHyphen/>
      </w:r>
      <w:proofErr w:type="spellStart"/>
      <w:r w:rsidRPr="00236418">
        <w:t>MoU</w:t>
      </w:r>
      <w:proofErr w:type="spellEnd"/>
      <w:r w:rsidRPr="00236418">
        <w:t>)</w:t>
      </w:r>
      <w:r w:rsidR="00310B03">
        <w:t>;</w:t>
      </w:r>
    </w:p>
    <w:p w14:paraId="65E9BDC5" w14:textId="4A41298A" w:rsidR="00761B6C" w:rsidRPr="00236418" w:rsidRDefault="00761B6C" w:rsidP="00761B6C">
      <w:pPr>
        <w:pStyle w:val="enumlev1"/>
        <w:keepNext/>
        <w:keepLines/>
      </w:pPr>
      <w:r w:rsidRPr="00236418">
        <w:t>–</w:t>
      </w:r>
      <w:r w:rsidRPr="00236418">
        <w:tab/>
      </w:r>
      <w:r w:rsidR="00310B03">
        <w:t>l</w:t>
      </w:r>
      <w:r w:rsidRPr="00236418">
        <w:t>e traitement des fiches de notification des réseaux à satellite</w:t>
      </w:r>
      <w:r w:rsidR="00310B03">
        <w:t>;</w:t>
      </w:r>
    </w:p>
    <w:p w14:paraId="53220901" w14:textId="5871C4AE" w:rsidR="00761B6C" w:rsidRPr="00236418" w:rsidRDefault="00761B6C" w:rsidP="00761B6C">
      <w:pPr>
        <w:pStyle w:val="enumlev1"/>
      </w:pPr>
      <w:r w:rsidRPr="00236418">
        <w:t>–</w:t>
      </w:r>
      <w:r w:rsidRPr="00236418">
        <w:tab/>
      </w:r>
      <w:r w:rsidR="00310B03">
        <w:t>l</w:t>
      </w:r>
      <w:r w:rsidRPr="00236418">
        <w:t>a vente des publications</w:t>
      </w:r>
      <w:r w:rsidR="00310B03">
        <w:t>;</w:t>
      </w:r>
    </w:p>
    <w:p w14:paraId="5BC04E6B" w14:textId="4CE918C2" w:rsidR="00761B6C" w:rsidRPr="00236418" w:rsidRDefault="00761B6C" w:rsidP="00761B6C">
      <w:pPr>
        <w:pStyle w:val="enumlev1"/>
      </w:pPr>
      <w:r w:rsidRPr="00236418">
        <w:t>–</w:t>
      </w:r>
      <w:r w:rsidRPr="00236418">
        <w:tab/>
      </w:r>
      <w:r w:rsidR="00310B03">
        <w:t>l</w:t>
      </w:r>
      <w:r w:rsidRPr="00236418">
        <w:t>es recettes au titre de l</w:t>
      </w:r>
      <w:r>
        <w:t>'</w:t>
      </w:r>
      <w:r w:rsidRPr="00236418">
        <w:t>appui aux projets.</w:t>
      </w:r>
    </w:p>
    <w:p w14:paraId="7B8D3DA7" w14:textId="77777777" w:rsidR="00761B6C" w:rsidRPr="00236418" w:rsidRDefault="00761B6C" w:rsidP="00761B6C">
      <w:r w:rsidRPr="00236418">
        <w:t>L</w:t>
      </w:r>
      <w:r>
        <w:t>'</w:t>
      </w:r>
      <w:r w:rsidRPr="00236418">
        <w:t>UIT perçoit par avance des contributions pour fournir des prestations pour l</w:t>
      </w:r>
      <w:r>
        <w:t>'</w:t>
      </w:r>
      <w:r w:rsidRPr="00236418">
        <w:t>enregistrement des numéros universels de libre appel international (UIFN) et l</w:t>
      </w:r>
      <w:r>
        <w:t>'</w:t>
      </w:r>
      <w:r w:rsidRPr="00236418">
        <w:t>enregistrement des numéros de kiosque internationaux universels (UIPRN) et numéros internationaux universels à coût partagé (UISCN).</w:t>
      </w:r>
    </w:p>
    <w:p w14:paraId="74832740" w14:textId="77777777" w:rsidR="00761B6C" w:rsidRPr="00236418" w:rsidRDefault="00761B6C" w:rsidP="00761B6C">
      <w:r w:rsidRPr="00236418">
        <w:t>Les demandeurs de ces prestations doivent déposer par avance sur les livres de l</w:t>
      </w:r>
      <w:r>
        <w:t>'</w:t>
      </w:r>
      <w:r w:rsidRPr="00236418">
        <w:t xml:space="preserve">Union un montant de 300 CHF par numéro. </w:t>
      </w:r>
      <w:r w:rsidRPr="00236418">
        <w:rPr>
          <w:color w:val="000000"/>
        </w:rPr>
        <w:t>Les entités qui ne sont pas Membres du Secteur de l</w:t>
      </w:r>
      <w:r>
        <w:rPr>
          <w:color w:val="000000"/>
        </w:rPr>
        <w:t>'</w:t>
      </w:r>
      <w:r w:rsidRPr="00236418">
        <w:rPr>
          <w:color w:val="000000"/>
        </w:rPr>
        <w:t>UIT-T ou de l</w:t>
      </w:r>
      <w:r>
        <w:rPr>
          <w:color w:val="000000"/>
        </w:rPr>
        <w:t>'</w:t>
      </w:r>
      <w:r w:rsidRPr="00236418">
        <w:rPr>
          <w:color w:val="000000"/>
        </w:rPr>
        <w:t>UIT-R sont redevables d</w:t>
      </w:r>
      <w:r>
        <w:rPr>
          <w:color w:val="000000"/>
        </w:rPr>
        <w:t>'</w:t>
      </w:r>
      <w:r w:rsidRPr="00236418">
        <w:rPr>
          <w:color w:val="000000"/>
        </w:rPr>
        <w:t>un droit de gestion annuel de 100 CHF par numéro, à verser sur les livres de l</w:t>
      </w:r>
      <w:r>
        <w:rPr>
          <w:color w:val="000000"/>
        </w:rPr>
        <w:t>'</w:t>
      </w:r>
      <w:r w:rsidRPr="00236418">
        <w:rPr>
          <w:color w:val="000000"/>
        </w:rPr>
        <w:t xml:space="preserve">Union. </w:t>
      </w:r>
      <w:r w:rsidRPr="00236418">
        <w:t>Au fur et à mesure de l</w:t>
      </w:r>
      <w:r>
        <w:t>'</w:t>
      </w:r>
      <w:r w:rsidRPr="00236418">
        <w:t>utilisation de ces numéros, l</w:t>
      </w:r>
      <w:r>
        <w:t>'</w:t>
      </w:r>
      <w:r w:rsidRPr="00236418">
        <w:t>UIT facture ses prestations. C</w:t>
      </w:r>
      <w:r>
        <w:t>'</w:t>
      </w:r>
      <w:r w:rsidRPr="00236418">
        <w:t>est lors de l</w:t>
      </w:r>
      <w:r>
        <w:t>'</w:t>
      </w:r>
      <w:r w:rsidRPr="00236418">
        <w:t>utilisation de ces numéros que l</w:t>
      </w:r>
      <w:r>
        <w:t>'</w:t>
      </w:r>
      <w:r w:rsidRPr="00236418">
        <w:t xml:space="preserve">Union reconnait un produit dans ses livres. Les factures ainsi établies sont régularisées à travers le compte de dépôts de ces clients. Une facture relative au droit de gestion applicable à tous les membres actifs est publiée et envoyée à toutes les entités </w:t>
      </w:r>
      <w:r w:rsidRPr="00236418">
        <w:rPr>
          <w:color w:val="000000"/>
        </w:rPr>
        <w:t>qui ne sont pas Membres de l</w:t>
      </w:r>
      <w:r>
        <w:rPr>
          <w:color w:val="000000"/>
        </w:rPr>
        <w:t>'</w:t>
      </w:r>
      <w:r w:rsidRPr="00236418">
        <w:rPr>
          <w:color w:val="000000"/>
        </w:rPr>
        <w:t>UIT-T ou de l</w:t>
      </w:r>
      <w:r>
        <w:rPr>
          <w:color w:val="000000"/>
        </w:rPr>
        <w:t>'</w:t>
      </w:r>
      <w:r w:rsidRPr="00236418">
        <w:rPr>
          <w:color w:val="000000"/>
        </w:rPr>
        <w:t>UIT-R.</w:t>
      </w:r>
    </w:p>
    <w:p w14:paraId="6685BE8E" w14:textId="77777777" w:rsidR="00761B6C" w:rsidRPr="00236418" w:rsidRDefault="00761B6C" w:rsidP="00761B6C">
      <w:r w:rsidRPr="00236418">
        <w:t>Les contributions volontaires sont comptabilisées lorsqu</w:t>
      </w:r>
      <w:r>
        <w:t>'</w:t>
      </w:r>
      <w:r w:rsidRPr="00236418">
        <w:t>il existe un accord signé par les donateurs. Les contributions mises en recouvrement concernant des exercices futurs sont comptabilisées dans les produits différés. Le solde des contributions volontaires non utilisées à la date de clôture est comptabilisé dans les fonds de tiers. Les autres revenus rattachés à des exercices futurs sont comptabilisés dans les produits différés.</w:t>
      </w:r>
    </w:p>
    <w:p w14:paraId="33EC349D" w14:textId="77777777" w:rsidR="00761B6C" w:rsidRPr="00236418" w:rsidRDefault="00761B6C" w:rsidP="00761B6C">
      <w:r w:rsidRPr="00236418">
        <w:t>Les revenus des ventes de publications sont comptabilisés au moment de leur expédition et ceux des ventes de services d</w:t>
      </w:r>
      <w:r>
        <w:t>'</w:t>
      </w:r>
      <w:r w:rsidRPr="00236418">
        <w:t>accès aux statistiques de l</w:t>
      </w:r>
      <w:r>
        <w:t>'</w:t>
      </w:r>
      <w:r w:rsidRPr="00236418">
        <w:t>UIT et aux données sur support électronique, sont comptabilisés au moment où ces données deviennent accessibles.</w:t>
      </w:r>
    </w:p>
    <w:p w14:paraId="07AB3B83" w14:textId="77777777" w:rsidR="00761B6C" w:rsidRPr="00144C9E" w:rsidRDefault="00761B6C" w:rsidP="00144C9E">
      <w:pPr>
        <w:pStyle w:val="Headingb"/>
        <w:rPr>
          <w:u w:val="single"/>
        </w:rPr>
      </w:pPr>
      <w:bookmarkStart w:id="1327" w:name="_Toc329202569"/>
      <w:bookmarkStart w:id="1328" w:name="_Toc329205001"/>
      <w:bookmarkStart w:id="1329" w:name="_Toc329206838"/>
      <w:bookmarkStart w:id="1330" w:name="_Toc358379924"/>
      <w:bookmarkStart w:id="1331" w:name="_Toc358380464"/>
      <w:bookmarkStart w:id="1332" w:name="_Toc452140705"/>
      <w:bookmarkStart w:id="1333" w:name="_Toc482801495"/>
      <w:bookmarkStart w:id="1334" w:name="_Toc511649465"/>
      <w:bookmarkStart w:id="1335" w:name="_Toc511649837"/>
      <w:bookmarkStart w:id="1336" w:name="_Toc511649951"/>
      <w:bookmarkStart w:id="1337" w:name="_Toc511651208"/>
      <w:bookmarkStart w:id="1338" w:name="_Toc511724073"/>
      <w:bookmarkStart w:id="1339" w:name="_Toc511739062"/>
      <w:bookmarkStart w:id="1340" w:name="_Toc511741231"/>
      <w:bookmarkStart w:id="1341" w:name="_Toc10450737"/>
      <w:bookmarkStart w:id="1342" w:name="_Toc41566339"/>
      <w:bookmarkStart w:id="1343" w:name="_Toc41567850"/>
      <w:bookmarkStart w:id="1344" w:name="_Toc73356408"/>
      <w:r w:rsidRPr="00144C9E">
        <w:rPr>
          <w:u w:val="single"/>
        </w:rPr>
        <w:t>Présentation de l'information sectorielle</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14:paraId="4F16C736" w14:textId="77777777" w:rsidR="00761B6C" w:rsidRPr="00236418" w:rsidRDefault="00761B6C" w:rsidP="00761B6C">
      <w:r w:rsidRPr="00236418">
        <w:t>L</w:t>
      </w:r>
      <w:r>
        <w:t>'</w:t>
      </w:r>
      <w:r w:rsidRPr="00236418">
        <w:t>information sectorielle est basée sur les principales activités et sources de financement de l</w:t>
      </w:r>
      <w:r>
        <w:t>'</w:t>
      </w:r>
      <w:r w:rsidRPr="00236418">
        <w:t>UIT et est reportée d</w:t>
      </w:r>
      <w:r>
        <w:t>'</w:t>
      </w:r>
      <w:r w:rsidRPr="00236418">
        <w:t>une manière cohérente avec la structure de l</w:t>
      </w:r>
      <w:r>
        <w:t>'</w:t>
      </w:r>
      <w:r w:rsidRPr="00236418">
        <w:t>information financière fournie au Chef du Département de la gestion des ressources financières. Ces secteurs sont conformes au programme de travail de l</w:t>
      </w:r>
      <w:r>
        <w:t>'</w:t>
      </w:r>
      <w:r w:rsidRPr="00236418">
        <w:t>UIT pour les années 201</w:t>
      </w:r>
      <w:r>
        <w:t>9</w:t>
      </w:r>
      <w:r w:rsidRPr="00236418">
        <w:t>-20</w:t>
      </w:r>
      <w:r>
        <w:t>20</w:t>
      </w:r>
      <w:r w:rsidRPr="00236418">
        <w:t>:</w:t>
      </w:r>
    </w:p>
    <w:p w14:paraId="37E54C6B" w14:textId="77777777" w:rsidR="00761B6C" w:rsidRPr="00236418" w:rsidRDefault="00761B6C" w:rsidP="00761B6C">
      <w:pPr>
        <w:pStyle w:val="enumlev1"/>
      </w:pPr>
      <w:r w:rsidRPr="00236418">
        <w:t>–</w:t>
      </w:r>
      <w:r w:rsidRPr="00236418">
        <w:tab/>
        <w:t>Secrétariat général.</w:t>
      </w:r>
    </w:p>
    <w:p w14:paraId="72B16AA0" w14:textId="77777777" w:rsidR="00761B6C" w:rsidRPr="00236418" w:rsidRDefault="00761B6C" w:rsidP="00761B6C">
      <w:pPr>
        <w:pStyle w:val="enumlev1"/>
      </w:pPr>
      <w:r w:rsidRPr="00236418">
        <w:t>–</w:t>
      </w:r>
      <w:r w:rsidRPr="00236418">
        <w:tab/>
        <w:t>Secteur des radiocommunications (UIT-R): gestion des ressources internationales que constituent le spectre des fréquences radioélectriques et les orbites de satellites.</w:t>
      </w:r>
    </w:p>
    <w:p w14:paraId="1B548073" w14:textId="77777777" w:rsidR="00761B6C" w:rsidRPr="00236418" w:rsidRDefault="00761B6C" w:rsidP="00761B6C">
      <w:pPr>
        <w:pStyle w:val="enumlev1"/>
      </w:pPr>
      <w:r w:rsidRPr="00236418">
        <w:t>–</w:t>
      </w:r>
      <w:r w:rsidRPr="00236418">
        <w:tab/>
        <w:t>Secteur de la normalisation des télécommunications (UIT-T): adaptation de méthodes de travail harmonisées et mise en place de modalités de collaboration souples pour répondre aux besoins de marchés.</w:t>
      </w:r>
    </w:p>
    <w:p w14:paraId="13D08D3A" w14:textId="77777777" w:rsidR="00761B6C" w:rsidRPr="00236418" w:rsidRDefault="00761B6C" w:rsidP="00761B6C">
      <w:pPr>
        <w:pStyle w:val="enumlev1"/>
      </w:pPr>
      <w:r w:rsidRPr="00236418">
        <w:t>–</w:t>
      </w:r>
      <w:r w:rsidRPr="00236418">
        <w:tab/>
        <w:t>Secteur du développement des télécommunications (UIT-D): donner, à des conditions abordables, un accès équitable et durable aux technologies de l</w:t>
      </w:r>
      <w:r>
        <w:t>'</w:t>
      </w:r>
      <w:r w:rsidRPr="00236418">
        <w:t>information et de la communication.</w:t>
      </w:r>
    </w:p>
    <w:p w14:paraId="42C6AE8E" w14:textId="77777777" w:rsidR="00761B6C" w:rsidRPr="00236418" w:rsidRDefault="00761B6C" w:rsidP="00761B6C">
      <w:pPr>
        <w:pStyle w:val="enumlev1"/>
      </w:pPr>
      <w:r w:rsidRPr="00236418">
        <w:lastRenderedPageBreak/>
        <w:t>–</w:t>
      </w:r>
      <w:r w:rsidRPr="00236418">
        <w:tab/>
        <w:t>Fonds pour le nouveau bâtiment: correspond au projet de construction des nouveaux locaux du siège.</w:t>
      </w:r>
    </w:p>
    <w:p w14:paraId="5B23582C" w14:textId="77777777" w:rsidR="00761B6C" w:rsidRPr="00236418" w:rsidRDefault="00761B6C" w:rsidP="00761B6C">
      <w:pPr>
        <w:pStyle w:val="enumlev1"/>
      </w:pPr>
      <w:r w:rsidRPr="00236418">
        <w:t>–</w:t>
      </w:r>
      <w:r w:rsidRPr="00236418">
        <w:tab/>
        <w:t>Ancienne Caisse des pensions: regroupe le Fonds de pensions et le Fonds d</w:t>
      </w:r>
      <w:r>
        <w:t>'</w:t>
      </w:r>
      <w:r w:rsidRPr="00236418">
        <w:t>intervention.</w:t>
      </w:r>
    </w:p>
    <w:p w14:paraId="75FA80F9" w14:textId="77777777" w:rsidR="00761B6C" w:rsidRPr="00236418" w:rsidRDefault="00761B6C" w:rsidP="00761B6C">
      <w:pPr>
        <w:pStyle w:val="enumlev1"/>
      </w:pPr>
      <w:r w:rsidRPr="00236418">
        <w:t>–</w:t>
      </w:r>
      <w:r w:rsidRPr="00236418">
        <w:tab/>
        <w:t>Les projets: il s</w:t>
      </w:r>
      <w:r>
        <w:t>'</w:t>
      </w:r>
      <w:r w:rsidRPr="00236418">
        <w:t>agit des fonds PNUD, FAS, FDTIC et contributions volontaires.</w:t>
      </w:r>
    </w:p>
    <w:p w14:paraId="2632CD5D" w14:textId="77777777" w:rsidR="00761B6C" w:rsidRPr="00236418" w:rsidRDefault="00761B6C" w:rsidP="00761B6C">
      <w:pPr>
        <w:pStyle w:val="enumlev1"/>
      </w:pPr>
      <w:r w:rsidRPr="00236418">
        <w:t>–</w:t>
      </w:r>
      <w:r w:rsidRPr="00236418">
        <w:tab/>
        <w:t>ITU TELECOM.</w:t>
      </w:r>
    </w:p>
    <w:p w14:paraId="05FD3AD6" w14:textId="77777777" w:rsidR="00761B6C" w:rsidRPr="00236418" w:rsidRDefault="00761B6C" w:rsidP="00761B6C">
      <w:r w:rsidRPr="00236418">
        <w:t>En raison de la nature des activités de l</w:t>
      </w:r>
      <w:r>
        <w:t>'</w:t>
      </w:r>
      <w:r w:rsidRPr="00236418">
        <w:t>UIT, ses immobilisations corporelles et incorporelles sont utilisées conjointement par l</w:t>
      </w:r>
      <w:r>
        <w:t>'</w:t>
      </w:r>
      <w:r w:rsidRPr="00236418">
        <w:t xml:space="preserve">ensemble des </w:t>
      </w:r>
      <w:r>
        <w:t>S</w:t>
      </w:r>
      <w:r w:rsidRPr="00236418">
        <w:t xml:space="preserve">ecteurs et ne sont pas gérées par les différents </w:t>
      </w:r>
      <w:r>
        <w:t>S</w:t>
      </w:r>
      <w:r w:rsidRPr="00236418">
        <w:t>ecteurs. En effet, les actifs et passifs de l</w:t>
      </w:r>
      <w:r>
        <w:t>'</w:t>
      </w:r>
      <w:r w:rsidRPr="00236418">
        <w:t>Union autres que ceux représentant l</w:t>
      </w:r>
      <w:r>
        <w:t>'</w:t>
      </w:r>
      <w:r w:rsidRPr="00236418">
        <w:t>actif net sont la propriété ou relève</w:t>
      </w:r>
      <w:r w:rsidRPr="00236418">
        <w:rPr>
          <w:color w:val="000000" w:themeColor="text1"/>
        </w:rPr>
        <w:t xml:space="preserve">nt </w:t>
      </w:r>
      <w:r w:rsidRPr="00236418">
        <w:t>de la responsabilité de l</w:t>
      </w:r>
      <w:r>
        <w:t>'</w:t>
      </w:r>
      <w:r w:rsidRPr="00236418">
        <w:t>organisation dans son ensemble et ne représentent pas des actifs et passifs relatifs à des segments. Les fonds extrabudgétaires ne possèdent pas d</w:t>
      </w:r>
      <w:r>
        <w:t>'</w:t>
      </w:r>
      <w:r w:rsidRPr="00236418">
        <w:t>immobilisations. Les actifs et les passifs représentent de nombreuses activités qui sont communes aux segments de l</w:t>
      </w:r>
      <w:r>
        <w:t>'</w:t>
      </w:r>
      <w:r w:rsidRPr="00236418">
        <w:t>Union. L</w:t>
      </w:r>
      <w:r>
        <w:t>'</w:t>
      </w:r>
      <w:r w:rsidRPr="00236418">
        <w:t xml:space="preserve">affectation des actifs et passif aux différents </w:t>
      </w:r>
      <w:r>
        <w:t>S</w:t>
      </w:r>
      <w:r w:rsidRPr="00236418">
        <w:t>ecteurs ne pourrait être qu</w:t>
      </w:r>
      <w:r>
        <w:t>'</w:t>
      </w:r>
      <w:r w:rsidRPr="00236418">
        <w:t>arbitraire et sans cohérence. Ce qui serait contraire aux principes d</w:t>
      </w:r>
      <w:r>
        <w:t>'</w:t>
      </w:r>
      <w:r w:rsidRPr="00236418">
        <w:t>IPSAS 18. C</w:t>
      </w:r>
      <w:r>
        <w:t>'</w:t>
      </w:r>
      <w:r w:rsidRPr="00236418">
        <w:t>est pourquoi les passifs et actifs individuels ne seront pas détaillés au niveau des segments.</w:t>
      </w:r>
    </w:p>
    <w:p w14:paraId="5EC6D33F" w14:textId="77777777" w:rsidR="00761B6C" w:rsidRPr="00144C9E" w:rsidRDefault="00761B6C" w:rsidP="00144C9E">
      <w:pPr>
        <w:pStyle w:val="Headingb"/>
        <w:rPr>
          <w:u w:val="single"/>
        </w:rPr>
      </w:pPr>
      <w:bookmarkStart w:id="1345" w:name="_Toc329178776"/>
      <w:bookmarkStart w:id="1346" w:name="_Toc329181749"/>
      <w:bookmarkStart w:id="1347" w:name="_Toc329202570"/>
      <w:bookmarkStart w:id="1348" w:name="_Toc329205002"/>
      <w:bookmarkStart w:id="1349" w:name="_Toc329206839"/>
      <w:bookmarkStart w:id="1350" w:name="_Toc358379925"/>
      <w:bookmarkStart w:id="1351" w:name="_Toc358380465"/>
      <w:bookmarkStart w:id="1352" w:name="_Toc387166647"/>
      <w:bookmarkStart w:id="1353" w:name="_Toc395260932"/>
      <w:bookmarkStart w:id="1354" w:name="_Toc395511711"/>
      <w:bookmarkStart w:id="1355" w:name="_Toc452140706"/>
      <w:bookmarkStart w:id="1356" w:name="_Toc482801496"/>
      <w:bookmarkStart w:id="1357" w:name="_Toc511649466"/>
      <w:bookmarkStart w:id="1358" w:name="_Toc511649838"/>
      <w:bookmarkStart w:id="1359" w:name="_Toc511649952"/>
      <w:bookmarkStart w:id="1360" w:name="_Toc511651209"/>
      <w:bookmarkStart w:id="1361" w:name="_Toc511724074"/>
      <w:bookmarkStart w:id="1362" w:name="_Toc511739063"/>
      <w:bookmarkStart w:id="1363" w:name="_Toc511741232"/>
      <w:bookmarkStart w:id="1364" w:name="_Toc10450738"/>
      <w:bookmarkStart w:id="1365" w:name="_Toc41566340"/>
      <w:bookmarkStart w:id="1366" w:name="_Toc41567851"/>
      <w:bookmarkStart w:id="1367" w:name="_Toc73356409"/>
      <w:r w:rsidRPr="00144C9E">
        <w:rPr>
          <w:u w:val="single"/>
        </w:rPr>
        <w:t>Comparaison budgétaire</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14:paraId="0CA2F7E0" w14:textId="77777777" w:rsidR="00761B6C" w:rsidRPr="00236418" w:rsidRDefault="00761B6C" w:rsidP="00761B6C">
      <w:pPr>
        <w:keepLines/>
      </w:pPr>
      <w:r w:rsidRPr="00236418">
        <w:t>Le budget de l</w:t>
      </w:r>
      <w:r>
        <w:t>'</w:t>
      </w:r>
      <w:r w:rsidRPr="00236418">
        <w:t>Union pour la période 20</w:t>
      </w:r>
      <w:r>
        <w:t>20</w:t>
      </w:r>
      <w:r w:rsidRPr="00236418">
        <w:t>-20</w:t>
      </w:r>
      <w:r>
        <w:t>21</w:t>
      </w:r>
      <w:r w:rsidRPr="00236418">
        <w:t xml:space="preserve"> est fondé sur la Décision 5 (Rév. Dubaï, 2018), "Recettes et dépenses de l</w:t>
      </w:r>
      <w:r>
        <w:t>'</w:t>
      </w:r>
      <w:r w:rsidRPr="00236418">
        <w:t>Union pour la période 20</w:t>
      </w:r>
      <w:r>
        <w:t>20</w:t>
      </w:r>
      <w:r w:rsidRPr="00236418">
        <w:t>-20</w:t>
      </w:r>
      <w:r>
        <w:t>23</w:t>
      </w:r>
      <w:r w:rsidRPr="00236418">
        <w:t>", et sur le Plan stratégique de l</w:t>
      </w:r>
      <w:r>
        <w:t>'</w:t>
      </w:r>
      <w:r w:rsidRPr="00236418">
        <w:t xml:space="preserve">Union pour </w:t>
      </w:r>
      <w:r>
        <w:t xml:space="preserve">la période </w:t>
      </w:r>
      <w:r w:rsidRPr="00236418">
        <w:t>20</w:t>
      </w:r>
      <w:r>
        <w:t>20</w:t>
      </w:r>
      <w:r w:rsidRPr="00236418">
        <w:t>-20</w:t>
      </w:r>
      <w:r>
        <w:t>23</w:t>
      </w:r>
      <w:r w:rsidRPr="00236418">
        <w:t xml:space="preserve"> figurant dans la Résolution 71 (Rév. Dubaï, 2018) de la Conférence de plénipotentiaires.</w:t>
      </w:r>
    </w:p>
    <w:p w14:paraId="630BF3A3" w14:textId="77777777" w:rsidR="00761B6C" w:rsidRPr="00236418" w:rsidRDefault="00761B6C" w:rsidP="00761B6C">
      <w:pPr>
        <w:rPr>
          <w:b/>
        </w:rPr>
      </w:pPr>
      <w:r w:rsidRPr="00236418">
        <w:t>En outre, le budget du programme est coordonné avec les plans opérationnels des Secteurs et du Secrétariat général.</w:t>
      </w:r>
    </w:p>
    <w:p w14:paraId="5C8E94F2" w14:textId="77777777" w:rsidR="00761B6C" w:rsidRPr="00236418" w:rsidRDefault="00761B6C" w:rsidP="00761B6C">
      <w:r w:rsidRPr="00236418">
        <w:t>En vertu de la norme IPSAS 24, une comparaison des montants budgétés avec les montants réels doit être intégrée dans les États financiers annuels. Le projet de budget de l</w:t>
      </w:r>
      <w:r>
        <w:t>'</w:t>
      </w:r>
      <w:r w:rsidRPr="00236418">
        <w:t>Union pour 20</w:t>
      </w:r>
      <w:r>
        <w:t>20</w:t>
      </w:r>
      <w:r w:rsidRPr="00236418">
        <w:t>-20</w:t>
      </w:r>
      <w:r>
        <w:t>21</w:t>
      </w:r>
      <w:r w:rsidRPr="00236418">
        <w:t xml:space="preserve"> se compose de deux budgets annuels. Une estimation du budget a été faite pour chacun des exercices.</w:t>
      </w:r>
    </w:p>
    <w:p w14:paraId="64F4F4DC" w14:textId="77777777" w:rsidR="00761B6C" w:rsidRPr="00236418" w:rsidRDefault="00761B6C" w:rsidP="00761B6C">
      <w:r w:rsidRPr="00236418">
        <w:t>Le budget définitif pour l</w:t>
      </w:r>
      <w:r>
        <w:t>'</w:t>
      </w:r>
      <w:r w:rsidRPr="00236418">
        <w:t>exercice 20</w:t>
      </w:r>
      <w:r>
        <w:t>20</w:t>
      </w:r>
      <w:r w:rsidRPr="00236418">
        <w:t xml:space="preserve"> a été approuvé par le Conseil à sa session de 201</w:t>
      </w:r>
      <w:r>
        <w:t>9</w:t>
      </w:r>
      <w:r w:rsidRPr="00236418">
        <w:t xml:space="preserve"> par l</w:t>
      </w:r>
      <w:r>
        <w:t>'</w:t>
      </w:r>
      <w:r w:rsidRPr="00236418">
        <w:t>adoption de la Résolution 13</w:t>
      </w:r>
      <w:r>
        <w:t>96</w:t>
      </w:r>
      <w:r w:rsidRPr="00236418">
        <w:t>. L</w:t>
      </w:r>
      <w:r>
        <w:t>'</w:t>
      </w:r>
      <w:r w:rsidRPr="00236418">
        <w:t>État V contient une comparaison du budget final et des montants effectifs. Le budget et les États financiers n</w:t>
      </w:r>
      <w:r>
        <w:t>'</w:t>
      </w:r>
      <w:r w:rsidRPr="00236418">
        <w:t>étant pas préparés sur la même base, l</w:t>
      </w:r>
      <w:r>
        <w:t>'</w:t>
      </w:r>
      <w:r w:rsidRPr="00236418">
        <w:t>État V contient un rapprochement des montants figurant dans le budget et des montants figurant dans l</w:t>
      </w:r>
      <w:r>
        <w:t>'</w:t>
      </w:r>
      <w:r w:rsidRPr="00236418">
        <w:t>État II (État de la performance financière). La différence de périmètre représente l</w:t>
      </w:r>
      <w:r>
        <w:t>'</w:t>
      </w:r>
      <w:r w:rsidRPr="00236418">
        <w:t>intégration dans les États financiers de l</w:t>
      </w:r>
      <w:r>
        <w:t>'</w:t>
      </w:r>
      <w:r w:rsidRPr="00236418">
        <w:t>Union des fonds extrabudgétaires.</w:t>
      </w:r>
    </w:p>
    <w:p w14:paraId="246279CF" w14:textId="77777777" w:rsidR="00761B6C" w:rsidRPr="00236418" w:rsidRDefault="00761B6C" w:rsidP="00761B6C">
      <w:pPr>
        <w:pStyle w:val="Heading1"/>
        <w:spacing w:before="240"/>
        <w:rPr>
          <w:sz w:val="24"/>
          <w:szCs w:val="24"/>
        </w:rPr>
      </w:pPr>
      <w:bookmarkStart w:id="1368" w:name="_Toc268007535"/>
      <w:bookmarkStart w:id="1369" w:name="_Toc329178777"/>
      <w:bookmarkStart w:id="1370" w:name="_Toc329181750"/>
      <w:bookmarkStart w:id="1371" w:name="_Toc329202571"/>
      <w:bookmarkStart w:id="1372" w:name="_Toc329205003"/>
      <w:bookmarkStart w:id="1373" w:name="_Toc329206840"/>
      <w:bookmarkStart w:id="1374" w:name="_Toc358379926"/>
      <w:bookmarkStart w:id="1375" w:name="_Toc358380466"/>
      <w:bookmarkStart w:id="1376" w:name="_Toc452140707"/>
      <w:bookmarkStart w:id="1377" w:name="_Toc482801497"/>
      <w:bookmarkStart w:id="1378" w:name="_Toc511649467"/>
      <w:bookmarkStart w:id="1379" w:name="_Toc511649839"/>
      <w:bookmarkStart w:id="1380" w:name="_Toc511649953"/>
      <w:bookmarkStart w:id="1381" w:name="_Toc511651210"/>
      <w:bookmarkStart w:id="1382" w:name="_Toc511724075"/>
      <w:bookmarkStart w:id="1383" w:name="_Toc511739064"/>
      <w:bookmarkStart w:id="1384" w:name="_Toc511741233"/>
      <w:bookmarkStart w:id="1385" w:name="_Toc10450739"/>
      <w:bookmarkStart w:id="1386" w:name="_Toc41566341"/>
      <w:bookmarkStart w:id="1387" w:name="_Toc41567347"/>
      <w:bookmarkStart w:id="1388" w:name="_Toc41567852"/>
      <w:bookmarkStart w:id="1389" w:name="_Toc41814947"/>
      <w:bookmarkStart w:id="1390" w:name="_Toc73354436"/>
      <w:bookmarkStart w:id="1391" w:name="_Toc73356410"/>
      <w:r w:rsidRPr="00236418">
        <w:rPr>
          <w:sz w:val="24"/>
          <w:szCs w:val="24"/>
        </w:rPr>
        <w:t>Note 3</w:t>
      </w:r>
      <w:r w:rsidRPr="00236418">
        <w:rPr>
          <w:sz w:val="24"/>
          <w:szCs w:val="24"/>
        </w:rPr>
        <w:tab/>
        <w:t>G</w:t>
      </w:r>
      <w:bookmarkEnd w:id="1368"/>
      <w:r w:rsidRPr="00236418">
        <w:rPr>
          <w:sz w:val="24"/>
          <w:szCs w:val="24"/>
        </w:rPr>
        <w:t>estion de l</w:t>
      </w:r>
      <w:r>
        <w:rPr>
          <w:sz w:val="24"/>
          <w:szCs w:val="24"/>
        </w:rPr>
        <w:t>'</w:t>
      </w:r>
      <w:r w:rsidRPr="00236418">
        <w:rPr>
          <w:sz w:val="24"/>
          <w:szCs w:val="24"/>
        </w:rPr>
        <w:t>actif net</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14:paraId="70E7C487" w14:textId="77777777" w:rsidR="00761B6C" w:rsidRPr="00236418" w:rsidRDefault="00761B6C" w:rsidP="00761B6C">
      <w:r w:rsidRPr="00236418">
        <w:t>L</w:t>
      </w:r>
      <w:r>
        <w:t>'</w:t>
      </w:r>
      <w:r w:rsidRPr="00236418">
        <w:t>actif net de l</w:t>
      </w:r>
      <w:r>
        <w:t>'</w:t>
      </w:r>
      <w:r w:rsidRPr="00236418">
        <w:t>Union se compose des fonds propres affectés à l</w:t>
      </w:r>
      <w:r>
        <w:t>'</w:t>
      </w:r>
      <w:r w:rsidRPr="00236418">
        <w:t>organisation ou réservés à des projets ainsi que des fonds propres non affectés réservés à des projets.</w:t>
      </w:r>
    </w:p>
    <w:p w14:paraId="066B5014" w14:textId="77777777" w:rsidR="00761B6C" w:rsidRPr="00236418" w:rsidRDefault="00761B6C" w:rsidP="00761B6C">
      <w:r w:rsidRPr="00236418">
        <w:t>Au 31 décembre 20</w:t>
      </w:r>
      <w:r>
        <w:t>20</w:t>
      </w:r>
      <w:r w:rsidRPr="00236418">
        <w:t>, l</w:t>
      </w:r>
      <w:r>
        <w:t>'</w:t>
      </w:r>
      <w:r w:rsidRPr="00236418">
        <w:t>avoir du Fonds de réserve s</w:t>
      </w:r>
      <w:r>
        <w:t>'</w:t>
      </w:r>
      <w:r w:rsidRPr="00236418">
        <w:t>élevait à 2</w:t>
      </w:r>
      <w:r>
        <w:t>5</w:t>
      </w:r>
      <w:r w:rsidRPr="00236418">
        <w:t>,</w:t>
      </w:r>
      <w:r>
        <w:t>8</w:t>
      </w:r>
      <w:r w:rsidRPr="00236418">
        <w:t> millions CHF. L</w:t>
      </w:r>
      <w:r>
        <w:t>'</w:t>
      </w:r>
      <w:r w:rsidRPr="00236418">
        <w:t xml:space="preserve">avoir du Fonds de réserve </w:t>
      </w:r>
      <w:proofErr w:type="gramStart"/>
      <w:r w:rsidRPr="00236418">
        <w:t>représente</w:t>
      </w:r>
      <w:proofErr w:type="gramEnd"/>
      <w:r w:rsidRPr="00236418">
        <w:t xml:space="preserve"> 15,</w:t>
      </w:r>
      <w:r>
        <w:t>5</w:t>
      </w:r>
      <w:r w:rsidRPr="00236418">
        <w:t>% du budget 20</w:t>
      </w:r>
      <w:r>
        <w:t>20</w:t>
      </w:r>
      <w:r w:rsidRPr="00236418">
        <w:t>, pourcentage très largement supérieur au seuil de 6% fixé par la Conférence de plénipotentiaires dans sa Décision 5 (Rév. Dubaï, 2018).</w:t>
      </w:r>
    </w:p>
    <w:p w14:paraId="5DEBCB6E" w14:textId="77777777" w:rsidR="00761B6C" w:rsidRPr="00236418" w:rsidRDefault="00761B6C" w:rsidP="00761B6C">
      <w:pPr>
        <w:pStyle w:val="Heading1"/>
        <w:spacing w:before="240"/>
        <w:rPr>
          <w:sz w:val="24"/>
          <w:szCs w:val="24"/>
        </w:rPr>
      </w:pPr>
      <w:bookmarkStart w:id="1392" w:name="_Toc387166648"/>
      <w:bookmarkStart w:id="1393" w:name="_Toc395260933"/>
      <w:bookmarkStart w:id="1394" w:name="_Toc395511712"/>
      <w:bookmarkStart w:id="1395" w:name="_Toc452138622"/>
      <w:bookmarkStart w:id="1396" w:name="_Toc452139071"/>
      <w:bookmarkStart w:id="1397" w:name="_Toc452139435"/>
      <w:bookmarkStart w:id="1398" w:name="_Toc452139835"/>
      <w:bookmarkStart w:id="1399" w:name="_Toc452140708"/>
      <w:bookmarkStart w:id="1400" w:name="_Toc482801498"/>
      <w:bookmarkStart w:id="1401" w:name="_Toc511649468"/>
      <w:bookmarkStart w:id="1402" w:name="_Toc511649840"/>
      <w:bookmarkStart w:id="1403" w:name="_Toc511649954"/>
      <w:bookmarkStart w:id="1404" w:name="_Toc511651211"/>
      <w:bookmarkStart w:id="1405" w:name="_Toc511724076"/>
      <w:bookmarkStart w:id="1406" w:name="_Toc511739065"/>
      <w:bookmarkStart w:id="1407" w:name="_Toc511741234"/>
      <w:bookmarkStart w:id="1408" w:name="_Toc10450740"/>
      <w:bookmarkStart w:id="1409" w:name="_Toc41566342"/>
      <w:bookmarkStart w:id="1410" w:name="_Toc41567348"/>
      <w:bookmarkStart w:id="1411" w:name="_Toc41567853"/>
      <w:bookmarkStart w:id="1412" w:name="_Toc41814948"/>
      <w:bookmarkStart w:id="1413" w:name="_Toc73354437"/>
      <w:bookmarkStart w:id="1414" w:name="_Toc73356411"/>
      <w:r w:rsidRPr="00236418">
        <w:rPr>
          <w:sz w:val="24"/>
          <w:szCs w:val="24"/>
        </w:rPr>
        <w:lastRenderedPageBreak/>
        <w:t>Note 4</w:t>
      </w:r>
      <w:r w:rsidRPr="00236418">
        <w:rPr>
          <w:sz w:val="24"/>
          <w:szCs w:val="24"/>
        </w:rPr>
        <w:tab/>
        <w:t>Gestion des risques financiers</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14:paraId="39E835B2" w14:textId="77777777" w:rsidR="00761B6C" w:rsidRPr="00236418" w:rsidRDefault="00761B6C" w:rsidP="00761B6C">
      <w:pPr>
        <w:keepNext/>
        <w:keepLines/>
        <w:spacing w:before="60" w:after="60"/>
      </w:pPr>
      <w:r w:rsidRPr="00236418">
        <w:t>Dans le cadre de ses activités, l</w:t>
      </w:r>
      <w:r>
        <w:t>'</w:t>
      </w:r>
      <w:r w:rsidRPr="00236418">
        <w:t>UIT est exposée à un certain nombre de risques financiers, à savoir le risque de crédit, le risque de marché (risque de change), le risque de taux d</w:t>
      </w:r>
      <w:r>
        <w:t>'</w:t>
      </w:r>
      <w:r w:rsidRPr="00236418">
        <w:t>intérêt et le risque de liquidité. Cette Note présente des informations concernant l</w:t>
      </w:r>
      <w:r>
        <w:t>'</w:t>
      </w:r>
      <w:r w:rsidRPr="00236418">
        <w:t>exposition de l</w:t>
      </w:r>
      <w:r>
        <w:t>'</w:t>
      </w:r>
      <w:r w:rsidRPr="00236418">
        <w:t>UIT à chacun des risques précédents, et expose les principes adoptés par l</w:t>
      </w:r>
      <w:r>
        <w:t>'</w:t>
      </w:r>
      <w:r w:rsidRPr="00236418">
        <w:t>UIT pour gérer les risques financiers et maintenir son capital. La gestion des risques financiers est organisée centralement sous la responsabilité du Secrétaire général.</w:t>
      </w:r>
    </w:p>
    <w:p w14:paraId="1C60B55F" w14:textId="77777777" w:rsidR="00761B6C" w:rsidRPr="00236418" w:rsidRDefault="00761B6C" w:rsidP="00761B6C">
      <w:pPr>
        <w:pStyle w:val="headingb0"/>
      </w:pPr>
      <w:bookmarkStart w:id="1415" w:name="_Toc387167464"/>
      <w:bookmarkStart w:id="1416" w:name="_Toc482888032"/>
      <w:bookmarkStart w:id="1417" w:name="_Toc482888066"/>
      <w:bookmarkStart w:id="1418" w:name="_Toc482888375"/>
      <w:bookmarkStart w:id="1419" w:name="_Toc482888754"/>
      <w:bookmarkStart w:id="1420" w:name="_Toc511649469"/>
      <w:bookmarkStart w:id="1421" w:name="_Toc511649955"/>
      <w:bookmarkStart w:id="1422" w:name="_Toc511650073"/>
      <w:bookmarkStart w:id="1423" w:name="_Toc511650567"/>
      <w:bookmarkStart w:id="1424" w:name="_Toc511651212"/>
      <w:bookmarkStart w:id="1425" w:name="_Toc511724077"/>
      <w:bookmarkStart w:id="1426" w:name="_Toc511739066"/>
      <w:bookmarkStart w:id="1427" w:name="_Toc511740818"/>
      <w:bookmarkStart w:id="1428" w:name="_Toc511741235"/>
      <w:bookmarkStart w:id="1429" w:name="_Toc10450741"/>
      <w:bookmarkStart w:id="1430" w:name="_Toc41567349"/>
      <w:bookmarkStart w:id="1431" w:name="_Toc73356412"/>
      <w:r w:rsidRPr="00236418">
        <w:t>Juste valeur</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14:paraId="451AD0D5" w14:textId="77777777" w:rsidR="00761B6C" w:rsidRPr="00236418" w:rsidRDefault="00761B6C" w:rsidP="00761B6C">
      <w:pPr>
        <w:spacing w:after="120"/>
      </w:pPr>
      <w:r w:rsidRPr="00236418">
        <w:t>Ci-dessous figure une comparaison par catégorie de la valeur comptable et de la juste valeur des instruments financiers de l</w:t>
      </w:r>
      <w:r>
        <w:t>'</w:t>
      </w:r>
      <w:r w:rsidRPr="00236418">
        <w:t>UIT.</w:t>
      </w:r>
    </w:p>
    <w:tbl>
      <w:tblPr>
        <w:tblStyle w:val="TableGrid"/>
        <w:tblW w:w="10060" w:type="dxa"/>
        <w:tblLayout w:type="fixed"/>
        <w:tblLook w:val="04A0" w:firstRow="1" w:lastRow="0" w:firstColumn="1" w:lastColumn="0" w:noHBand="0" w:noVBand="1"/>
        <w:tblCaption w:val="E"/>
      </w:tblPr>
      <w:tblGrid>
        <w:gridCol w:w="5441"/>
        <w:gridCol w:w="1105"/>
        <w:gridCol w:w="1106"/>
        <w:gridCol w:w="1274"/>
        <w:gridCol w:w="1134"/>
      </w:tblGrid>
      <w:tr w:rsidR="00761B6C" w:rsidRPr="00236418" w14:paraId="1F7A2413" w14:textId="77777777" w:rsidTr="00761B6C">
        <w:tc>
          <w:tcPr>
            <w:tcW w:w="5441" w:type="dxa"/>
          </w:tcPr>
          <w:p w14:paraId="30CA549F" w14:textId="77777777" w:rsidR="00761B6C" w:rsidRPr="00236418" w:rsidRDefault="00761B6C" w:rsidP="00C92416">
            <w:pPr>
              <w:pStyle w:val="Tablehead"/>
              <w:keepLines/>
              <w:spacing w:before="60" w:after="60"/>
            </w:pPr>
            <w:r w:rsidRPr="00236418">
              <w:t>En milliers CHF</w:t>
            </w:r>
          </w:p>
        </w:tc>
        <w:tc>
          <w:tcPr>
            <w:tcW w:w="2211" w:type="dxa"/>
            <w:gridSpan w:val="2"/>
          </w:tcPr>
          <w:p w14:paraId="5D1D180C" w14:textId="77777777" w:rsidR="00761B6C" w:rsidRPr="00236418" w:rsidRDefault="00761B6C" w:rsidP="00C92416">
            <w:pPr>
              <w:pStyle w:val="Tablehead"/>
              <w:keepLines/>
              <w:spacing w:before="60" w:after="60"/>
            </w:pPr>
            <w:r w:rsidRPr="00236418">
              <w:t>Valeur comptable</w:t>
            </w:r>
          </w:p>
        </w:tc>
        <w:tc>
          <w:tcPr>
            <w:tcW w:w="2408" w:type="dxa"/>
            <w:gridSpan w:val="2"/>
          </w:tcPr>
          <w:p w14:paraId="40307EB8" w14:textId="77777777" w:rsidR="00761B6C" w:rsidRPr="00236418" w:rsidRDefault="00761B6C" w:rsidP="00C92416">
            <w:pPr>
              <w:pStyle w:val="Tablehead"/>
              <w:keepLines/>
              <w:spacing w:before="60" w:after="60"/>
            </w:pPr>
            <w:r w:rsidRPr="00236418">
              <w:t>Juste valeur</w:t>
            </w:r>
          </w:p>
        </w:tc>
      </w:tr>
      <w:tr w:rsidR="00761B6C" w:rsidRPr="00236418" w14:paraId="1234B464" w14:textId="77777777" w:rsidTr="00761B6C">
        <w:tc>
          <w:tcPr>
            <w:tcW w:w="5441" w:type="dxa"/>
          </w:tcPr>
          <w:p w14:paraId="2BC6AE77" w14:textId="77777777" w:rsidR="00761B6C" w:rsidRPr="00236418" w:rsidRDefault="00761B6C" w:rsidP="00C92416">
            <w:pPr>
              <w:pStyle w:val="TableText0"/>
              <w:keepLines/>
              <w:spacing w:before="20" w:after="20"/>
              <w:rPr>
                <w:rFonts w:asciiTheme="minorHAnsi" w:hAnsiTheme="minorHAnsi" w:cstheme="minorHAnsi"/>
              </w:rPr>
            </w:pPr>
            <w:r w:rsidRPr="00236418">
              <w:rPr>
                <w:rFonts w:asciiTheme="minorHAnsi" w:hAnsiTheme="minorHAnsi" w:cstheme="minorHAnsi"/>
              </w:rPr>
              <w:t xml:space="preserve">Actifs financiers </w:t>
            </w:r>
          </w:p>
        </w:tc>
        <w:tc>
          <w:tcPr>
            <w:tcW w:w="1105" w:type="dxa"/>
            <w:vAlign w:val="center"/>
          </w:tcPr>
          <w:p w14:paraId="001FE29A" w14:textId="77777777" w:rsidR="00761B6C" w:rsidRPr="00236418" w:rsidRDefault="00761B6C" w:rsidP="00C92416">
            <w:pPr>
              <w:pStyle w:val="Tablehead"/>
              <w:keepLines/>
              <w:spacing w:before="20" w:after="20"/>
            </w:pPr>
            <w:r>
              <w:t>2020</w:t>
            </w:r>
          </w:p>
        </w:tc>
        <w:tc>
          <w:tcPr>
            <w:tcW w:w="1106" w:type="dxa"/>
            <w:vAlign w:val="center"/>
          </w:tcPr>
          <w:p w14:paraId="6244D97A" w14:textId="77777777" w:rsidR="00761B6C" w:rsidRPr="00236418" w:rsidRDefault="00761B6C" w:rsidP="00C92416">
            <w:pPr>
              <w:pStyle w:val="Tablehead"/>
              <w:keepLines/>
              <w:spacing w:before="20" w:after="20"/>
            </w:pPr>
            <w:r w:rsidRPr="00236418">
              <w:t>2019</w:t>
            </w:r>
          </w:p>
        </w:tc>
        <w:tc>
          <w:tcPr>
            <w:tcW w:w="1274" w:type="dxa"/>
            <w:vAlign w:val="center"/>
          </w:tcPr>
          <w:p w14:paraId="06580B9F" w14:textId="77777777" w:rsidR="00761B6C" w:rsidRPr="00236418" w:rsidRDefault="00761B6C" w:rsidP="00C92416">
            <w:pPr>
              <w:pStyle w:val="Tablehead"/>
              <w:keepLines/>
              <w:spacing w:before="20" w:after="20"/>
            </w:pPr>
            <w:r>
              <w:t>2020</w:t>
            </w:r>
          </w:p>
        </w:tc>
        <w:tc>
          <w:tcPr>
            <w:tcW w:w="1134" w:type="dxa"/>
            <w:vAlign w:val="center"/>
          </w:tcPr>
          <w:p w14:paraId="7AC27CA5" w14:textId="77777777" w:rsidR="00761B6C" w:rsidRPr="00236418" w:rsidRDefault="00761B6C" w:rsidP="00C92416">
            <w:pPr>
              <w:pStyle w:val="Tablehead"/>
              <w:keepLines/>
              <w:spacing w:before="20" w:after="20"/>
            </w:pPr>
            <w:r w:rsidRPr="00236418">
              <w:t>2019</w:t>
            </w:r>
          </w:p>
        </w:tc>
      </w:tr>
      <w:tr w:rsidR="00761B6C" w:rsidRPr="00236418" w14:paraId="5FC81324" w14:textId="77777777" w:rsidTr="00761B6C">
        <w:tc>
          <w:tcPr>
            <w:tcW w:w="5441" w:type="dxa"/>
          </w:tcPr>
          <w:p w14:paraId="0AF909EB" w14:textId="77777777" w:rsidR="00761B6C" w:rsidRPr="00236418" w:rsidRDefault="00761B6C" w:rsidP="00C92416">
            <w:pPr>
              <w:pStyle w:val="TableText0"/>
              <w:keepLines/>
              <w:spacing w:before="20" w:after="20"/>
              <w:rPr>
                <w:rFonts w:asciiTheme="minorHAnsi" w:hAnsiTheme="minorHAnsi" w:cstheme="minorHAnsi"/>
              </w:rPr>
            </w:pPr>
            <w:r w:rsidRPr="00236418">
              <w:rPr>
                <w:rFonts w:asciiTheme="minorHAnsi" w:hAnsiTheme="minorHAnsi" w:cstheme="minorHAnsi"/>
              </w:rPr>
              <w:t>Trésorerie et équivalents de trésorerie</w:t>
            </w:r>
          </w:p>
        </w:tc>
        <w:tc>
          <w:tcPr>
            <w:tcW w:w="1105" w:type="dxa"/>
            <w:vAlign w:val="center"/>
          </w:tcPr>
          <w:p w14:paraId="0EFE2895" w14:textId="77777777" w:rsidR="00761B6C" w:rsidRPr="00236418" w:rsidRDefault="00761B6C" w:rsidP="00C92416">
            <w:pPr>
              <w:pStyle w:val="Tabletext"/>
              <w:spacing w:before="20" w:after="20"/>
              <w:jc w:val="right"/>
              <w:rPr>
                <w:lang w:eastAsia="zh-CN"/>
              </w:rPr>
            </w:pPr>
            <w:r>
              <w:rPr>
                <w:lang w:val="en-US" w:eastAsia="zh-CN"/>
              </w:rPr>
              <w:t>99 406</w:t>
            </w:r>
          </w:p>
        </w:tc>
        <w:tc>
          <w:tcPr>
            <w:tcW w:w="1106" w:type="dxa"/>
            <w:vAlign w:val="center"/>
          </w:tcPr>
          <w:p w14:paraId="4767960C" w14:textId="77777777" w:rsidR="00761B6C" w:rsidRPr="00236418" w:rsidRDefault="00761B6C" w:rsidP="00C92416">
            <w:pPr>
              <w:pStyle w:val="Tabletext"/>
              <w:spacing w:before="20" w:after="20"/>
              <w:jc w:val="right"/>
              <w:rPr>
                <w:lang w:eastAsia="zh-CN"/>
              </w:rPr>
            </w:pPr>
            <w:r w:rsidRPr="00236418">
              <w:rPr>
                <w:lang w:eastAsia="zh-CN"/>
              </w:rPr>
              <w:t>178 852</w:t>
            </w:r>
          </w:p>
        </w:tc>
        <w:tc>
          <w:tcPr>
            <w:tcW w:w="1274" w:type="dxa"/>
            <w:vAlign w:val="center"/>
          </w:tcPr>
          <w:p w14:paraId="6BF433DB" w14:textId="77777777" w:rsidR="00761B6C" w:rsidRPr="00236418" w:rsidRDefault="00761B6C" w:rsidP="00C92416">
            <w:pPr>
              <w:pStyle w:val="Tabletext"/>
              <w:spacing w:before="20" w:after="20"/>
              <w:jc w:val="right"/>
              <w:rPr>
                <w:lang w:eastAsia="zh-CN"/>
              </w:rPr>
            </w:pPr>
            <w:r>
              <w:rPr>
                <w:lang w:val="en-US" w:eastAsia="zh-CN"/>
              </w:rPr>
              <w:t>99 406</w:t>
            </w:r>
          </w:p>
        </w:tc>
        <w:tc>
          <w:tcPr>
            <w:tcW w:w="1134" w:type="dxa"/>
            <w:vAlign w:val="center"/>
          </w:tcPr>
          <w:p w14:paraId="12764F2C" w14:textId="77777777" w:rsidR="00761B6C" w:rsidRPr="00236418" w:rsidRDefault="00761B6C" w:rsidP="00C92416">
            <w:pPr>
              <w:pStyle w:val="Tabletext"/>
              <w:spacing w:before="20" w:after="20"/>
              <w:jc w:val="right"/>
              <w:rPr>
                <w:lang w:eastAsia="zh-CN"/>
              </w:rPr>
            </w:pPr>
            <w:r w:rsidRPr="00236418">
              <w:rPr>
                <w:lang w:eastAsia="zh-CN"/>
              </w:rPr>
              <w:t>178 852</w:t>
            </w:r>
          </w:p>
        </w:tc>
      </w:tr>
      <w:tr w:rsidR="00761B6C" w:rsidRPr="00236418" w14:paraId="72C7EC65" w14:textId="77777777" w:rsidTr="00761B6C">
        <w:tc>
          <w:tcPr>
            <w:tcW w:w="5441" w:type="dxa"/>
          </w:tcPr>
          <w:p w14:paraId="199322D9" w14:textId="77777777" w:rsidR="00761B6C" w:rsidRPr="00236418" w:rsidRDefault="00761B6C" w:rsidP="00C92416">
            <w:pPr>
              <w:pStyle w:val="TableText0"/>
              <w:keepLines/>
              <w:spacing w:before="20" w:after="20"/>
              <w:rPr>
                <w:rFonts w:asciiTheme="minorHAnsi" w:hAnsiTheme="minorHAnsi" w:cstheme="minorHAnsi"/>
              </w:rPr>
            </w:pPr>
            <w:r w:rsidRPr="00236418">
              <w:rPr>
                <w:rFonts w:asciiTheme="minorHAnsi" w:hAnsiTheme="minorHAnsi" w:cstheme="minorHAnsi"/>
              </w:rPr>
              <w:t>Instruments financiers à la juste valeur par résultat</w:t>
            </w:r>
          </w:p>
        </w:tc>
        <w:tc>
          <w:tcPr>
            <w:tcW w:w="1105" w:type="dxa"/>
            <w:vAlign w:val="center"/>
          </w:tcPr>
          <w:p w14:paraId="3CAC9F59" w14:textId="77777777" w:rsidR="00761B6C" w:rsidRPr="00236418" w:rsidRDefault="00761B6C" w:rsidP="00C92416">
            <w:pPr>
              <w:pStyle w:val="Tabletext"/>
              <w:spacing w:before="20" w:after="20"/>
              <w:jc w:val="right"/>
              <w:rPr>
                <w:lang w:eastAsia="zh-CN"/>
              </w:rPr>
            </w:pPr>
            <w:r>
              <w:rPr>
                <w:lang w:val="en-US" w:eastAsia="zh-CN"/>
              </w:rPr>
              <w:t>95 516</w:t>
            </w:r>
          </w:p>
        </w:tc>
        <w:tc>
          <w:tcPr>
            <w:tcW w:w="1106" w:type="dxa"/>
            <w:vAlign w:val="center"/>
          </w:tcPr>
          <w:p w14:paraId="4569DBDE" w14:textId="77777777" w:rsidR="00761B6C" w:rsidRPr="00236418" w:rsidRDefault="00761B6C" w:rsidP="00C92416">
            <w:pPr>
              <w:pStyle w:val="Tabletext"/>
              <w:spacing w:before="20" w:after="20"/>
              <w:jc w:val="right"/>
              <w:rPr>
                <w:lang w:eastAsia="zh-CN"/>
              </w:rPr>
            </w:pPr>
            <w:r w:rsidRPr="00236418">
              <w:rPr>
                <w:lang w:eastAsia="zh-CN"/>
              </w:rPr>
              <w:t>33 329</w:t>
            </w:r>
          </w:p>
        </w:tc>
        <w:tc>
          <w:tcPr>
            <w:tcW w:w="1274" w:type="dxa"/>
            <w:vAlign w:val="center"/>
          </w:tcPr>
          <w:p w14:paraId="0924B8E1" w14:textId="77777777" w:rsidR="00761B6C" w:rsidRPr="00236418" w:rsidRDefault="00761B6C" w:rsidP="00C92416">
            <w:pPr>
              <w:pStyle w:val="Tabletext"/>
              <w:spacing w:before="20" w:after="20"/>
              <w:jc w:val="right"/>
              <w:rPr>
                <w:lang w:eastAsia="zh-CN"/>
              </w:rPr>
            </w:pPr>
            <w:r>
              <w:rPr>
                <w:lang w:val="en-US" w:eastAsia="zh-CN"/>
              </w:rPr>
              <w:t>95 516</w:t>
            </w:r>
          </w:p>
        </w:tc>
        <w:tc>
          <w:tcPr>
            <w:tcW w:w="1134" w:type="dxa"/>
            <w:vAlign w:val="center"/>
          </w:tcPr>
          <w:p w14:paraId="60D5526C" w14:textId="77777777" w:rsidR="00761B6C" w:rsidRPr="00236418" w:rsidRDefault="00761B6C" w:rsidP="00C92416">
            <w:pPr>
              <w:pStyle w:val="Tabletext"/>
              <w:spacing w:before="20" w:after="20"/>
              <w:jc w:val="right"/>
              <w:rPr>
                <w:lang w:eastAsia="zh-CN"/>
              </w:rPr>
            </w:pPr>
            <w:r w:rsidRPr="00236418">
              <w:rPr>
                <w:lang w:eastAsia="zh-CN"/>
              </w:rPr>
              <w:t>33 329</w:t>
            </w:r>
          </w:p>
        </w:tc>
      </w:tr>
      <w:tr w:rsidR="00761B6C" w:rsidRPr="00236418" w14:paraId="7CAD8366" w14:textId="77777777" w:rsidTr="00761B6C">
        <w:tc>
          <w:tcPr>
            <w:tcW w:w="5441" w:type="dxa"/>
          </w:tcPr>
          <w:p w14:paraId="7AC4E5DC" w14:textId="3FFA2900" w:rsidR="00761B6C" w:rsidRPr="00236418" w:rsidRDefault="00761B6C" w:rsidP="00C92416">
            <w:pPr>
              <w:pStyle w:val="TableText0"/>
              <w:keepLines/>
              <w:spacing w:before="20" w:after="20"/>
              <w:rPr>
                <w:rFonts w:asciiTheme="minorHAnsi" w:hAnsiTheme="minorHAnsi" w:cstheme="minorHAnsi"/>
              </w:rPr>
            </w:pPr>
            <w:r w:rsidRPr="00236418">
              <w:rPr>
                <w:rFonts w:asciiTheme="minorHAnsi" w:hAnsiTheme="minorHAnsi" w:cstheme="minorHAnsi"/>
              </w:rPr>
              <w:t>Créances résultant d</w:t>
            </w:r>
            <w:r>
              <w:rPr>
                <w:rFonts w:asciiTheme="minorHAnsi" w:hAnsiTheme="minorHAnsi" w:cstheme="minorHAnsi"/>
              </w:rPr>
              <w:t>'</w:t>
            </w:r>
            <w:r w:rsidRPr="00236418">
              <w:rPr>
                <w:rFonts w:asciiTheme="minorHAnsi" w:hAnsiTheme="minorHAnsi" w:cstheme="minorHAnsi"/>
              </w:rPr>
              <w:t xml:space="preserve">opérations avec contrepartie </w:t>
            </w:r>
            <w:r w:rsidR="00C92416">
              <w:rPr>
                <w:rFonts w:asciiTheme="minorHAnsi" w:hAnsiTheme="minorHAnsi" w:cstheme="minorHAnsi"/>
              </w:rPr>
              <w:t>directe </w:t>
            </w:r>
            <w:r w:rsidRPr="00236418">
              <w:rPr>
                <w:rFonts w:asciiTheme="minorHAnsi" w:hAnsiTheme="minorHAnsi" w:cstheme="minorHAnsi"/>
              </w:rPr>
              <w:t>‒ courant</w:t>
            </w:r>
          </w:p>
        </w:tc>
        <w:tc>
          <w:tcPr>
            <w:tcW w:w="1105" w:type="dxa"/>
            <w:vAlign w:val="center"/>
          </w:tcPr>
          <w:p w14:paraId="6EB31CD5" w14:textId="77777777" w:rsidR="00761B6C" w:rsidRPr="00236418" w:rsidRDefault="00761B6C" w:rsidP="00C92416">
            <w:pPr>
              <w:pStyle w:val="Tabletext"/>
              <w:spacing w:before="20" w:after="20"/>
              <w:jc w:val="right"/>
              <w:rPr>
                <w:lang w:eastAsia="zh-CN"/>
              </w:rPr>
            </w:pPr>
            <w:r>
              <w:rPr>
                <w:lang w:val="en-US" w:eastAsia="zh-CN"/>
              </w:rPr>
              <w:t>8 481</w:t>
            </w:r>
          </w:p>
        </w:tc>
        <w:tc>
          <w:tcPr>
            <w:tcW w:w="1106" w:type="dxa"/>
            <w:vAlign w:val="center"/>
          </w:tcPr>
          <w:p w14:paraId="68661794" w14:textId="77777777" w:rsidR="00761B6C" w:rsidRPr="00236418" w:rsidRDefault="00761B6C" w:rsidP="00C92416">
            <w:pPr>
              <w:pStyle w:val="Tabletext"/>
              <w:spacing w:before="20" w:after="20"/>
              <w:jc w:val="right"/>
              <w:rPr>
                <w:lang w:eastAsia="zh-CN"/>
              </w:rPr>
            </w:pPr>
            <w:r w:rsidRPr="00236418">
              <w:rPr>
                <w:lang w:eastAsia="zh-CN"/>
              </w:rPr>
              <w:t>6 471</w:t>
            </w:r>
          </w:p>
        </w:tc>
        <w:tc>
          <w:tcPr>
            <w:tcW w:w="1274" w:type="dxa"/>
            <w:vAlign w:val="center"/>
          </w:tcPr>
          <w:p w14:paraId="2FA380E1" w14:textId="77777777" w:rsidR="00761B6C" w:rsidRPr="00236418" w:rsidRDefault="00761B6C" w:rsidP="00C92416">
            <w:pPr>
              <w:pStyle w:val="Tabletext"/>
              <w:spacing w:before="20" w:after="20"/>
              <w:jc w:val="right"/>
              <w:rPr>
                <w:lang w:eastAsia="zh-CN"/>
              </w:rPr>
            </w:pPr>
            <w:r>
              <w:rPr>
                <w:lang w:val="en-US" w:eastAsia="zh-CN"/>
              </w:rPr>
              <w:t>8 481</w:t>
            </w:r>
          </w:p>
        </w:tc>
        <w:tc>
          <w:tcPr>
            <w:tcW w:w="1134" w:type="dxa"/>
            <w:vAlign w:val="center"/>
          </w:tcPr>
          <w:p w14:paraId="2E93F1BC" w14:textId="77777777" w:rsidR="00761B6C" w:rsidRPr="00236418" w:rsidRDefault="00761B6C" w:rsidP="00C92416">
            <w:pPr>
              <w:pStyle w:val="Tabletext"/>
              <w:spacing w:before="20" w:after="20"/>
              <w:jc w:val="right"/>
              <w:rPr>
                <w:lang w:eastAsia="zh-CN"/>
              </w:rPr>
            </w:pPr>
            <w:r w:rsidRPr="00236418">
              <w:rPr>
                <w:lang w:eastAsia="zh-CN"/>
              </w:rPr>
              <w:t>6 471</w:t>
            </w:r>
          </w:p>
        </w:tc>
      </w:tr>
      <w:tr w:rsidR="00761B6C" w:rsidRPr="00236418" w14:paraId="3E7C363A" w14:textId="77777777" w:rsidTr="00761B6C">
        <w:tc>
          <w:tcPr>
            <w:tcW w:w="5441" w:type="dxa"/>
          </w:tcPr>
          <w:p w14:paraId="2796D28C" w14:textId="3C701482" w:rsidR="00761B6C" w:rsidRPr="00236418" w:rsidRDefault="00761B6C" w:rsidP="00C92416">
            <w:pPr>
              <w:pStyle w:val="TableText0"/>
              <w:keepLines/>
              <w:spacing w:before="20" w:after="20"/>
              <w:rPr>
                <w:rFonts w:asciiTheme="minorHAnsi" w:hAnsiTheme="minorHAnsi" w:cstheme="minorHAnsi"/>
              </w:rPr>
            </w:pPr>
            <w:r w:rsidRPr="00236418">
              <w:rPr>
                <w:rFonts w:asciiTheme="minorHAnsi" w:hAnsiTheme="minorHAnsi" w:cstheme="minorHAnsi"/>
              </w:rPr>
              <w:t>Créances résultant d</w:t>
            </w:r>
            <w:r>
              <w:rPr>
                <w:rFonts w:asciiTheme="minorHAnsi" w:hAnsiTheme="minorHAnsi" w:cstheme="minorHAnsi"/>
              </w:rPr>
              <w:t>'</w:t>
            </w:r>
            <w:r w:rsidRPr="00236418">
              <w:rPr>
                <w:rFonts w:asciiTheme="minorHAnsi" w:hAnsiTheme="minorHAnsi" w:cstheme="minorHAnsi"/>
              </w:rPr>
              <w:t xml:space="preserve">opérations sans contrepartie </w:t>
            </w:r>
            <w:r w:rsidR="00C92416">
              <w:rPr>
                <w:rFonts w:asciiTheme="minorHAnsi" w:hAnsiTheme="minorHAnsi" w:cstheme="minorHAnsi"/>
              </w:rPr>
              <w:t>directe </w:t>
            </w:r>
            <w:r w:rsidRPr="00236418">
              <w:rPr>
                <w:rFonts w:asciiTheme="minorHAnsi" w:hAnsiTheme="minorHAnsi" w:cstheme="minorHAnsi"/>
              </w:rPr>
              <w:t>– courant</w:t>
            </w:r>
          </w:p>
        </w:tc>
        <w:tc>
          <w:tcPr>
            <w:tcW w:w="1105" w:type="dxa"/>
            <w:vAlign w:val="center"/>
          </w:tcPr>
          <w:p w14:paraId="60180D50" w14:textId="77777777" w:rsidR="00761B6C" w:rsidRPr="00236418" w:rsidRDefault="00761B6C" w:rsidP="00C92416">
            <w:pPr>
              <w:pStyle w:val="Tabletext"/>
              <w:spacing w:before="20" w:after="20"/>
              <w:jc w:val="right"/>
              <w:rPr>
                <w:lang w:eastAsia="zh-CN"/>
              </w:rPr>
            </w:pPr>
            <w:r w:rsidRPr="00CE08B8">
              <w:rPr>
                <w:lang w:val="en-US" w:eastAsia="zh-CN"/>
              </w:rPr>
              <w:t>8</w:t>
            </w:r>
            <w:r>
              <w:rPr>
                <w:lang w:val="en-US" w:eastAsia="zh-CN"/>
              </w:rPr>
              <w:t>9 306</w:t>
            </w:r>
          </w:p>
        </w:tc>
        <w:tc>
          <w:tcPr>
            <w:tcW w:w="1106" w:type="dxa"/>
            <w:vAlign w:val="center"/>
          </w:tcPr>
          <w:p w14:paraId="15C3A8B5" w14:textId="77777777" w:rsidR="00761B6C" w:rsidRPr="00236418" w:rsidRDefault="00761B6C" w:rsidP="00C92416">
            <w:pPr>
              <w:pStyle w:val="Tabletext"/>
              <w:spacing w:before="20" w:after="20"/>
              <w:jc w:val="right"/>
              <w:rPr>
                <w:lang w:eastAsia="zh-CN"/>
              </w:rPr>
            </w:pPr>
            <w:r w:rsidRPr="00236418">
              <w:rPr>
                <w:lang w:eastAsia="zh-CN"/>
              </w:rPr>
              <w:t>88 315</w:t>
            </w:r>
          </w:p>
        </w:tc>
        <w:tc>
          <w:tcPr>
            <w:tcW w:w="1274" w:type="dxa"/>
            <w:vAlign w:val="center"/>
          </w:tcPr>
          <w:p w14:paraId="0E2BD7C9" w14:textId="77777777" w:rsidR="00761B6C" w:rsidRPr="00236418" w:rsidRDefault="00761B6C" w:rsidP="00C92416">
            <w:pPr>
              <w:pStyle w:val="Tabletext"/>
              <w:spacing w:before="20" w:after="20"/>
              <w:jc w:val="right"/>
              <w:rPr>
                <w:lang w:eastAsia="zh-CN"/>
              </w:rPr>
            </w:pPr>
            <w:r w:rsidRPr="00CE08B8">
              <w:rPr>
                <w:lang w:val="en-US" w:eastAsia="zh-CN"/>
              </w:rPr>
              <w:t>8</w:t>
            </w:r>
            <w:r>
              <w:rPr>
                <w:lang w:val="en-US" w:eastAsia="zh-CN"/>
              </w:rPr>
              <w:t>9 306</w:t>
            </w:r>
          </w:p>
        </w:tc>
        <w:tc>
          <w:tcPr>
            <w:tcW w:w="1134" w:type="dxa"/>
            <w:vAlign w:val="center"/>
          </w:tcPr>
          <w:p w14:paraId="4301FE0E" w14:textId="77777777" w:rsidR="00761B6C" w:rsidRPr="00236418" w:rsidRDefault="00761B6C" w:rsidP="00C92416">
            <w:pPr>
              <w:pStyle w:val="Tabletext"/>
              <w:spacing w:before="20" w:after="20"/>
              <w:jc w:val="right"/>
              <w:rPr>
                <w:lang w:eastAsia="zh-CN"/>
              </w:rPr>
            </w:pPr>
            <w:r w:rsidRPr="00236418">
              <w:rPr>
                <w:lang w:eastAsia="zh-CN"/>
              </w:rPr>
              <w:t>88 315</w:t>
            </w:r>
          </w:p>
        </w:tc>
      </w:tr>
    </w:tbl>
    <w:p w14:paraId="3E39326D" w14:textId="77777777" w:rsidR="00761B6C" w:rsidRPr="00236418" w:rsidRDefault="00761B6C" w:rsidP="00761B6C"/>
    <w:tbl>
      <w:tblPr>
        <w:tblStyle w:val="TableGrid"/>
        <w:tblW w:w="10060" w:type="dxa"/>
        <w:tblLayout w:type="fixed"/>
        <w:tblLook w:val="04A0" w:firstRow="1" w:lastRow="0" w:firstColumn="1" w:lastColumn="0" w:noHBand="0" w:noVBand="1"/>
        <w:tblCaption w:val="E"/>
      </w:tblPr>
      <w:tblGrid>
        <w:gridCol w:w="5431"/>
        <w:gridCol w:w="1109"/>
        <w:gridCol w:w="1109"/>
        <w:gridCol w:w="1277"/>
        <w:gridCol w:w="1134"/>
      </w:tblGrid>
      <w:tr w:rsidR="00761B6C" w:rsidRPr="00236418" w14:paraId="1FDF4BC9" w14:textId="77777777" w:rsidTr="00761B6C">
        <w:tc>
          <w:tcPr>
            <w:tcW w:w="5431" w:type="dxa"/>
          </w:tcPr>
          <w:p w14:paraId="335053E5" w14:textId="77777777" w:rsidR="00761B6C" w:rsidRPr="00236418" w:rsidRDefault="00761B6C" w:rsidP="00C92416">
            <w:pPr>
              <w:pStyle w:val="Tablehead"/>
              <w:spacing w:before="60" w:after="60"/>
            </w:pPr>
            <w:r w:rsidRPr="00236418">
              <w:t>En milliers CHF</w:t>
            </w:r>
          </w:p>
        </w:tc>
        <w:tc>
          <w:tcPr>
            <w:tcW w:w="2218" w:type="dxa"/>
            <w:gridSpan w:val="2"/>
          </w:tcPr>
          <w:p w14:paraId="2BAF38EE" w14:textId="77777777" w:rsidR="00761B6C" w:rsidRPr="00236418" w:rsidRDefault="00761B6C" w:rsidP="00C92416">
            <w:pPr>
              <w:pStyle w:val="Tablehead"/>
              <w:spacing w:before="60" w:after="60"/>
            </w:pPr>
            <w:r w:rsidRPr="00236418">
              <w:t>Valeur comptable</w:t>
            </w:r>
          </w:p>
        </w:tc>
        <w:tc>
          <w:tcPr>
            <w:tcW w:w="2411" w:type="dxa"/>
            <w:gridSpan w:val="2"/>
          </w:tcPr>
          <w:p w14:paraId="7C27D9E6" w14:textId="77777777" w:rsidR="00761B6C" w:rsidRPr="00236418" w:rsidRDefault="00761B6C" w:rsidP="00C92416">
            <w:pPr>
              <w:pStyle w:val="Tablehead"/>
              <w:spacing w:before="60" w:after="60"/>
            </w:pPr>
            <w:r w:rsidRPr="00236418">
              <w:t>Juste valeur</w:t>
            </w:r>
          </w:p>
        </w:tc>
      </w:tr>
      <w:tr w:rsidR="00761B6C" w:rsidRPr="00236418" w14:paraId="0087EB00" w14:textId="77777777" w:rsidTr="00761B6C">
        <w:tc>
          <w:tcPr>
            <w:tcW w:w="5431" w:type="dxa"/>
          </w:tcPr>
          <w:p w14:paraId="546B21FB" w14:textId="77777777" w:rsidR="00761B6C" w:rsidRPr="00236418" w:rsidRDefault="00761B6C" w:rsidP="00C92416">
            <w:pPr>
              <w:pStyle w:val="Tabletext"/>
              <w:spacing w:before="20" w:after="20"/>
            </w:pPr>
            <w:r w:rsidRPr="00236418">
              <w:t xml:space="preserve">Passifs financiers </w:t>
            </w:r>
          </w:p>
        </w:tc>
        <w:tc>
          <w:tcPr>
            <w:tcW w:w="1109" w:type="dxa"/>
            <w:vAlign w:val="center"/>
          </w:tcPr>
          <w:p w14:paraId="2D036A5C" w14:textId="77777777" w:rsidR="00761B6C" w:rsidRPr="00236418" w:rsidRDefault="00761B6C" w:rsidP="00C92416">
            <w:pPr>
              <w:pStyle w:val="Tablehead"/>
              <w:keepNext/>
              <w:keepLines/>
              <w:spacing w:before="20" w:after="20"/>
            </w:pPr>
            <w:r>
              <w:t>2020</w:t>
            </w:r>
          </w:p>
        </w:tc>
        <w:tc>
          <w:tcPr>
            <w:tcW w:w="1109" w:type="dxa"/>
            <w:vAlign w:val="center"/>
          </w:tcPr>
          <w:p w14:paraId="77140C88" w14:textId="77777777" w:rsidR="00761B6C" w:rsidRPr="00236418" w:rsidRDefault="00761B6C" w:rsidP="00C92416">
            <w:pPr>
              <w:pStyle w:val="Tablehead"/>
              <w:keepNext/>
              <w:keepLines/>
              <w:spacing w:before="20" w:after="20"/>
            </w:pPr>
            <w:r w:rsidRPr="00236418">
              <w:t>2019</w:t>
            </w:r>
          </w:p>
        </w:tc>
        <w:tc>
          <w:tcPr>
            <w:tcW w:w="1277" w:type="dxa"/>
            <w:vAlign w:val="center"/>
          </w:tcPr>
          <w:p w14:paraId="5731B7B0" w14:textId="77777777" w:rsidR="00761B6C" w:rsidRPr="00236418" w:rsidRDefault="00761B6C" w:rsidP="00C92416">
            <w:pPr>
              <w:pStyle w:val="Tablehead"/>
              <w:keepNext/>
              <w:keepLines/>
              <w:spacing w:before="20" w:after="20"/>
            </w:pPr>
            <w:r>
              <w:t>2020</w:t>
            </w:r>
          </w:p>
        </w:tc>
        <w:tc>
          <w:tcPr>
            <w:tcW w:w="1134" w:type="dxa"/>
            <w:vAlign w:val="center"/>
          </w:tcPr>
          <w:p w14:paraId="2960C590" w14:textId="77777777" w:rsidR="00761B6C" w:rsidRPr="00236418" w:rsidRDefault="00761B6C" w:rsidP="00C92416">
            <w:pPr>
              <w:pStyle w:val="Tablehead"/>
              <w:keepNext/>
              <w:keepLines/>
              <w:spacing w:before="20" w:after="20"/>
            </w:pPr>
            <w:r w:rsidRPr="00236418">
              <w:t>2019</w:t>
            </w:r>
          </w:p>
        </w:tc>
      </w:tr>
      <w:tr w:rsidR="00761B6C" w:rsidRPr="00236418" w14:paraId="02C7F8CF" w14:textId="77777777" w:rsidTr="00761B6C">
        <w:tc>
          <w:tcPr>
            <w:tcW w:w="5431" w:type="dxa"/>
          </w:tcPr>
          <w:p w14:paraId="794F0FA0" w14:textId="77777777" w:rsidR="00761B6C" w:rsidRPr="00236418" w:rsidRDefault="00761B6C" w:rsidP="00C92416">
            <w:pPr>
              <w:pStyle w:val="Tabletext"/>
              <w:spacing w:before="20" w:after="20"/>
            </w:pPr>
            <w:r w:rsidRPr="00236418">
              <w:t>Emprunts</w:t>
            </w:r>
          </w:p>
        </w:tc>
        <w:tc>
          <w:tcPr>
            <w:tcW w:w="1109" w:type="dxa"/>
            <w:vAlign w:val="center"/>
          </w:tcPr>
          <w:p w14:paraId="691768E8" w14:textId="77777777" w:rsidR="00761B6C" w:rsidRPr="00236418" w:rsidRDefault="00761B6C" w:rsidP="00C92416">
            <w:pPr>
              <w:pStyle w:val="Tabletext"/>
              <w:spacing w:before="20" w:after="20"/>
              <w:jc w:val="right"/>
              <w:rPr>
                <w:lang w:eastAsia="zh-CN"/>
              </w:rPr>
            </w:pPr>
            <w:r>
              <w:rPr>
                <w:lang w:val="en-US" w:eastAsia="zh-CN"/>
              </w:rPr>
              <w:t>47 110</w:t>
            </w:r>
          </w:p>
        </w:tc>
        <w:tc>
          <w:tcPr>
            <w:tcW w:w="1109" w:type="dxa"/>
            <w:vAlign w:val="center"/>
          </w:tcPr>
          <w:p w14:paraId="4220745B" w14:textId="77777777" w:rsidR="00761B6C" w:rsidRPr="00236418" w:rsidRDefault="00761B6C" w:rsidP="00C92416">
            <w:pPr>
              <w:pStyle w:val="Tabletext"/>
              <w:spacing w:before="20" w:after="20"/>
              <w:jc w:val="right"/>
              <w:rPr>
                <w:lang w:eastAsia="zh-CN"/>
              </w:rPr>
            </w:pPr>
            <w:r w:rsidRPr="00236418">
              <w:rPr>
                <w:lang w:eastAsia="zh-CN"/>
              </w:rPr>
              <w:t>44 949</w:t>
            </w:r>
          </w:p>
        </w:tc>
        <w:tc>
          <w:tcPr>
            <w:tcW w:w="1277" w:type="dxa"/>
            <w:vAlign w:val="center"/>
          </w:tcPr>
          <w:p w14:paraId="721CAC5C" w14:textId="77777777" w:rsidR="00761B6C" w:rsidRPr="00236418" w:rsidRDefault="00761B6C" w:rsidP="00C92416">
            <w:pPr>
              <w:pStyle w:val="Tabletext"/>
              <w:spacing w:before="20" w:after="20"/>
              <w:jc w:val="right"/>
              <w:rPr>
                <w:lang w:eastAsia="zh-CN"/>
              </w:rPr>
            </w:pPr>
            <w:r w:rsidRPr="00CE08B8">
              <w:rPr>
                <w:lang w:val="en-US" w:eastAsia="zh-CN"/>
              </w:rPr>
              <w:t>4</w:t>
            </w:r>
            <w:r>
              <w:rPr>
                <w:lang w:val="en-US" w:eastAsia="zh-CN"/>
              </w:rPr>
              <w:t>7 110</w:t>
            </w:r>
          </w:p>
        </w:tc>
        <w:tc>
          <w:tcPr>
            <w:tcW w:w="1134" w:type="dxa"/>
            <w:vAlign w:val="center"/>
          </w:tcPr>
          <w:p w14:paraId="510D3570" w14:textId="77777777" w:rsidR="00761B6C" w:rsidRPr="00236418" w:rsidRDefault="00761B6C" w:rsidP="00C92416">
            <w:pPr>
              <w:pStyle w:val="Tabletext"/>
              <w:spacing w:before="20" w:after="20"/>
              <w:jc w:val="right"/>
              <w:rPr>
                <w:lang w:eastAsia="zh-CN"/>
              </w:rPr>
            </w:pPr>
            <w:r w:rsidRPr="00236418">
              <w:rPr>
                <w:lang w:eastAsia="zh-CN"/>
              </w:rPr>
              <w:t>44 949</w:t>
            </w:r>
          </w:p>
        </w:tc>
      </w:tr>
      <w:tr w:rsidR="00761B6C" w:rsidRPr="00236418" w14:paraId="22E24A8C" w14:textId="77777777" w:rsidTr="00761B6C">
        <w:tc>
          <w:tcPr>
            <w:tcW w:w="5431" w:type="dxa"/>
          </w:tcPr>
          <w:p w14:paraId="4CA0DEFC" w14:textId="77777777" w:rsidR="00761B6C" w:rsidRPr="00236418" w:rsidRDefault="00761B6C" w:rsidP="00C92416">
            <w:pPr>
              <w:pStyle w:val="Tabletext"/>
              <w:spacing w:before="20" w:after="20"/>
            </w:pPr>
            <w:r w:rsidRPr="00236418">
              <w:t>Dettes provenant d</w:t>
            </w:r>
            <w:r>
              <w:t>'</w:t>
            </w:r>
            <w:r w:rsidRPr="00236418">
              <w:t>opérations avec contrepartie directe</w:t>
            </w:r>
          </w:p>
        </w:tc>
        <w:tc>
          <w:tcPr>
            <w:tcW w:w="1109" w:type="dxa"/>
            <w:vAlign w:val="center"/>
          </w:tcPr>
          <w:p w14:paraId="529755D2" w14:textId="77777777" w:rsidR="00761B6C" w:rsidRPr="00236418" w:rsidRDefault="00761B6C" w:rsidP="00C92416">
            <w:pPr>
              <w:pStyle w:val="Tabletext"/>
              <w:spacing w:before="20" w:after="20"/>
              <w:jc w:val="right"/>
              <w:rPr>
                <w:lang w:eastAsia="zh-CN"/>
              </w:rPr>
            </w:pPr>
            <w:r>
              <w:rPr>
                <w:lang w:val="en-US" w:eastAsia="zh-CN"/>
              </w:rPr>
              <w:t>2 768</w:t>
            </w:r>
          </w:p>
        </w:tc>
        <w:tc>
          <w:tcPr>
            <w:tcW w:w="1109" w:type="dxa"/>
            <w:vAlign w:val="center"/>
          </w:tcPr>
          <w:p w14:paraId="12C435D4" w14:textId="77777777" w:rsidR="00761B6C" w:rsidRPr="00236418" w:rsidRDefault="00761B6C" w:rsidP="00C92416">
            <w:pPr>
              <w:pStyle w:val="Tabletext"/>
              <w:spacing w:before="20" w:after="20"/>
              <w:jc w:val="right"/>
              <w:rPr>
                <w:lang w:eastAsia="zh-CN"/>
              </w:rPr>
            </w:pPr>
            <w:r w:rsidRPr="00236418">
              <w:rPr>
                <w:lang w:eastAsia="zh-CN"/>
              </w:rPr>
              <w:t>4 772</w:t>
            </w:r>
          </w:p>
        </w:tc>
        <w:tc>
          <w:tcPr>
            <w:tcW w:w="1277" w:type="dxa"/>
            <w:vAlign w:val="center"/>
          </w:tcPr>
          <w:p w14:paraId="0C51C602" w14:textId="77777777" w:rsidR="00761B6C" w:rsidRPr="00236418" w:rsidRDefault="00761B6C" w:rsidP="00C92416">
            <w:pPr>
              <w:pStyle w:val="Tabletext"/>
              <w:spacing w:before="20" w:after="20"/>
              <w:jc w:val="right"/>
              <w:rPr>
                <w:lang w:eastAsia="zh-CN"/>
              </w:rPr>
            </w:pPr>
            <w:r>
              <w:rPr>
                <w:lang w:val="en-US" w:eastAsia="zh-CN"/>
              </w:rPr>
              <w:t>2 768</w:t>
            </w:r>
          </w:p>
        </w:tc>
        <w:tc>
          <w:tcPr>
            <w:tcW w:w="1134" w:type="dxa"/>
            <w:vAlign w:val="center"/>
          </w:tcPr>
          <w:p w14:paraId="3825F2D9" w14:textId="77777777" w:rsidR="00761B6C" w:rsidRPr="00236418" w:rsidRDefault="00761B6C" w:rsidP="00C92416">
            <w:pPr>
              <w:pStyle w:val="Tabletext"/>
              <w:spacing w:before="20" w:after="20"/>
              <w:jc w:val="right"/>
              <w:rPr>
                <w:lang w:eastAsia="zh-CN"/>
              </w:rPr>
            </w:pPr>
            <w:r w:rsidRPr="00236418">
              <w:rPr>
                <w:lang w:eastAsia="zh-CN"/>
              </w:rPr>
              <w:t>4 772</w:t>
            </w:r>
          </w:p>
        </w:tc>
      </w:tr>
    </w:tbl>
    <w:p w14:paraId="5E529CEC" w14:textId="77777777" w:rsidR="00761B6C" w:rsidRPr="00236418" w:rsidRDefault="00761B6C" w:rsidP="00761B6C">
      <w:pPr>
        <w:spacing w:before="240"/>
      </w:pPr>
      <w:r w:rsidRPr="00236418">
        <w:t>La juste valeur des actifs et des passifs financiers correspond à la valeur à laquelle ces instruments pourraient s</w:t>
      </w:r>
      <w:r>
        <w:t>'</w:t>
      </w:r>
      <w:r w:rsidRPr="00236418">
        <w:t>échanger dans le cadre d</w:t>
      </w:r>
      <w:r>
        <w:t>'</w:t>
      </w:r>
      <w:r w:rsidRPr="00236418">
        <w:t>une transaction courante entre des parties consentantes, autre qu</w:t>
      </w:r>
      <w:r>
        <w:t>'</w:t>
      </w:r>
      <w:r w:rsidRPr="00236418">
        <w:t>une vente forcée ou une liquidation.</w:t>
      </w:r>
    </w:p>
    <w:p w14:paraId="225AEF30" w14:textId="77777777" w:rsidR="00761B6C" w:rsidRPr="00236418" w:rsidRDefault="00761B6C" w:rsidP="00761B6C">
      <w:r w:rsidRPr="00236418">
        <w:t>Les méthodes et hypothèses suivantes ont été utilisées pour évaluer la juste valeur:</w:t>
      </w:r>
    </w:p>
    <w:p w14:paraId="1596DC08" w14:textId="77777777" w:rsidR="00761B6C" w:rsidRPr="00236418" w:rsidRDefault="00761B6C" w:rsidP="00761B6C">
      <w:pPr>
        <w:pStyle w:val="enumlev1"/>
      </w:pPr>
      <w:r w:rsidRPr="00236418">
        <w:t>–</w:t>
      </w:r>
      <w:r w:rsidRPr="00236418">
        <w:tab/>
        <w:t>La trésorerie et les équivalents de trésorerie, les dépôts à court terme, les créances provenant d</w:t>
      </w:r>
      <w:r>
        <w:t>'</w:t>
      </w:r>
      <w:r w:rsidRPr="00236418">
        <w:t>opérations avec contrepartie directe, les autres créances, les dettes provenant d</w:t>
      </w:r>
      <w:r>
        <w:t>'</w:t>
      </w:r>
      <w:r w:rsidRPr="00236418">
        <w:t>opérations avec contrepartie directe et les autres dettes, sont approximativement équivalents à leur valeur comptable, essentiellement en raison de leur échéance à court terme.</w:t>
      </w:r>
    </w:p>
    <w:p w14:paraId="5783DF58" w14:textId="77777777" w:rsidR="00761B6C" w:rsidRPr="00236418" w:rsidRDefault="00761B6C" w:rsidP="00761B6C">
      <w:pPr>
        <w:pStyle w:val="enumlev1"/>
      </w:pPr>
      <w:r w:rsidRPr="00236418">
        <w:t>–</w:t>
      </w:r>
      <w:r w:rsidRPr="00236418">
        <w:tab/>
        <w:t>Les créances à court terme et à long terme sont évaluées comme indiqué dans la Note 2.</w:t>
      </w:r>
    </w:p>
    <w:p w14:paraId="791C14E6" w14:textId="77777777" w:rsidR="00761B6C" w:rsidRPr="00236418" w:rsidRDefault="00761B6C" w:rsidP="00761B6C">
      <w:pPr>
        <w:pStyle w:val="enumlev1"/>
      </w:pPr>
      <w:r w:rsidRPr="00236418">
        <w:t>–</w:t>
      </w:r>
      <w:r w:rsidRPr="00236418">
        <w:tab/>
        <w:t>Les emprunts sont évalués comme indiqué dans la Note 2.</w:t>
      </w:r>
    </w:p>
    <w:p w14:paraId="455AA4E7" w14:textId="77777777" w:rsidR="00761B6C" w:rsidRDefault="00761B6C" w:rsidP="00761B6C">
      <w:bookmarkStart w:id="1432" w:name="_Toc387167465"/>
      <w:bookmarkStart w:id="1433" w:name="_Toc482888033"/>
      <w:bookmarkStart w:id="1434" w:name="_Toc482888067"/>
      <w:bookmarkStart w:id="1435" w:name="_Toc482888376"/>
      <w:bookmarkStart w:id="1436" w:name="_Toc482888755"/>
      <w:bookmarkStart w:id="1437" w:name="_Toc511649470"/>
      <w:bookmarkStart w:id="1438" w:name="_Toc511649956"/>
      <w:bookmarkStart w:id="1439" w:name="_Toc511650074"/>
      <w:bookmarkStart w:id="1440" w:name="_Toc511650568"/>
      <w:bookmarkStart w:id="1441" w:name="_Toc511651213"/>
      <w:bookmarkStart w:id="1442" w:name="_Toc511724078"/>
      <w:bookmarkStart w:id="1443" w:name="_Toc511739067"/>
      <w:bookmarkStart w:id="1444" w:name="_Toc511740819"/>
      <w:bookmarkStart w:id="1445" w:name="_Toc511741236"/>
      <w:bookmarkStart w:id="1446" w:name="_Toc10450742"/>
      <w:bookmarkStart w:id="1447" w:name="_Toc41567350"/>
      <w:r>
        <w:br w:type="page"/>
      </w:r>
    </w:p>
    <w:p w14:paraId="41751ABE" w14:textId="77777777" w:rsidR="00761B6C" w:rsidRPr="00236418" w:rsidRDefault="00761B6C" w:rsidP="00761B6C">
      <w:pPr>
        <w:pStyle w:val="headingb0"/>
      </w:pPr>
      <w:bookmarkStart w:id="1448" w:name="_Toc73356413"/>
      <w:r w:rsidRPr="00236418">
        <w:lastRenderedPageBreak/>
        <w:t>Hiérarchie de juste valeur</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14:paraId="448FC949" w14:textId="77777777" w:rsidR="00761B6C" w:rsidRPr="00236418" w:rsidRDefault="00761B6C" w:rsidP="00761B6C">
      <w:r w:rsidRPr="00236418">
        <w:t>L</w:t>
      </w:r>
      <w:r>
        <w:t>'</w:t>
      </w:r>
      <w:r w:rsidRPr="00236418">
        <w:t>UIT utilise la hiérarchie suivante pour déterminer et faire connaître la juste valeur des instruments financiers à l</w:t>
      </w:r>
      <w:r>
        <w:t>'</w:t>
      </w:r>
      <w:r w:rsidRPr="00236418">
        <w:t>aide de techniques d</w:t>
      </w:r>
      <w:r>
        <w:t>'</w:t>
      </w:r>
      <w:r w:rsidRPr="00236418">
        <w:t>évaluation.</w:t>
      </w:r>
    </w:p>
    <w:p w14:paraId="5B29BC53" w14:textId="77777777" w:rsidR="00761B6C" w:rsidRPr="00236418" w:rsidRDefault="00761B6C" w:rsidP="00761B6C">
      <w:pPr>
        <w:spacing w:before="100"/>
      </w:pPr>
      <w:r w:rsidRPr="00236418">
        <w:t>Niveau 1: Prix cotés sur les marchés actifs pour des actifs ou des passifs identiques.</w:t>
      </w:r>
    </w:p>
    <w:p w14:paraId="6B2AAEF1" w14:textId="77777777" w:rsidR="00761B6C" w:rsidRPr="00236418" w:rsidRDefault="00761B6C" w:rsidP="00761B6C">
      <w:pPr>
        <w:spacing w:before="100"/>
      </w:pPr>
      <w:r w:rsidRPr="00236418">
        <w:t>Niveau 2: Données d</w:t>
      </w:r>
      <w:r>
        <w:t>'</w:t>
      </w:r>
      <w:r w:rsidRPr="00236418">
        <w:t>entrée autres que les prix cotés inclus dans les données d</w:t>
      </w:r>
      <w:r>
        <w:t>'</w:t>
      </w:r>
      <w:r w:rsidRPr="00236418">
        <w:t>entrée de niveau 1, qui sont observables pour l</w:t>
      </w:r>
      <w:r>
        <w:t>'</w:t>
      </w:r>
      <w:r w:rsidRPr="00236418">
        <w:t>actif ou le passif, soit directement, soit indirectement.</w:t>
      </w:r>
    </w:p>
    <w:p w14:paraId="5F8637E1" w14:textId="77777777" w:rsidR="00761B6C" w:rsidRPr="00236418" w:rsidRDefault="00761B6C" w:rsidP="00761B6C">
      <w:pPr>
        <w:spacing w:before="100"/>
      </w:pPr>
      <w:r w:rsidRPr="00236418">
        <w:t>Niveau 3: Techniques qui utilisent des données d</w:t>
      </w:r>
      <w:r>
        <w:t>'</w:t>
      </w:r>
      <w:r w:rsidRPr="00236418">
        <w:t>entrées ayant une incidence importante sur la juste valeur comptabilisée, mais qui ne sont pas fondées sur des données de marché observables.</w:t>
      </w:r>
    </w:p>
    <w:p w14:paraId="3B1A94F8" w14:textId="77777777" w:rsidR="00761B6C" w:rsidRPr="00236418" w:rsidRDefault="00761B6C" w:rsidP="00761B6C">
      <w:r w:rsidRPr="00236418">
        <w:t>Au 31 décembre 20</w:t>
      </w:r>
      <w:r>
        <w:t>20</w:t>
      </w:r>
      <w:r w:rsidRPr="00236418">
        <w:t>, tous les placements sont des dépôts bancaires ou des investissements bancaires à court terme, et sont comptabilisés à leur juste valeur dans l</w:t>
      </w:r>
      <w:r>
        <w:t>'</w:t>
      </w:r>
      <w:r w:rsidRPr="00236418">
        <w:t>état de la situation financière.</w:t>
      </w:r>
    </w:p>
    <w:p w14:paraId="05D1CCF5" w14:textId="77777777" w:rsidR="00761B6C" w:rsidRPr="00236418" w:rsidRDefault="00761B6C" w:rsidP="00761B6C">
      <w:pPr>
        <w:pStyle w:val="enumlev1"/>
      </w:pPr>
      <w:r w:rsidRPr="00236418">
        <w:t>a)</w:t>
      </w:r>
      <w:r w:rsidRPr="00236418">
        <w:tab/>
        <w:t>Risque de crédit</w:t>
      </w:r>
    </w:p>
    <w:p w14:paraId="5CB084D4" w14:textId="77777777" w:rsidR="00761B6C" w:rsidRPr="00236418" w:rsidRDefault="00761B6C" w:rsidP="0019278D">
      <w:pPr>
        <w:pStyle w:val="enumlev1"/>
        <w:spacing w:before="120" w:after="120"/>
      </w:pPr>
      <w:r w:rsidRPr="00236418">
        <w:tab/>
        <w:t>Le risque de crédit est le risque de perte financière encouru par l</w:t>
      </w:r>
      <w:r>
        <w:t>'</w:t>
      </w:r>
      <w:r w:rsidRPr="00236418">
        <w:t>UIT dans le cas où des clients ou des contreparties à des instruments financiers ne remplissent pas leurs obligations contractuelles. Ce risque provient principalement des investissements, des créances, et de la trésorerie et des équivalents de trésorerie. La valeur comptable des actifs financiers représente l</w:t>
      </w:r>
      <w:r>
        <w:t>'</w:t>
      </w:r>
      <w:r w:rsidRPr="00236418">
        <w:t>exposition maximale au risque de crédit. Au 31 décembre, la situation en ce qui concerne l</w:t>
      </w:r>
      <w:r>
        <w:t>'</w:t>
      </w:r>
      <w:r w:rsidRPr="00236418">
        <w:t>exposition maximale au risque de crédit était la suivante:</w:t>
      </w:r>
    </w:p>
    <w:tbl>
      <w:tblPr>
        <w:tblStyle w:val="TableGrid"/>
        <w:tblW w:w="0" w:type="auto"/>
        <w:tblInd w:w="567" w:type="dxa"/>
        <w:tblLook w:val="04A0" w:firstRow="1" w:lastRow="0" w:firstColumn="1" w:lastColumn="0" w:noHBand="0" w:noVBand="1"/>
        <w:tblCaption w:val="E"/>
      </w:tblPr>
      <w:tblGrid>
        <w:gridCol w:w="4569"/>
        <w:gridCol w:w="2196"/>
        <w:gridCol w:w="2297"/>
      </w:tblGrid>
      <w:tr w:rsidR="00761B6C" w:rsidRPr="0019278D" w14:paraId="559DF3DE" w14:textId="77777777" w:rsidTr="00761B6C">
        <w:tc>
          <w:tcPr>
            <w:tcW w:w="4569" w:type="dxa"/>
          </w:tcPr>
          <w:p w14:paraId="7AE4B133" w14:textId="77777777" w:rsidR="00761B6C" w:rsidRPr="0019278D" w:rsidRDefault="00761B6C" w:rsidP="00761B6C">
            <w:pPr>
              <w:pStyle w:val="Tablehead"/>
              <w:keepNext/>
              <w:rPr>
                <w:sz w:val="20"/>
                <w:szCs w:val="20"/>
              </w:rPr>
            </w:pPr>
            <w:r w:rsidRPr="0019278D">
              <w:rPr>
                <w:sz w:val="20"/>
                <w:szCs w:val="20"/>
              </w:rPr>
              <w:t>En milliers CHF</w:t>
            </w:r>
          </w:p>
        </w:tc>
        <w:tc>
          <w:tcPr>
            <w:tcW w:w="2196" w:type="dxa"/>
            <w:vAlign w:val="center"/>
          </w:tcPr>
          <w:p w14:paraId="326ED8DB" w14:textId="77777777" w:rsidR="00761B6C" w:rsidRPr="0019278D" w:rsidRDefault="00761B6C" w:rsidP="00761B6C">
            <w:pPr>
              <w:pStyle w:val="Tablehead"/>
              <w:rPr>
                <w:rFonts w:cs="Calibri"/>
                <w:color w:val="000000"/>
                <w:sz w:val="20"/>
                <w:szCs w:val="20"/>
                <w:lang w:eastAsia="zh-CN"/>
              </w:rPr>
            </w:pPr>
            <w:r w:rsidRPr="0019278D">
              <w:rPr>
                <w:rFonts w:cs="Calibri"/>
                <w:color w:val="000000"/>
                <w:sz w:val="20"/>
                <w:szCs w:val="20"/>
                <w:lang w:eastAsia="zh-CN"/>
              </w:rPr>
              <w:t>31.12.2020</w:t>
            </w:r>
          </w:p>
        </w:tc>
        <w:tc>
          <w:tcPr>
            <w:tcW w:w="2297" w:type="dxa"/>
            <w:vAlign w:val="center"/>
          </w:tcPr>
          <w:p w14:paraId="61820F9D" w14:textId="77777777" w:rsidR="00761B6C" w:rsidRPr="0019278D" w:rsidRDefault="00761B6C" w:rsidP="00761B6C">
            <w:pPr>
              <w:pStyle w:val="Tablehead"/>
              <w:rPr>
                <w:rFonts w:cs="Calibri"/>
                <w:color w:val="000000"/>
                <w:sz w:val="20"/>
                <w:szCs w:val="20"/>
                <w:lang w:eastAsia="zh-CN"/>
              </w:rPr>
            </w:pPr>
            <w:r w:rsidRPr="0019278D">
              <w:rPr>
                <w:rFonts w:cs="Calibri"/>
                <w:color w:val="000000"/>
                <w:sz w:val="20"/>
                <w:szCs w:val="20"/>
                <w:lang w:eastAsia="zh-CN"/>
              </w:rPr>
              <w:t>31.12.2019</w:t>
            </w:r>
          </w:p>
        </w:tc>
      </w:tr>
      <w:tr w:rsidR="00761B6C" w:rsidRPr="0019278D" w14:paraId="00B4A337" w14:textId="77777777" w:rsidTr="00761B6C">
        <w:tc>
          <w:tcPr>
            <w:tcW w:w="4569" w:type="dxa"/>
          </w:tcPr>
          <w:p w14:paraId="27A172D4" w14:textId="77777777" w:rsidR="00761B6C" w:rsidRPr="0019278D" w:rsidRDefault="00761B6C" w:rsidP="00761B6C">
            <w:pPr>
              <w:pStyle w:val="Tabletext"/>
              <w:rPr>
                <w:sz w:val="20"/>
                <w:szCs w:val="20"/>
              </w:rPr>
            </w:pPr>
            <w:r w:rsidRPr="0019278D">
              <w:rPr>
                <w:sz w:val="20"/>
                <w:szCs w:val="20"/>
              </w:rPr>
              <w:t>Investissements</w:t>
            </w:r>
          </w:p>
        </w:tc>
        <w:tc>
          <w:tcPr>
            <w:tcW w:w="2196" w:type="dxa"/>
          </w:tcPr>
          <w:p w14:paraId="77BEE70F" w14:textId="77777777" w:rsidR="00761B6C" w:rsidRPr="0019278D" w:rsidRDefault="00761B6C" w:rsidP="00761B6C">
            <w:pPr>
              <w:pStyle w:val="Tabletext"/>
              <w:jc w:val="right"/>
              <w:rPr>
                <w:sz w:val="20"/>
                <w:szCs w:val="20"/>
              </w:rPr>
            </w:pPr>
            <w:r w:rsidRPr="0019278D">
              <w:rPr>
                <w:sz w:val="20"/>
                <w:szCs w:val="20"/>
                <w:lang w:val="en-US"/>
              </w:rPr>
              <w:t>95 516</w:t>
            </w:r>
          </w:p>
        </w:tc>
        <w:tc>
          <w:tcPr>
            <w:tcW w:w="2297" w:type="dxa"/>
          </w:tcPr>
          <w:p w14:paraId="71B3258E" w14:textId="77777777" w:rsidR="00761B6C" w:rsidRPr="0019278D" w:rsidRDefault="00761B6C" w:rsidP="00761B6C">
            <w:pPr>
              <w:pStyle w:val="Tabletext"/>
              <w:jc w:val="right"/>
              <w:rPr>
                <w:sz w:val="20"/>
                <w:szCs w:val="20"/>
              </w:rPr>
            </w:pPr>
            <w:r w:rsidRPr="0019278D">
              <w:rPr>
                <w:sz w:val="20"/>
                <w:szCs w:val="20"/>
              </w:rPr>
              <w:t>33 329</w:t>
            </w:r>
          </w:p>
        </w:tc>
      </w:tr>
      <w:tr w:rsidR="00761B6C" w:rsidRPr="0019278D" w14:paraId="688BB3B1" w14:textId="77777777" w:rsidTr="00761B6C">
        <w:tc>
          <w:tcPr>
            <w:tcW w:w="4569" w:type="dxa"/>
          </w:tcPr>
          <w:p w14:paraId="2CE61460" w14:textId="77777777" w:rsidR="00761B6C" w:rsidRPr="0019278D" w:rsidRDefault="00761B6C" w:rsidP="00761B6C">
            <w:pPr>
              <w:pStyle w:val="Tabletext"/>
              <w:rPr>
                <w:sz w:val="20"/>
                <w:szCs w:val="20"/>
              </w:rPr>
            </w:pPr>
            <w:r w:rsidRPr="0019278D">
              <w:rPr>
                <w:sz w:val="20"/>
                <w:szCs w:val="20"/>
              </w:rPr>
              <w:t>Créances</w:t>
            </w:r>
          </w:p>
        </w:tc>
        <w:tc>
          <w:tcPr>
            <w:tcW w:w="2196" w:type="dxa"/>
          </w:tcPr>
          <w:p w14:paraId="11A884D7" w14:textId="77777777" w:rsidR="00761B6C" w:rsidRPr="0019278D" w:rsidRDefault="00761B6C" w:rsidP="00761B6C">
            <w:pPr>
              <w:pStyle w:val="Tabletext"/>
              <w:jc w:val="right"/>
              <w:rPr>
                <w:sz w:val="20"/>
                <w:szCs w:val="20"/>
              </w:rPr>
            </w:pPr>
            <w:r w:rsidRPr="0019278D">
              <w:rPr>
                <w:sz w:val="20"/>
                <w:szCs w:val="20"/>
                <w:lang w:val="en-US"/>
              </w:rPr>
              <w:t>107 226</w:t>
            </w:r>
          </w:p>
        </w:tc>
        <w:tc>
          <w:tcPr>
            <w:tcW w:w="2297" w:type="dxa"/>
          </w:tcPr>
          <w:p w14:paraId="08FCE28B" w14:textId="77777777" w:rsidR="00761B6C" w:rsidRPr="0019278D" w:rsidRDefault="00761B6C" w:rsidP="00761B6C">
            <w:pPr>
              <w:pStyle w:val="Tabletext"/>
              <w:jc w:val="right"/>
              <w:rPr>
                <w:sz w:val="20"/>
                <w:szCs w:val="20"/>
              </w:rPr>
            </w:pPr>
            <w:r w:rsidRPr="0019278D">
              <w:rPr>
                <w:sz w:val="20"/>
                <w:szCs w:val="20"/>
              </w:rPr>
              <w:t>103 000</w:t>
            </w:r>
          </w:p>
        </w:tc>
      </w:tr>
      <w:tr w:rsidR="00761B6C" w:rsidRPr="0019278D" w14:paraId="12D8E5B3" w14:textId="77777777" w:rsidTr="00761B6C">
        <w:tc>
          <w:tcPr>
            <w:tcW w:w="4569" w:type="dxa"/>
          </w:tcPr>
          <w:p w14:paraId="5279708B" w14:textId="77777777" w:rsidR="00761B6C" w:rsidRPr="0019278D" w:rsidRDefault="00761B6C" w:rsidP="00761B6C">
            <w:pPr>
              <w:pStyle w:val="Tabletext"/>
              <w:rPr>
                <w:sz w:val="20"/>
                <w:szCs w:val="20"/>
              </w:rPr>
            </w:pPr>
            <w:r w:rsidRPr="0019278D">
              <w:rPr>
                <w:sz w:val="20"/>
                <w:szCs w:val="20"/>
              </w:rPr>
              <w:t>Trésorerie et équivalents de trésorerie</w:t>
            </w:r>
          </w:p>
        </w:tc>
        <w:tc>
          <w:tcPr>
            <w:tcW w:w="2196" w:type="dxa"/>
          </w:tcPr>
          <w:p w14:paraId="17DF618F" w14:textId="77777777" w:rsidR="00761B6C" w:rsidRPr="0019278D" w:rsidRDefault="00761B6C" w:rsidP="00761B6C">
            <w:pPr>
              <w:pStyle w:val="Tabletext"/>
              <w:jc w:val="right"/>
              <w:rPr>
                <w:sz w:val="20"/>
                <w:szCs w:val="20"/>
              </w:rPr>
            </w:pPr>
            <w:r w:rsidRPr="0019278D">
              <w:rPr>
                <w:sz w:val="20"/>
                <w:szCs w:val="20"/>
                <w:lang w:val="en-US"/>
              </w:rPr>
              <w:t>99 406</w:t>
            </w:r>
          </w:p>
        </w:tc>
        <w:tc>
          <w:tcPr>
            <w:tcW w:w="2297" w:type="dxa"/>
          </w:tcPr>
          <w:p w14:paraId="6FAE755A" w14:textId="77777777" w:rsidR="00761B6C" w:rsidRPr="0019278D" w:rsidRDefault="00761B6C" w:rsidP="00761B6C">
            <w:pPr>
              <w:pStyle w:val="Tabletext"/>
              <w:jc w:val="right"/>
              <w:rPr>
                <w:sz w:val="20"/>
                <w:szCs w:val="20"/>
              </w:rPr>
            </w:pPr>
            <w:r w:rsidRPr="0019278D">
              <w:rPr>
                <w:sz w:val="20"/>
                <w:szCs w:val="20"/>
              </w:rPr>
              <w:t>178 852</w:t>
            </w:r>
          </w:p>
        </w:tc>
      </w:tr>
      <w:tr w:rsidR="00761B6C" w:rsidRPr="0019278D" w14:paraId="34736549" w14:textId="77777777" w:rsidTr="00761B6C">
        <w:tc>
          <w:tcPr>
            <w:tcW w:w="4569" w:type="dxa"/>
          </w:tcPr>
          <w:p w14:paraId="25F0BC00" w14:textId="77777777" w:rsidR="00761B6C" w:rsidRPr="0019278D" w:rsidRDefault="00761B6C" w:rsidP="00761B6C">
            <w:pPr>
              <w:pStyle w:val="Tabletext"/>
              <w:rPr>
                <w:sz w:val="20"/>
                <w:szCs w:val="20"/>
              </w:rPr>
            </w:pPr>
            <w:r w:rsidRPr="0019278D">
              <w:rPr>
                <w:sz w:val="20"/>
                <w:szCs w:val="20"/>
              </w:rPr>
              <w:t>Exposition maximale au risque de crédit</w:t>
            </w:r>
          </w:p>
        </w:tc>
        <w:tc>
          <w:tcPr>
            <w:tcW w:w="2196" w:type="dxa"/>
          </w:tcPr>
          <w:p w14:paraId="1F6919C7" w14:textId="77777777" w:rsidR="00761B6C" w:rsidRPr="0019278D" w:rsidRDefault="00761B6C" w:rsidP="00761B6C">
            <w:pPr>
              <w:pStyle w:val="Tabletext"/>
              <w:jc w:val="right"/>
              <w:rPr>
                <w:sz w:val="20"/>
                <w:szCs w:val="20"/>
              </w:rPr>
            </w:pPr>
            <w:r w:rsidRPr="0019278D">
              <w:rPr>
                <w:sz w:val="20"/>
                <w:szCs w:val="20"/>
                <w:lang w:val="en-US"/>
              </w:rPr>
              <w:t>302 148</w:t>
            </w:r>
          </w:p>
        </w:tc>
        <w:tc>
          <w:tcPr>
            <w:tcW w:w="2297" w:type="dxa"/>
          </w:tcPr>
          <w:p w14:paraId="1E0EAF9A" w14:textId="77777777" w:rsidR="00761B6C" w:rsidRPr="0019278D" w:rsidRDefault="00761B6C" w:rsidP="00761B6C">
            <w:pPr>
              <w:pStyle w:val="Tabletext"/>
              <w:jc w:val="right"/>
              <w:rPr>
                <w:sz w:val="20"/>
                <w:szCs w:val="20"/>
              </w:rPr>
            </w:pPr>
            <w:r w:rsidRPr="0019278D">
              <w:rPr>
                <w:sz w:val="20"/>
                <w:szCs w:val="20"/>
              </w:rPr>
              <w:t>315 181</w:t>
            </w:r>
          </w:p>
        </w:tc>
      </w:tr>
    </w:tbl>
    <w:p w14:paraId="4A018027" w14:textId="77777777" w:rsidR="00761B6C" w:rsidRPr="00236418" w:rsidRDefault="00761B6C" w:rsidP="00761B6C">
      <w:pPr>
        <w:pStyle w:val="enumlev1"/>
        <w:spacing w:before="240"/>
      </w:pPr>
      <w:r w:rsidRPr="00236418">
        <w:t>b)</w:t>
      </w:r>
      <w:r w:rsidRPr="00236418">
        <w:tab/>
        <w:t>Qualité de crédit</w:t>
      </w:r>
    </w:p>
    <w:p w14:paraId="369E41D1" w14:textId="77777777" w:rsidR="00761B6C" w:rsidRPr="00236418" w:rsidRDefault="00761B6C" w:rsidP="00761B6C">
      <w:pPr>
        <w:pStyle w:val="enumlev1"/>
      </w:pPr>
      <w:r w:rsidRPr="00236418">
        <w:tab/>
        <w:t>La qualité de crédit est l</w:t>
      </w:r>
      <w:r>
        <w:t>'</w:t>
      </w:r>
      <w:r w:rsidRPr="00236418">
        <w:t>évaluation du risque de défaut de paiement afférent aux contreparties auxquelles l</w:t>
      </w:r>
      <w:r>
        <w:t>'</w:t>
      </w:r>
      <w:r w:rsidRPr="00236418">
        <w:t>UIT accorde des crédits, ainsi qu</w:t>
      </w:r>
      <w:r>
        <w:t>'</w:t>
      </w:r>
      <w:r w:rsidRPr="00236418">
        <w:t>aux parties avec lesquelles elle investit.</w:t>
      </w:r>
    </w:p>
    <w:p w14:paraId="704FCD1C" w14:textId="77777777" w:rsidR="00761B6C" w:rsidRPr="00236418" w:rsidRDefault="00761B6C" w:rsidP="00761B6C">
      <w:pPr>
        <w:pStyle w:val="enumlev1"/>
      </w:pPr>
      <w:r w:rsidRPr="00236418">
        <w:tab/>
        <w:t>Des mesures, telles que l</w:t>
      </w:r>
      <w:r>
        <w:t>'</w:t>
      </w:r>
      <w:r w:rsidRPr="00236418">
        <w:t>envoi trimestriel d</w:t>
      </w:r>
      <w:r>
        <w:t>'</w:t>
      </w:r>
      <w:r w:rsidRPr="00236418">
        <w:t>un relevé de compte et la suspension de la participation aux travaux de l</w:t>
      </w:r>
      <w:r>
        <w:t>'</w:t>
      </w:r>
      <w:r w:rsidRPr="00236418">
        <w:t>UIT, ont été instaurées pour s</w:t>
      </w:r>
      <w:r>
        <w:t>'</w:t>
      </w:r>
      <w:r w:rsidRPr="00236418">
        <w:t>assurer que les États Membres, les Membres des Secteurs et les Associés règlent leurs arriérés. En outre, la possibilité de perdre le droit de vote a été instaurée pour inciter les États Membres à régler leurs arriérés dans les délais.</w:t>
      </w:r>
    </w:p>
    <w:p w14:paraId="05E1E06D" w14:textId="78052D9A" w:rsidR="00761B6C" w:rsidRPr="00236418" w:rsidRDefault="00761B6C" w:rsidP="00761B6C">
      <w:pPr>
        <w:pStyle w:val="enumlev1"/>
      </w:pPr>
      <w:r w:rsidRPr="00236418">
        <w:tab/>
        <w:t>L</w:t>
      </w:r>
      <w:r>
        <w:t>'</w:t>
      </w:r>
      <w:r w:rsidRPr="00236418">
        <w:t>UIT diminue les risques de crédit sur la trésorerie et les équivalents de trésorerie et les placements en les répartissant entre plusieurs institutions bancaires ayant une cote de solvabilité élevée. En vertu de l</w:t>
      </w:r>
      <w:r>
        <w:t>'</w:t>
      </w:r>
      <w:r w:rsidRPr="00236418">
        <w:t>Article 16 du Règlement financier et des règles financières, le Secrétaire général choisit les banques ou autres institutions dans lesquelles sont déposés les fonds de l</w:t>
      </w:r>
      <w:r>
        <w:t>'</w:t>
      </w:r>
      <w:r w:rsidRPr="00236418">
        <w:t>Union. À cet égard, le Secrétaire général veille à ce que les fonds soient investis avant tout de façon à minimiser le risque sur les fonds principaux, tout en faisant en sorte que l</w:t>
      </w:r>
      <w:r>
        <w:t>'</w:t>
      </w:r>
      <w:r w:rsidRPr="00236418">
        <w:t>Union dispose des liquidités nécessaires pour faire face à ses besoins de trésorerie.</w:t>
      </w:r>
      <w:r>
        <w:t xml:space="preserve"> </w:t>
      </w:r>
      <w:r w:rsidRPr="00236418">
        <w:t>L</w:t>
      </w:r>
      <w:r>
        <w:t>'</w:t>
      </w:r>
      <w:r w:rsidRPr="00236418">
        <w:t>UIT ne dépose pas de fonds dans des banques dont la cote de solvabilité est inférieure à A3.</w:t>
      </w:r>
    </w:p>
    <w:p w14:paraId="456B7330" w14:textId="77777777" w:rsidR="00761B6C" w:rsidRPr="00236418" w:rsidRDefault="00761B6C" w:rsidP="00761B6C">
      <w:pPr>
        <w:pStyle w:val="enumlev1"/>
      </w:pPr>
      <w:r w:rsidRPr="00236418">
        <w:lastRenderedPageBreak/>
        <w:tab/>
        <w:t>Ces critères mis à part, les investissements sont choisis sur la base des rendements raisonnablement les plus élevés et dans le respect des principes des Nations Unies.</w:t>
      </w:r>
    </w:p>
    <w:p w14:paraId="462EDE1D" w14:textId="77777777" w:rsidR="00761B6C" w:rsidRPr="00236418" w:rsidRDefault="00761B6C" w:rsidP="00761B6C">
      <w:pPr>
        <w:pStyle w:val="enumlev1"/>
      </w:pPr>
      <w:r w:rsidRPr="00236418">
        <w:tab/>
        <w:t>Le Secrétaire général désigne les banques dans lesquelles les fonds de l</w:t>
      </w:r>
      <w:r>
        <w:t>'</w:t>
      </w:r>
      <w:r w:rsidRPr="00236418">
        <w:t>Union doivent être déposés, ouvre tous les comptes en banque nécessaires aux activités de l</w:t>
      </w:r>
      <w:r>
        <w:t>'</w:t>
      </w:r>
      <w:r w:rsidRPr="00236418">
        <w:t>Union et désigne les fonctionnaires autorisés à signer tous ordres relatifs auxdits comptes. Il autorise également toutes les fermetures de comptes en banque.</w:t>
      </w:r>
    </w:p>
    <w:p w14:paraId="0F0BEB09" w14:textId="77777777" w:rsidR="00761B6C" w:rsidRDefault="00761B6C" w:rsidP="00761B6C">
      <w:pPr>
        <w:pStyle w:val="enumlev1"/>
      </w:pPr>
      <w:r w:rsidRPr="00236418">
        <w:t>c)</w:t>
      </w:r>
      <w:r w:rsidRPr="00236418">
        <w:tab/>
        <w:t>Risque de taux d</w:t>
      </w:r>
      <w:r>
        <w:t>'</w:t>
      </w:r>
      <w:r w:rsidRPr="00236418">
        <w:t>intérêt</w:t>
      </w:r>
    </w:p>
    <w:p w14:paraId="57446C58" w14:textId="77777777" w:rsidR="00761B6C" w:rsidRDefault="00761B6C" w:rsidP="00761B6C">
      <w:pPr>
        <w:pStyle w:val="enumlev1"/>
      </w:pPr>
      <w:r w:rsidRPr="00236418">
        <w:tab/>
        <w:t>L</w:t>
      </w:r>
      <w:r>
        <w:t>'</w:t>
      </w:r>
      <w:r w:rsidRPr="00236418">
        <w:t>UIT est exposée aux risques de taux d</w:t>
      </w:r>
      <w:r>
        <w:t>'</w:t>
      </w:r>
      <w:r w:rsidRPr="00236418">
        <w:t>intérêt du fait de ses placements à court terme. En 2015, à la suite de l</w:t>
      </w:r>
      <w:r>
        <w:t>'</w:t>
      </w:r>
      <w:r w:rsidRPr="00236418">
        <w:t>introduction par les institutions financières de taux d</w:t>
      </w:r>
      <w:r>
        <w:t>'</w:t>
      </w:r>
      <w:r w:rsidRPr="00236418">
        <w:t>intérêt négatifs pour les fonds en caisse, l</w:t>
      </w:r>
      <w:r>
        <w:t>'</w:t>
      </w:r>
      <w:r w:rsidRPr="00236418">
        <w:t>UIT a revu avec soin sa politique pour éviter d</w:t>
      </w:r>
      <w:r>
        <w:t>'</w:t>
      </w:r>
      <w:r w:rsidRPr="00236418">
        <w:t xml:space="preserve">impacter sa trésorerie et les équivalents de trésorerie. </w:t>
      </w:r>
      <w:r w:rsidRPr="003133A1">
        <w:t>En 2020, la situation est devenue plus difficile, et malgré des négociations avec les par</w:t>
      </w:r>
      <w:r>
        <w:t>t</w:t>
      </w:r>
      <w:r w:rsidRPr="003133A1">
        <w:t>e</w:t>
      </w:r>
      <w:r>
        <w:t xml:space="preserve">naires bancaires de l'UIT, tous les comptes bancaires en CHF de l'UIT font désormais l'objet d'intérêts négatifs. </w:t>
      </w:r>
      <w:r w:rsidRPr="003133A1">
        <w:t>L</w:t>
      </w:r>
      <w:r>
        <w:t>'</w:t>
      </w:r>
      <w:r w:rsidRPr="003133A1">
        <w:t>UIT a néanmoins été en mesure de conserver un s</w:t>
      </w:r>
      <w:r>
        <w:t>euil d'exemption sur le compte courant, ce qui permet de gérer les activités de trésorerie quotidiennes sans intérêts négatifs</w:t>
      </w:r>
      <w:r w:rsidRPr="003133A1">
        <w:t>.</w:t>
      </w:r>
    </w:p>
    <w:p w14:paraId="76FD4F05" w14:textId="77777777" w:rsidR="00761B6C" w:rsidRPr="003133A1" w:rsidRDefault="00761B6C" w:rsidP="00761B6C">
      <w:pPr>
        <w:pStyle w:val="enumlev1"/>
      </w:pPr>
      <w:r>
        <w:tab/>
        <w:t>Afin de compenser ces taux d'intérêts négatifs, il a été décidé de convertir les liquidités improductives en USD et de les placer en dépôts à court terme sur les marchés financiers, ce qui a produit des intérêts positifs. Afin d'éviter toute exposition aux risques de change, seuls les excédents de trésorerie</w:t>
      </w:r>
      <w:r w:rsidDel="00E2519F">
        <w:t xml:space="preserve"> </w:t>
      </w:r>
      <w:r>
        <w:t>ont été investis</w:t>
      </w:r>
      <w:r w:rsidRPr="003133A1">
        <w:t>.</w:t>
      </w:r>
      <w:r>
        <w:t xml:space="preserve"> </w:t>
      </w:r>
    </w:p>
    <w:p w14:paraId="6ECD77F6" w14:textId="77777777" w:rsidR="00761B6C" w:rsidRPr="00236418" w:rsidRDefault="00761B6C" w:rsidP="00761B6C">
      <w:pPr>
        <w:pStyle w:val="enumlev1"/>
      </w:pPr>
      <w:r w:rsidRPr="00236418">
        <w:t>d)</w:t>
      </w:r>
      <w:r w:rsidRPr="00236418">
        <w:tab/>
        <w:t>Risque de liquidité</w:t>
      </w:r>
    </w:p>
    <w:p w14:paraId="5B801007" w14:textId="77777777" w:rsidR="00761B6C" w:rsidRPr="00236418" w:rsidRDefault="00761B6C" w:rsidP="00761B6C">
      <w:pPr>
        <w:pStyle w:val="enumlev1"/>
      </w:pPr>
      <w:r w:rsidRPr="00236418">
        <w:tab/>
        <w:t>Le risque de liquidité est le risque que l</w:t>
      </w:r>
      <w:r>
        <w:t>'</w:t>
      </w:r>
      <w:r w:rsidRPr="00236418">
        <w:t>UIT ne soit pas en mesure de remplir ses engagements lorsqu</w:t>
      </w:r>
      <w:r>
        <w:t>'</w:t>
      </w:r>
      <w:r w:rsidRPr="00236418">
        <w:t>ils arrivent à échéance. L</w:t>
      </w:r>
      <w:r>
        <w:t>'</w:t>
      </w:r>
      <w:r w:rsidRPr="00236418">
        <w:t>approche adoptée par l</w:t>
      </w:r>
      <w:r>
        <w:t>'</w:t>
      </w:r>
      <w:r w:rsidRPr="00236418">
        <w:t>UIT pour gérer le risque de liquidité consiste à faire en sorte de disposer de liquidités suffisantes pour remplir ses engagements à leur échéance. Pour veiller à disposer de liquidités suffisantes pour faire face aux charges opérationnelles prévues, l</w:t>
      </w:r>
      <w:r>
        <w:t>'</w:t>
      </w:r>
      <w:r w:rsidRPr="00236418">
        <w:t>UIT utilise des prévisions de flux de trésorerie.</w:t>
      </w:r>
    </w:p>
    <w:p w14:paraId="5AF3B987" w14:textId="77777777" w:rsidR="00761B6C" w:rsidRPr="00236418" w:rsidRDefault="00761B6C" w:rsidP="00761B6C">
      <w:pPr>
        <w:pStyle w:val="enumlev1"/>
      </w:pPr>
      <w:r w:rsidRPr="00236418">
        <w:tab/>
        <w:t>Le risque de liquidité peut être considéré comme négligeable, étant donné qu</w:t>
      </w:r>
      <w:r>
        <w:t>'</w:t>
      </w:r>
      <w:r w:rsidRPr="00236418">
        <w:t>en vertu de l</w:t>
      </w:r>
      <w:r>
        <w:t>'</w:t>
      </w:r>
      <w:r w:rsidRPr="00236418">
        <w:t>Article 17 du Règlement financier, le Gouvernement de la Confédération suisse met, selon des conditions à fixer, des avances de fonds à la disposition de l</w:t>
      </w:r>
      <w:r>
        <w:t>'</w:t>
      </w:r>
      <w:r w:rsidRPr="00236418">
        <w:t>Union, afin de lui permettre de répondre à ses besoins temporaires de trésorerie.</w:t>
      </w:r>
    </w:p>
    <w:p w14:paraId="532159D7" w14:textId="77777777" w:rsidR="00761B6C" w:rsidRPr="00236418" w:rsidRDefault="00761B6C" w:rsidP="00761B6C">
      <w:pPr>
        <w:pStyle w:val="enumlev1"/>
        <w:spacing w:before="40"/>
      </w:pPr>
      <w:r w:rsidRPr="00236418">
        <w:tab/>
        <w:t>Le principal objectif de la gestion du capital de l</w:t>
      </w:r>
      <w:r>
        <w:t>'</w:t>
      </w:r>
      <w:r w:rsidRPr="00236418">
        <w:t>UIT est de faire en sorte que les liquidités disponibles soient suffisantes pour répondre aux besoins de financement de l</w:t>
      </w:r>
      <w:r>
        <w:t>'</w:t>
      </w:r>
      <w:r w:rsidRPr="00236418">
        <w:t>organisation, y compris les dépenses d</w:t>
      </w:r>
      <w:r>
        <w:t>'</w:t>
      </w:r>
      <w:r w:rsidRPr="00236418">
        <w:t>investissement, afin de garantir la solidité financière de l</w:t>
      </w:r>
      <w:r>
        <w:t>'</w:t>
      </w:r>
      <w:r w:rsidRPr="00236418">
        <w:t>Union.</w:t>
      </w:r>
    </w:p>
    <w:p w14:paraId="4180793A" w14:textId="77777777" w:rsidR="00761B6C" w:rsidRPr="00236418" w:rsidRDefault="00761B6C" w:rsidP="00761B6C">
      <w:pPr>
        <w:pStyle w:val="enumlev1"/>
        <w:keepNext/>
        <w:keepLines/>
      </w:pPr>
      <w:r w:rsidRPr="00236418">
        <w:t>e)</w:t>
      </w:r>
      <w:r w:rsidRPr="00236418">
        <w:tab/>
        <w:t>Risque de change</w:t>
      </w:r>
    </w:p>
    <w:p w14:paraId="78B78407" w14:textId="77777777" w:rsidR="00761B6C" w:rsidRPr="00236418" w:rsidRDefault="00761B6C" w:rsidP="00761B6C">
      <w:pPr>
        <w:pStyle w:val="enumlev1"/>
        <w:keepLines/>
      </w:pPr>
      <w:r w:rsidRPr="00236418">
        <w:tab/>
        <w:t>L</w:t>
      </w:r>
      <w:r>
        <w:t>'</w:t>
      </w:r>
      <w:r w:rsidRPr="00236418">
        <w:t>UIT perçoit les contributions des États Membres et les contributions au titre du budget ordinaire en CHF, et les contributions extrabudgétaires dans des devises autres que le CHF. L</w:t>
      </w:r>
      <w:r>
        <w:t>'</w:t>
      </w:r>
      <w:r w:rsidRPr="00236418">
        <w:t>UIT n</w:t>
      </w:r>
      <w:r>
        <w:t>'</w:t>
      </w:r>
      <w:r w:rsidRPr="00236418">
        <w:t>a pas recours à des contrats de change à terme, des opérations à terme, des swaps ou des options de change pour couvrir les gains ou pertes de change réalisés ou non réalisés. Lorsque cela est possible, l</w:t>
      </w:r>
      <w:r>
        <w:t>'</w:t>
      </w:r>
      <w:r w:rsidRPr="00236418">
        <w:t>UIT pratique la couverture naturelle, en allouant directement les devises nécessaires sur les comptes bancaires appropriés.</w:t>
      </w:r>
    </w:p>
    <w:p w14:paraId="3350F834" w14:textId="77777777" w:rsidR="00761B6C" w:rsidRPr="00236418" w:rsidRDefault="00761B6C" w:rsidP="00761B6C">
      <w:pPr>
        <w:pStyle w:val="enumlev1"/>
      </w:pPr>
      <w:r w:rsidRPr="00236418">
        <w:tab/>
        <w:t>Il y a lieu de noter que le nouveau régime d</w:t>
      </w:r>
      <w:r>
        <w:t>'</w:t>
      </w:r>
      <w:r w:rsidRPr="00236418">
        <w:t>assurance maladie est géré en francs suisses, ce qui réduit considérablement l</w:t>
      </w:r>
      <w:r>
        <w:t>'</w:t>
      </w:r>
      <w:r w:rsidRPr="00236418">
        <w:t>exposition aux variations des taux de change. L</w:t>
      </w:r>
      <w:r>
        <w:t>'</w:t>
      </w:r>
      <w:r w:rsidRPr="00236418">
        <w:t xml:space="preserve">Union est toujours exposée à des gains ou à des pertes de change résultant du versement des cotisations en dollars EU à la CCPPNU. Toutefois, étant donné que les cotisations des fonctionnaires de la catégorie professionnelle sont libellées en dollars EU alors que celles des </w:t>
      </w:r>
      <w:r w:rsidRPr="00236418">
        <w:lastRenderedPageBreak/>
        <w:t>fonctionnaires de la catégorie des services généraux sont libellées en francs suisses, et que le nombre de fonctionnaires dans ces deux catégories est équitablement réparti, les fluctuations du taux de change ont tendance à s</w:t>
      </w:r>
      <w:r>
        <w:t>'</w:t>
      </w:r>
      <w:r w:rsidRPr="00236418">
        <w:t>équilibrer.</w:t>
      </w:r>
    </w:p>
    <w:p w14:paraId="444EBFE0" w14:textId="77777777" w:rsidR="00761B6C" w:rsidRPr="00236418" w:rsidRDefault="00761B6C" w:rsidP="00761B6C">
      <w:pPr>
        <w:pStyle w:val="enumlev1"/>
      </w:pPr>
      <w:r w:rsidRPr="00236418">
        <w:tab/>
        <w:t>Les contributions extrabudgétaires sont gérées dans la devise de la contribution et converties en CHF à des fins de présentation.</w:t>
      </w:r>
    </w:p>
    <w:p w14:paraId="1C23DE2D" w14:textId="77777777" w:rsidR="00761B6C" w:rsidRPr="00236418" w:rsidRDefault="00761B6C" w:rsidP="00761B6C">
      <w:pPr>
        <w:pStyle w:val="enumlev1"/>
      </w:pPr>
      <w:r w:rsidRPr="00236418">
        <w:tab/>
        <w:t>Le 1er janvier 2020, l</w:t>
      </w:r>
      <w:r>
        <w:t>'</w:t>
      </w:r>
      <w:r w:rsidRPr="00236418">
        <w:t>UIT a intégré l</w:t>
      </w:r>
      <w:r>
        <w:t>'</w:t>
      </w:r>
      <w:r w:rsidRPr="00236418">
        <w:t>Assurance mutuelle contre la maladie et les accidents du personnel des Nations Unies (UNSMIS). Bien que les cotisations mensuelles soient versées en francs suisses, ce qui protège l</w:t>
      </w:r>
      <w:r>
        <w:t>'</w:t>
      </w:r>
      <w:r w:rsidRPr="00236418">
        <w:t>UIT contre les risques de change, l</w:t>
      </w:r>
      <w:r>
        <w:t>'</w:t>
      </w:r>
      <w:r w:rsidRPr="00236418">
        <w:t>Union doit contribuer au fonds de garantie, ainsi qu</w:t>
      </w:r>
      <w:r>
        <w:t>'</w:t>
      </w:r>
      <w:r w:rsidRPr="00236418">
        <w:t xml:space="preserve">aux coûts administratifs (voir la </w:t>
      </w:r>
      <w:r>
        <w:t>N</w:t>
      </w:r>
      <w:r w:rsidRPr="00236418">
        <w:t>ote 17). Cette participation, répartie en un premier versement 2020 et 13 versements jusqu</w:t>
      </w:r>
      <w:r>
        <w:t>'</w:t>
      </w:r>
      <w:r w:rsidRPr="00236418">
        <w:t>en 2032, ainsi que les coûts administratifs sont définis par contrat en dollars EU et, par conséquent, l</w:t>
      </w:r>
      <w:r>
        <w:t>'</w:t>
      </w:r>
      <w:r w:rsidRPr="00236418">
        <w:t>Union est exposée à des gains ou à des pertes de change liés au versement annuel en dollars EU. Il est à noter que certaines contributions des membres de l</w:t>
      </w:r>
      <w:r>
        <w:t>'</w:t>
      </w:r>
      <w:r w:rsidRPr="00236418">
        <w:t>Union sont reçues en dollars EU, ce qui permet d</w:t>
      </w:r>
      <w:r>
        <w:t>'</w:t>
      </w:r>
      <w:r w:rsidRPr="00236418">
        <w:t>atténuer le risque de change, en particulier pour les charges en dollars EU.</w:t>
      </w:r>
    </w:p>
    <w:p w14:paraId="270F2A1C" w14:textId="77777777" w:rsidR="00761B6C" w:rsidRPr="00236418" w:rsidRDefault="00761B6C" w:rsidP="00761B6C">
      <w:pPr>
        <w:pStyle w:val="enumlev1"/>
      </w:pPr>
      <w:r w:rsidRPr="00236418">
        <w:t>f)</w:t>
      </w:r>
      <w:r w:rsidRPr="00236418">
        <w:tab/>
        <w:t>Risque de marché</w:t>
      </w:r>
    </w:p>
    <w:p w14:paraId="0BCF2BC6" w14:textId="77777777" w:rsidR="00761B6C" w:rsidRPr="00236418" w:rsidRDefault="00761B6C" w:rsidP="00761B6C">
      <w:pPr>
        <w:pStyle w:val="enumlev1"/>
      </w:pPr>
      <w:r w:rsidRPr="00236418">
        <w:tab/>
        <w:t>Le risque de marché est le risque afférent aux variations des prix de marché, notamment en ce qui concerne les taux de change et les taux d</w:t>
      </w:r>
      <w:r>
        <w:t>'</w:t>
      </w:r>
      <w:r w:rsidRPr="00236418">
        <w:t>intérêt, variations qui peuvent avoir des répercussions sur les recettes de l</w:t>
      </w:r>
      <w:r>
        <w:t>'</w:t>
      </w:r>
      <w:r w:rsidRPr="00236418">
        <w:t>UIT ou sur la valeur de ses instruments financiers. La gestion du risque de marché a pour objet de gérer l</w:t>
      </w:r>
      <w:r>
        <w:t>'</w:t>
      </w:r>
      <w:r w:rsidRPr="00236418">
        <w:t>exposition au risque de marché et de la maintenir dans des limites acceptables, tout en optimisant la rentabilité du risque.</w:t>
      </w:r>
    </w:p>
    <w:p w14:paraId="25CEF5DE" w14:textId="77777777" w:rsidR="00761B6C" w:rsidRPr="00236418" w:rsidRDefault="00761B6C" w:rsidP="00761B6C">
      <w:pPr>
        <w:spacing w:after="240"/>
      </w:pPr>
      <w:r w:rsidRPr="00236418">
        <w:t>La structure des échéances des instruments financiers au 31 décembre 20</w:t>
      </w:r>
      <w:r>
        <w:t>20</w:t>
      </w:r>
      <w:r w:rsidRPr="00236418">
        <w:t xml:space="preserve"> est la suivante:</w:t>
      </w:r>
    </w:p>
    <w:tbl>
      <w:tblPr>
        <w:tblStyle w:val="TableGrid"/>
        <w:tblW w:w="0" w:type="auto"/>
        <w:jc w:val="center"/>
        <w:tblLook w:val="04A0" w:firstRow="1" w:lastRow="0" w:firstColumn="1" w:lastColumn="0" w:noHBand="0" w:noVBand="1"/>
        <w:tblCaption w:val="E"/>
      </w:tblPr>
      <w:tblGrid>
        <w:gridCol w:w="3397"/>
        <w:gridCol w:w="1560"/>
        <w:gridCol w:w="1275"/>
        <w:gridCol w:w="1134"/>
        <w:gridCol w:w="993"/>
        <w:gridCol w:w="1270"/>
      </w:tblGrid>
      <w:tr w:rsidR="00761B6C" w:rsidRPr="00236418" w14:paraId="437222C7" w14:textId="77777777" w:rsidTr="00761B6C">
        <w:trPr>
          <w:jc w:val="center"/>
        </w:trPr>
        <w:tc>
          <w:tcPr>
            <w:tcW w:w="3397" w:type="dxa"/>
          </w:tcPr>
          <w:p w14:paraId="0FBAFC33" w14:textId="77777777" w:rsidR="00761B6C" w:rsidRPr="00236418" w:rsidRDefault="00761B6C" w:rsidP="00761B6C">
            <w:pPr>
              <w:pStyle w:val="Tablehead"/>
              <w:spacing w:before="40" w:after="40"/>
              <w:rPr>
                <w:sz w:val="20"/>
              </w:rPr>
            </w:pPr>
            <w:r w:rsidRPr="00236418">
              <w:rPr>
                <w:sz w:val="20"/>
              </w:rPr>
              <w:t>En milliers CHF</w:t>
            </w:r>
          </w:p>
        </w:tc>
        <w:tc>
          <w:tcPr>
            <w:tcW w:w="1560" w:type="dxa"/>
          </w:tcPr>
          <w:p w14:paraId="1369ECFF" w14:textId="77777777" w:rsidR="00761B6C" w:rsidRPr="00236418" w:rsidRDefault="00761B6C" w:rsidP="00761B6C">
            <w:pPr>
              <w:pStyle w:val="Tablehead"/>
              <w:spacing w:before="40" w:after="40"/>
              <w:rPr>
                <w:sz w:val="20"/>
              </w:rPr>
            </w:pPr>
            <w:r w:rsidRPr="00236418">
              <w:rPr>
                <w:sz w:val="20"/>
              </w:rPr>
              <w:t>Taux d</w:t>
            </w:r>
            <w:r>
              <w:rPr>
                <w:sz w:val="20"/>
              </w:rPr>
              <w:t>'</w:t>
            </w:r>
            <w:r w:rsidRPr="00236418">
              <w:rPr>
                <w:sz w:val="20"/>
              </w:rPr>
              <w:t>intérêt moyen pondéré</w:t>
            </w:r>
          </w:p>
        </w:tc>
        <w:tc>
          <w:tcPr>
            <w:tcW w:w="1275" w:type="dxa"/>
          </w:tcPr>
          <w:p w14:paraId="61B5BC84" w14:textId="77777777" w:rsidR="00761B6C" w:rsidRPr="00236418" w:rsidRDefault="00761B6C" w:rsidP="00761B6C">
            <w:pPr>
              <w:pStyle w:val="Tablehead"/>
              <w:spacing w:before="40" w:after="40"/>
              <w:rPr>
                <w:sz w:val="20"/>
              </w:rPr>
            </w:pPr>
            <w:r w:rsidRPr="00236418">
              <w:rPr>
                <w:sz w:val="20"/>
              </w:rPr>
              <w:t>1 année ou moins</w:t>
            </w:r>
          </w:p>
        </w:tc>
        <w:tc>
          <w:tcPr>
            <w:tcW w:w="1134" w:type="dxa"/>
          </w:tcPr>
          <w:p w14:paraId="140DF18B" w14:textId="77777777" w:rsidR="00761B6C" w:rsidRPr="00236418" w:rsidRDefault="00761B6C" w:rsidP="00761B6C">
            <w:pPr>
              <w:pStyle w:val="Tablehead"/>
              <w:spacing w:before="40" w:after="40"/>
              <w:rPr>
                <w:sz w:val="20"/>
              </w:rPr>
            </w:pPr>
            <w:r w:rsidRPr="00236418">
              <w:rPr>
                <w:sz w:val="20"/>
              </w:rPr>
              <w:t>&lt; 10 ans</w:t>
            </w:r>
          </w:p>
        </w:tc>
        <w:tc>
          <w:tcPr>
            <w:tcW w:w="993" w:type="dxa"/>
          </w:tcPr>
          <w:p w14:paraId="75F80FF3" w14:textId="77777777" w:rsidR="00761B6C" w:rsidRPr="00236418" w:rsidRDefault="00761B6C" w:rsidP="00761B6C">
            <w:pPr>
              <w:pStyle w:val="Tablehead"/>
              <w:spacing w:before="40" w:after="40"/>
              <w:rPr>
                <w:sz w:val="20"/>
              </w:rPr>
            </w:pPr>
            <w:r w:rsidRPr="00236418">
              <w:rPr>
                <w:sz w:val="20"/>
              </w:rPr>
              <w:t>&gt; 10 ans</w:t>
            </w:r>
          </w:p>
        </w:tc>
        <w:tc>
          <w:tcPr>
            <w:tcW w:w="1270" w:type="dxa"/>
          </w:tcPr>
          <w:p w14:paraId="4888CECB" w14:textId="77777777" w:rsidR="00761B6C" w:rsidRPr="00236418" w:rsidRDefault="00761B6C" w:rsidP="00761B6C">
            <w:pPr>
              <w:pStyle w:val="Tablehead"/>
              <w:spacing w:before="40" w:after="40"/>
              <w:rPr>
                <w:sz w:val="20"/>
              </w:rPr>
            </w:pPr>
            <w:r w:rsidRPr="00236418">
              <w:rPr>
                <w:sz w:val="20"/>
              </w:rPr>
              <w:t>Total</w:t>
            </w:r>
          </w:p>
        </w:tc>
      </w:tr>
      <w:tr w:rsidR="00761B6C" w:rsidRPr="00236418" w14:paraId="0FB09355" w14:textId="77777777" w:rsidTr="00761B6C">
        <w:trPr>
          <w:jc w:val="center"/>
        </w:trPr>
        <w:tc>
          <w:tcPr>
            <w:tcW w:w="3397" w:type="dxa"/>
          </w:tcPr>
          <w:p w14:paraId="0CAD0EC1" w14:textId="77777777" w:rsidR="00761B6C" w:rsidRPr="00236418" w:rsidRDefault="00761B6C" w:rsidP="00761B6C">
            <w:pPr>
              <w:pStyle w:val="Tablehead"/>
              <w:spacing w:before="40" w:after="40"/>
              <w:jc w:val="left"/>
              <w:rPr>
                <w:sz w:val="20"/>
              </w:rPr>
            </w:pPr>
            <w:r w:rsidRPr="00236418">
              <w:rPr>
                <w:sz w:val="20"/>
              </w:rPr>
              <w:t>Actifs financiers</w:t>
            </w:r>
          </w:p>
        </w:tc>
        <w:tc>
          <w:tcPr>
            <w:tcW w:w="1560" w:type="dxa"/>
          </w:tcPr>
          <w:p w14:paraId="661BA926" w14:textId="77777777" w:rsidR="00761B6C" w:rsidRPr="000C5857" w:rsidRDefault="00761B6C" w:rsidP="00761B6C">
            <w:pPr>
              <w:pStyle w:val="Tabletext"/>
              <w:jc w:val="right"/>
              <w:rPr>
                <w:sz w:val="20"/>
                <w:szCs w:val="20"/>
              </w:rPr>
            </w:pPr>
          </w:p>
        </w:tc>
        <w:tc>
          <w:tcPr>
            <w:tcW w:w="1275" w:type="dxa"/>
          </w:tcPr>
          <w:p w14:paraId="4E3508FF" w14:textId="77777777" w:rsidR="00761B6C" w:rsidRPr="000C5857" w:rsidRDefault="00761B6C" w:rsidP="00761B6C">
            <w:pPr>
              <w:pStyle w:val="Tabletext"/>
              <w:jc w:val="right"/>
              <w:rPr>
                <w:sz w:val="20"/>
                <w:szCs w:val="20"/>
              </w:rPr>
            </w:pPr>
          </w:p>
        </w:tc>
        <w:tc>
          <w:tcPr>
            <w:tcW w:w="1134" w:type="dxa"/>
          </w:tcPr>
          <w:p w14:paraId="63A6F195" w14:textId="77777777" w:rsidR="00761B6C" w:rsidRPr="000C5857" w:rsidRDefault="00761B6C" w:rsidP="00761B6C">
            <w:pPr>
              <w:pStyle w:val="Tabletext"/>
              <w:jc w:val="right"/>
              <w:rPr>
                <w:sz w:val="20"/>
                <w:szCs w:val="20"/>
              </w:rPr>
            </w:pPr>
          </w:p>
        </w:tc>
        <w:tc>
          <w:tcPr>
            <w:tcW w:w="993" w:type="dxa"/>
          </w:tcPr>
          <w:p w14:paraId="168EBDE5" w14:textId="77777777" w:rsidR="00761B6C" w:rsidRPr="000C5857" w:rsidRDefault="00761B6C" w:rsidP="00761B6C">
            <w:pPr>
              <w:pStyle w:val="Tabletext"/>
              <w:jc w:val="right"/>
              <w:rPr>
                <w:sz w:val="20"/>
                <w:szCs w:val="20"/>
              </w:rPr>
            </w:pPr>
          </w:p>
        </w:tc>
        <w:tc>
          <w:tcPr>
            <w:tcW w:w="1270" w:type="dxa"/>
          </w:tcPr>
          <w:p w14:paraId="7D17A8B8" w14:textId="77777777" w:rsidR="00761B6C" w:rsidRPr="000C5857" w:rsidRDefault="00761B6C" w:rsidP="00761B6C">
            <w:pPr>
              <w:pStyle w:val="Tabletext"/>
              <w:jc w:val="right"/>
              <w:rPr>
                <w:sz w:val="20"/>
                <w:szCs w:val="20"/>
              </w:rPr>
            </w:pPr>
          </w:p>
        </w:tc>
      </w:tr>
      <w:tr w:rsidR="00761B6C" w:rsidRPr="00236418" w14:paraId="61F7064F" w14:textId="77777777" w:rsidTr="00761B6C">
        <w:trPr>
          <w:jc w:val="center"/>
        </w:trPr>
        <w:tc>
          <w:tcPr>
            <w:tcW w:w="3397" w:type="dxa"/>
          </w:tcPr>
          <w:p w14:paraId="0410DA5B" w14:textId="77777777" w:rsidR="00761B6C" w:rsidRPr="00236418" w:rsidRDefault="00761B6C" w:rsidP="00761B6C">
            <w:pPr>
              <w:pStyle w:val="Tabletext"/>
              <w:spacing w:before="40" w:after="40"/>
              <w:rPr>
                <w:sz w:val="20"/>
              </w:rPr>
            </w:pPr>
            <w:r w:rsidRPr="00236418">
              <w:rPr>
                <w:sz w:val="20"/>
              </w:rPr>
              <w:t>Placements</w:t>
            </w:r>
          </w:p>
        </w:tc>
        <w:tc>
          <w:tcPr>
            <w:tcW w:w="1560" w:type="dxa"/>
          </w:tcPr>
          <w:p w14:paraId="15958A8F" w14:textId="77777777" w:rsidR="00761B6C" w:rsidRPr="000C5857" w:rsidRDefault="00761B6C" w:rsidP="00761B6C">
            <w:pPr>
              <w:pStyle w:val="Tabletext"/>
              <w:jc w:val="right"/>
              <w:rPr>
                <w:sz w:val="20"/>
                <w:szCs w:val="20"/>
              </w:rPr>
            </w:pPr>
          </w:p>
        </w:tc>
        <w:tc>
          <w:tcPr>
            <w:tcW w:w="1275" w:type="dxa"/>
          </w:tcPr>
          <w:p w14:paraId="24F15DF4" w14:textId="77777777" w:rsidR="00761B6C" w:rsidRPr="000C5857" w:rsidRDefault="00761B6C" w:rsidP="00761B6C">
            <w:pPr>
              <w:pStyle w:val="Tabletext"/>
              <w:jc w:val="right"/>
              <w:rPr>
                <w:sz w:val="20"/>
                <w:szCs w:val="20"/>
              </w:rPr>
            </w:pPr>
            <w:r w:rsidRPr="000C5857">
              <w:rPr>
                <w:rFonts w:cs="Calibri"/>
                <w:sz w:val="20"/>
                <w:szCs w:val="20"/>
                <w:lang w:val="en-US"/>
              </w:rPr>
              <w:t>95</w:t>
            </w:r>
            <w:r>
              <w:rPr>
                <w:rFonts w:cs="Calibri"/>
                <w:sz w:val="20"/>
                <w:szCs w:val="20"/>
                <w:lang w:val="en-US"/>
              </w:rPr>
              <w:t xml:space="preserve"> </w:t>
            </w:r>
            <w:r w:rsidRPr="000C5857">
              <w:rPr>
                <w:rFonts w:cs="Calibri"/>
                <w:sz w:val="20"/>
                <w:szCs w:val="20"/>
                <w:lang w:val="en-US"/>
              </w:rPr>
              <w:t>516</w:t>
            </w:r>
          </w:p>
        </w:tc>
        <w:tc>
          <w:tcPr>
            <w:tcW w:w="1134" w:type="dxa"/>
          </w:tcPr>
          <w:p w14:paraId="5AAE107D" w14:textId="77777777" w:rsidR="00761B6C" w:rsidRPr="000C5857" w:rsidRDefault="00761B6C" w:rsidP="00761B6C">
            <w:pPr>
              <w:pStyle w:val="Tabletext"/>
              <w:jc w:val="right"/>
              <w:rPr>
                <w:sz w:val="20"/>
                <w:szCs w:val="20"/>
              </w:rPr>
            </w:pPr>
            <w:r w:rsidRPr="000C5857">
              <w:rPr>
                <w:rFonts w:cs="Calibri"/>
                <w:sz w:val="20"/>
                <w:szCs w:val="20"/>
                <w:lang w:val="en-US"/>
              </w:rPr>
              <w:t>0</w:t>
            </w:r>
          </w:p>
        </w:tc>
        <w:tc>
          <w:tcPr>
            <w:tcW w:w="993" w:type="dxa"/>
          </w:tcPr>
          <w:p w14:paraId="62BB63C0" w14:textId="77777777" w:rsidR="00761B6C" w:rsidRPr="000C5857" w:rsidRDefault="00761B6C" w:rsidP="00761B6C">
            <w:pPr>
              <w:pStyle w:val="Tabletext"/>
              <w:jc w:val="right"/>
              <w:rPr>
                <w:sz w:val="20"/>
                <w:szCs w:val="20"/>
              </w:rPr>
            </w:pPr>
            <w:r w:rsidRPr="000C5857">
              <w:rPr>
                <w:rFonts w:cs="Calibri"/>
                <w:sz w:val="20"/>
                <w:szCs w:val="20"/>
                <w:lang w:val="en-US"/>
              </w:rPr>
              <w:t>0</w:t>
            </w:r>
          </w:p>
        </w:tc>
        <w:tc>
          <w:tcPr>
            <w:tcW w:w="1270" w:type="dxa"/>
          </w:tcPr>
          <w:p w14:paraId="49EE9C82" w14:textId="77777777" w:rsidR="00761B6C" w:rsidRPr="000C5857" w:rsidRDefault="00761B6C" w:rsidP="00761B6C">
            <w:pPr>
              <w:pStyle w:val="Tabletext"/>
              <w:jc w:val="right"/>
              <w:rPr>
                <w:sz w:val="20"/>
                <w:szCs w:val="20"/>
              </w:rPr>
            </w:pPr>
            <w:r w:rsidRPr="000C5857">
              <w:rPr>
                <w:rFonts w:cs="Calibri"/>
                <w:sz w:val="20"/>
                <w:szCs w:val="20"/>
                <w:lang w:val="en-US"/>
              </w:rPr>
              <w:t>95</w:t>
            </w:r>
            <w:r>
              <w:rPr>
                <w:rFonts w:cs="Calibri"/>
                <w:sz w:val="20"/>
                <w:szCs w:val="20"/>
                <w:lang w:val="en-US"/>
              </w:rPr>
              <w:t xml:space="preserve"> </w:t>
            </w:r>
            <w:r w:rsidRPr="000C5857">
              <w:rPr>
                <w:rFonts w:cs="Calibri"/>
                <w:sz w:val="20"/>
                <w:szCs w:val="20"/>
                <w:lang w:val="en-US"/>
              </w:rPr>
              <w:t>516</w:t>
            </w:r>
          </w:p>
        </w:tc>
      </w:tr>
      <w:tr w:rsidR="00761B6C" w:rsidRPr="00236418" w14:paraId="6450CB6A" w14:textId="77777777" w:rsidTr="00761B6C">
        <w:trPr>
          <w:jc w:val="center"/>
        </w:trPr>
        <w:tc>
          <w:tcPr>
            <w:tcW w:w="3397" w:type="dxa"/>
          </w:tcPr>
          <w:p w14:paraId="5CB9F1CB" w14:textId="77777777" w:rsidR="00761B6C" w:rsidRPr="00236418" w:rsidRDefault="00761B6C" w:rsidP="00761B6C">
            <w:pPr>
              <w:pStyle w:val="Tabletext"/>
              <w:spacing w:before="40" w:after="40"/>
              <w:rPr>
                <w:sz w:val="20"/>
              </w:rPr>
            </w:pPr>
            <w:r w:rsidRPr="00236418">
              <w:rPr>
                <w:sz w:val="20"/>
              </w:rPr>
              <w:t>Trésorerie et équivalents de trésorerie</w:t>
            </w:r>
          </w:p>
        </w:tc>
        <w:tc>
          <w:tcPr>
            <w:tcW w:w="1560" w:type="dxa"/>
          </w:tcPr>
          <w:p w14:paraId="647DE491" w14:textId="77777777" w:rsidR="00761B6C" w:rsidRPr="000C5857" w:rsidRDefault="00761B6C" w:rsidP="00761B6C">
            <w:pPr>
              <w:pStyle w:val="Tabletext"/>
              <w:jc w:val="right"/>
              <w:rPr>
                <w:sz w:val="20"/>
                <w:szCs w:val="20"/>
                <w:highlight w:val="yellow"/>
              </w:rPr>
            </w:pPr>
          </w:p>
        </w:tc>
        <w:tc>
          <w:tcPr>
            <w:tcW w:w="1275" w:type="dxa"/>
          </w:tcPr>
          <w:p w14:paraId="4CB67720" w14:textId="77777777" w:rsidR="00761B6C" w:rsidRPr="000C5857" w:rsidRDefault="00761B6C" w:rsidP="00761B6C">
            <w:pPr>
              <w:pStyle w:val="Tabletext"/>
              <w:jc w:val="right"/>
              <w:rPr>
                <w:sz w:val="20"/>
                <w:szCs w:val="20"/>
              </w:rPr>
            </w:pPr>
            <w:r w:rsidRPr="000C5857">
              <w:rPr>
                <w:rFonts w:cs="Calibri"/>
                <w:sz w:val="20"/>
                <w:szCs w:val="20"/>
                <w:lang w:val="en-US"/>
              </w:rPr>
              <w:t>99</w:t>
            </w:r>
            <w:r>
              <w:rPr>
                <w:rFonts w:cs="Calibri"/>
                <w:sz w:val="20"/>
                <w:szCs w:val="20"/>
                <w:lang w:val="en-US"/>
              </w:rPr>
              <w:t xml:space="preserve"> </w:t>
            </w:r>
            <w:r w:rsidRPr="000C5857">
              <w:rPr>
                <w:rFonts w:cs="Calibri"/>
                <w:sz w:val="20"/>
                <w:szCs w:val="20"/>
                <w:lang w:val="en-US"/>
              </w:rPr>
              <w:t>406</w:t>
            </w:r>
          </w:p>
        </w:tc>
        <w:tc>
          <w:tcPr>
            <w:tcW w:w="1134" w:type="dxa"/>
          </w:tcPr>
          <w:p w14:paraId="0F04E869" w14:textId="77777777" w:rsidR="00761B6C" w:rsidRPr="000C5857" w:rsidRDefault="00761B6C" w:rsidP="00761B6C">
            <w:pPr>
              <w:pStyle w:val="Tabletext"/>
              <w:jc w:val="right"/>
              <w:rPr>
                <w:sz w:val="20"/>
                <w:szCs w:val="20"/>
              </w:rPr>
            </w:pPr>
            <w:r w:rsidRPr="000C5857">
              <w:rPr>
                <w:rFonts w:cs="Calibri"/>
                <w:sz w:val="20"/>
                <w:szCs w:val="20"/>
                <w:lang w:val="en-US"/>
              </w:rPr>
              <w:t>0</w:t>
            </w:r>
          </w:p>
        </w:tc>
        <w:tc>
          <w:tcPr>
            <w:tcW w:w="993" w:type="dxa"/>
          </w:tcPr>
          <w:p w14:paraId="4A54B932" w14:textId="77777777" w:rsidR="00761B6C" w:rsidRPr="000C5857" w:rsidRDefault="00761B6C" w:rsidP="00761B6C">
            <w:pPr>
              <w:pStyle w:val="Tabletext"/>
              <w:jc w:val="right"/>
              <w:rPr>
                <w:sz w:val="20"/>
                <w:szCs w:val="20"/>
              </w:rPr>
            </w:pPr>
            <w:r w:rsidRPr="000C5857">
              <w:rPr>
                <w:rFonts w:cs="Calibri"/>
                <w:sz w:val="20"/>
                <w:szCs w:val="20"/>
                <w:lang w:val="en-US"/>
              </w:rPr>
              <w:t>0</w:t>
            </w:r>
          </w:p>
        </w:tc>
        <w:tc>
          <w:tcPr>
            <w:tcW w:w="1270" w:type="dxa"/>
          </w:tcPr>
          <w:p w14:paraId="2F517DB8" w14:textId="77777777" w:rsidR="00761B6C" w:rsidRPr="000C5857" w:rsidRDefault="00761B6C" w:rsidP="00761B6C">
            <w:pPr>
              <w:pStyle w:val="Tabletext"/>
              <w:jc w:val="right"/>
              <w:rPr>
                <w:sz w:val="20"/>
                <w:szCs w:val="20"/>
              </w:rPr>
            </w:pPr>
            <w:r w:rsidRPr="000C5857">
              <w:rPr>
                <w:rFonts w:cs="Calibri"/>
                <w:sz w:val="20"/>
                <w:szCs w:val="20"/>
                <w:lang w:val="en-US"/>
              </w:rPr>
              <w:t>99</w:t>
            </w:r>
            <w:r>
              <w:rPr>
                <w:rFonts w:cs="Calibri"/>
                <w:sz w:val="20"/>
                <w:szCs w:val="20"/>
                <w:lang w:val="en-US"/>
              </w:rPr>
              <w:t xml:space="preserve"> </w:t>
            </w:r>
            <w:r w:rsidRPr="000C5857">
              <w:rPr>
                <w:rFonts w:cs="Calibri"/>
                <w:sz w:val="20"/>
                <w:szCs w:val="20"/>
                <w:lang w:val="en-US"/>
              </w:rPr>
              <w:t>406</w:t>
            </w:r>
          </w:p>
        </w:tc>
      </w:tr>
      <w:tr w:rsidR="00761B6C" w:rsidRPr="00236418" w14:paraId="3D11A398" w14:textId="77777777" w:rsidTr="00761B6C">
        <w:trPr>
          <w:jc w:val="center"/>
        </w:trPr>
        <w:tc>
          <w:tcPr>
            <w:tcW w:w="3397" w:type="dxa"/>
          </w:tcPr>
          <w:p w14:paraId="0A989DF8" w14:textId="77777777" w:rsidR="00761B6C" w:rsidRPr="00236418" w:rsidRDefault="00761B6C" w:rsidP="00761B6C">
            <w:pPr>
              <w:pStyle w:val="Tabletext"/>
              <w:spacing w:before="40" w:after="40"/>
              <w:rPr>
                <w:b/>
                <w:bCs/>
                <w:sz w:val="20"/>
              </w:rPr>
            </w:pPr>
            <w:r w:rsidRPr="00236418">
              <w:rPr>
                <w:b/>
                <w:bCs/>
                <w:sz w:val="20"/>
              </w:rPr>
              <w:t>Total des actifs financiers</w:t>
            </w:r>
          </w:p>
        </w:tc>
        <w:tc>
          <w:tcPr>
            <w:tcW w:w="1560" w:type="dxa"/>
          </w:tcPr>
          <w:p w14:paraId="1BF0DB42" w14:textId="77777777" w:rsidR="00761B6C" w:rsidRPr="000C5857" w:rsidRDefault="00761B6C" w:rsidP="00761B6C">
            <w:pPr>
              <w:pStyle w:val="Tabletext"/>
              <w:jc w:val="right"/>
              <w:rPr>
                <w:sz w:val="20"/>
                <w:szCs w:val="20"/>
                <w:highlight w:val="yellow"/>
              </w:rPr>
            </w:pPr>
          </w:p>
        </w:tc>
        <w:tc>
          <w:tcPr>
            <w:tcW w:w="1275" w:type="dxa"/>
          </w:tcPr>
          <w:p w14:paraId="0218343E" w14:textId="77777777" w:rsidR="00761B6C" w:rsidRPr="000C5857" w:rsidRDefault="00761B6C" w:rsidP="00761B6C">
            <w:pPr>
              <w:pStyle w:val="Tabletext"/>
              <w:jc w:val="right"/>
              <w:rPr>
                <w:sz w:val="20"/>
                <w:szCs w:val="20"/>
              </w:rPr>
            </w:pPr>
            <w:r w:rsidRPr="000C5857">
              <w:rPr>
                <w:rFonts w:cs="Calibri"/>
                <w:sz w:val="20"/>
                <w:szCs w:val="20"/>
                <w:lang w:val="en-US"/>
              </w:rPr>
              <w:t>194</w:t>
            </w:r>
            <w:r>
              <w:rPr>
                <w:rFonts w:cs="Calibri"/>
                <w:sz w:val="20"/>
                <w:szCs w:val="20"/>
                <w:lang w:val="en-US"/>
              </w:rPr>
              <w:t xml:space="preserve"> </w:t>
            </w:r>
            <w:r w:rsidRPr="000C5857">
              <w:rPr>
                <w:rFonts w:cs="Calibri"/>
                <w:sz w:val="20"/>
                <w:szCs w:val="20"/>
                <w:lang w:val="en-US"/>
              </w:rPr>
              <w:t>922</w:t>
            </w:r>
          </w:p>
        </w:tc>
        <w:tc>
          <w:tcPr>
            <w:tcW w:w="1134" w:type="dxa"/>
          </w:tcPr>
          <w:p w14:paraId="7598EA03" w14:textId="77777777" w:rsidR="00761B6C" w:rsidRPr="000C5857" w:rsidRDefault="00761B6C" w:rsidP="00761B6C">
            <w:pPr>
              <w:pStyle w:val="Tabletext"/>
              <w:jc w:val="right"/>
              <w:rPr>
                <w:sz w:val="20"/>
                <w:szCs w:val="20"/>
              </w:rPr>
            </w:pPr>
            <w:r w:rsidRPr="000C5857">
              <w:rPr>
                <w:rFonts w:cs="Calibri"/>
                <w:sz w:val="20"/>
                <w:szCs w:val="20"/>
                <w:lang w:val="en-US"/>
              </w:rPr>
              <w:t>0</w:t>
            </w:r>
          </w:p>
        </w:tc>
        <w:tc>
          <w:tcPr>
            <w:tcW w:w="993" w:type="dxa"/>
          </w:tcPr>
          <w:p w14:paraId="06567DD7" w14:textId="77777777" w:rsidR="00761B6C" w:rsidRPr="000C5857" w:rsidRDefault="00761B6C" w:rsidP="00761B6C">
            <w:pPr>
              <w:pStyle w:val="Tabletext"/>
              <w:jc w:val="right"/>
              <w:rPr>
                <w:sz w:val="20"/>
                <w:szCs w:val="20"/>
              </w:rPr>
            </w:pPr>
            <w:r w:rsidRPr="000C5857">
              <w:rPr>
                <w:rFonts w:cs="Calibri"/>
                <w:sz w:val="20"/>
                <w:szCs w:val="20"/>
                <w:lang w:val="en-US"/>
              </w:rPr>
              <w:t>0</w:t>
            </w:r>
          </w:p>
        </w:tc>
        <w:tc>
          <w:tcPr>
            <w:tcW w:w="1270" w:type="dxa"/>
          </w:tcPr>
          <w:p w14:paraId="3F26582E" w14:textId="77777777" w:rsidR="00761B6C" w:rsidRPr="000C5857" w:rsidRDefault="00761B6C" w:rsidP="00761B6C">
            <w:pPr>
              <w:pStyle w:val="Tabletext"/>
              <w:jc w:val="right"/>
              <w:rPr>
                <w:sz w:val="20"/>
                <w:szCs w:val="20"/>
              </w:rPr>
            </w:pPr>
            <w:r w:rsidRPr="000C5857">
              <w:rPr>
                <w:rFonts w:cs="Calibri"/>
                <w:sz w:val="20"/>
                <w:szCs w:val="20"/>
                <w:lang w:val="en-US"/>
              </w:rPr>
              <w:t>194</w:t>
            </w:r>
            <w:r>
              <w:rPr>
                <w:rFonts w:cs="Calibri"/>
                <w:sz w:val="20"/>
                <w:szCs w:val="20"/>
                <w:lang w:val="en-US"/>
              </w:rPr>
              <w:t xml:space="preserve"> </w:t>
            </w:r>
            <w:r w:rsidRPr="000C5857">
              <w:rPr>
                <w:rFonts w:cs="Calibri"/>
                <w:sz w:val="20"/>
                <w:szCs w:val="20"/>
                <w:lang w:val="en-US"/>
              </w:rPr>
              <w:t>922</w:t>
            </w:r>
          </w:p>
        </w:tc>
      </w:tr>
      <w:tr w:rsidR="00761B6C" w:rsidRPr="00236418" w14:paraId="00BBC46E" w14:textId="77777777" w:rsidTr="00761B6C">
        <w:trPr>
          <w:jc w:val="center"/>
        </w:trPr>
        <w:tc>
          <w:tcPr>
            <w:tcW w:w="3397" w:type="dxa"/>
          </w:tcPr>
          <w:p w14:paraId="68BDD19D" w14:textId="77777777" w:rsidR="00761B6C" w:rsidRPr="00236418" w:rsidRDefault="00761B6C" w:rsidP="00761B6C">
            <w:pPr>
              <w:pStyle w:val="Tabletext"/>
              <w:spacing w:before="40" w:after="40"/>
              <w:rPr>
                <w:b/>
                <w:bCs/>
                <w:sz w:val="20"/>
              </w:rPr>
            </w:pPr>
            <w:r w:rsidRPr="00236418">
              <w:rPr>
                <w:b/>
                <w:bCs/>
                <w:sz w:val="20"/>
              </w:rPr>
              <w:t>Passifs financiers</w:t>
            </w:r>
          </w:p>
        </w:tc>
        <w:tc>
          <w:tcPr>
            <w:tcW w:w="1560" w:type="dxa"/>
          </w:tcPr>
          <w:p w14:paraId="551F543E" w14:textId="77777777" w:rsidR="00761B6C" w:rsidRPr="000C5857" w:rsidRDefault="00761B6C" w:rsidP="00761B6C">
            <w:pPr>
              <w:pStyle w:val="Tabletext"/>
              <w:jc w:val="right"/>
              <w:rPr>
                <w:sz w:val="20"/>
                <w:szCs w:val="20"/>
                <w:highlight w:val="yellow"/>
              </w:rPr>
            </w:pPr>
          </w:p>
        </w:tc>
        <w:tc>
          <w:tcPr>
            <w:tcW w:w="1275" w:type="dxa"/>
          </w:tcPr>
          <w:p w14:paraId="2DEFB10E" w14:textId="77777777" w:rsidR="00761B6C" w:rsidRPr="000C5857" w:rsidRDefault="00761B6C" w:rsidP="00761B6C">
            <w:pPr>
              <w:pStyle w:val="Tabletext"/>
              <w:jc w:val="right"/>
              <w:rPr>
                <w:sz w:val="20"/>
                <w:szCs w:val="20"/>
              </w:rPr>
            </w:pPr>
          </w:p>
        </w:tc>
        <w:tc>
          <w:tcPr>
            <w:tcW w:w="1134" w:type="dxa"/>
          </w:tcPr>
          <w:p w14:paraId="5F683A74" w14:textId="77777777" w:rsidR="00761B6C" w:rsidRPr="000C5857" w:rsidRDefault="00761B6C" w:rsidP="00761B6C">
            <w:pPr>
              <w:pStyle w:val="Tabletext"/>
              <w:jc w:val="right"/>
              <w:rPr>
                <w:sz w:val="20"/>
                <w:szCs w:val="20"/>
              </w:rPr>
            </w:pPr>
          </w:p>
        </w:tc>
        <w:tc>
          <w:tcPr>
            <w:tcW w:w="993" w:type="dxa"/>
          </w:tcPr>
          <w:p w14:paraId="3C976236" w14:textId="77777777" w:rsidR="00761B6C" w:rsidRPr="000C5857" w:rsidRDefault="00761B6C" w:rsidP="00761B6C">
            <w:pPr>
              <w:pStyle w:val="Tabletext"/>
              <w:jc w:val="right"/>
              <w:rPr>
                <w:sz w:val="20"/>
                <w:szCs w:val="20"/>
              </w:rPr>
            </w:pPr>
          </w:p>
        </w:tc>
        <w:tc>
          <w:tcPr>
            <w:tcW w:w="1270" w:type="dxa"/>
          </w:tcPr>
          <w:p w14:paraId="169F84F1" w14:textId="77777777" w:rsidR="00761B6C" w:rsidRPr="000C5857" w:rsidRDefault="00761B6C" w:rsidP="00761B6C">
            <w:pPr>
              <w:pStyle w:val="Tabletext"/>
              <w:jc w:val="right"/>
              <w:rPr>
                <w:sz w:val="20"/>
                <w:szCs w:val="20"/>
              </w:rPr>
            </w:pPr>
          </w:p>
        </w:tc>
      </w:tr>
      <w:tr w:rsidR="00761B6C" w:rsidRPr="00236418" w14:paraId="1B47D00E" w14:textId="77777777" w:rsidTr="00761B6C">
        <w:trPr>
          <w:jc w:val="center"/>
        </w:trPr>
        <w:tc>
          <w:tcPr>
            <w:tcW w:w="3397" w:type="dxa"/>
          </w:tcPr>
          <w:p w14:paraId="3E6B7040" w14:textId="77777777" w:rsidR="00761B6C" w:rsidRPr="00236418" w:rsidRDefault="00761B6C" w:rsidP="00761B6C">
            <w:pPr>
              <w:pStyle w:val="Tabletext"/>
              <w:spacing w:before="40" w:after="40"/>
              <w:rPr>
                <w:sz w:val="20"/>
              </w:rPr>
            </w:pPr>
            <w:r w:rsidRPr="00236418">
              <w:rPr>
                <w:sz w:val="20"/>
              </w:rPr>
              <w:t>Emprunts</w:t>
            </w:r>
          </w:p>
        </w:tc>
        <w:tc>
          <w:tcPr>
            <w:tcW w:w="1560" w:type="dxa"/>
          </w:tcPr>
          <w:p w14:paraId="3ABE1B3F" w14:textId="77777777" w:rsidR="00761B6C" w:rsidRPr="000C5857" w:rsidRDefault="00761B6C" w:rsidP="00761B6C">
            <w:pPr>
              <w:pStyle w:val="Tabletext"/>
              <w:jc w:val="right"/>
              <w:rPr>
                <w:sz w:val="20"/>
                <w:szCs w:val="20"/>
                <w:highlight w:val="yellow"/>
              </w:rPr>
            </w:pPr>
            <w:r w:rsidRPr="000C5857">
              <w:rPr>
                <w:sz w:val="20"/>
                <w:szCs w:val="20"/>
              </w:rPr>
              <w:t>0%</w:t>
            </w:r>
          </w:p>
        </w:tc>
        <w:tc>
          <w:tcPr>
            <w:tcW w:w="1275" w:type="dxa"/>
          </w:tcPr>
          <w:p w14:paraId="2A281695" w14:textId="77777777" w:rsidR="00761B6C" w:rsidRPr="000C5857" w:rsidRDefault="00761B6C" w:rsidP="00761B6C">
            <w:pPr>
              <w:pStyle w:val="Tabletext"/>
              <w:jc w:val="right"/>
              <w:rPr>
                <w:sz w:val="20"/>
                <w:szCs w:val="20"/>
              </w:rPr>
            </w:pPr>
            <w:r w:rsidRPr="000C5857">
              <w:rPr>
                <w:rFonts w:cs="Calibri"/>
                <w:sz w:val="20"/>
                <w:szCs w:val="20"/>
                <w:lang w:val="en-US"/>
              </w:rPr>
              <w:t>1</w:t>
            </w:r>
            <w:r>
              <w:rPr>
                <w:rFonts w:cs="Calibri"/>
                <w:sz w:val="20"/>
                <w:szCs w:val="20"/>
                <w:lang w:val="en-US"/>
              </w:rPr>
              <w:t xml:space="preserve"> </w:t>
            </w:r>
            <w:r w:rsidRPr="000C5857">
              <w:rPr>
                <w:rFonts w:cs="Calibri"/>
                <w:sz w:val="20"/>
                <w:szCs w:val="20"/>
                <w:lang w:val="en-US"/>
              </w:rPr>
              <w:t>391</w:t>
            </w:r>
          </w:p>
        </w:tc>
        <w:tc>
          <w:tcPr>
            <w:tcW w:w="1134" w:type="dxa"/>
          </w:tcPr>
          <w:p w14:paraId="5EF70BAC" w14:textId="77777777" w:rsidR="00761B6C" w:rsidRPr="000C5857" w:rsidRDefault="00761B6C" w:rsidP="00761B6C">
            <w:pPr>
              <w:pStyle w:val="Tabletext"/>
              <w:jc w:val="right"/>
              <w:rPr>
                <w:sz w:val="20"/>
                <w:szCs w:val="20"/>
              </w:rPr>
            </w:pPr>
            <w:r w:rsidRPr="000C5857">
              <w:rPr>
                <w:rFonts w:cs="Calibri"/>
                <w:sz w:val="20"/>
                <w:szCs w:val="20"/>
                <w:lang w:val="en-US"/>
              </w:rPr>
              <w:t>13</w:t>
            </w:r>
            <w:r>
              <w:rPr>
                <w:rFonts w:cs="Calibri"/>
                <w:sz w:val="20"/>
                <w:szCs w:val="20"/>
                <w:lang w:val="en-US"/>
              </w:rPr>
              <w:t xml:space="preserve"> </w:t>
            </w:r>
            <w:r w:rsidRPr="000C5857">
              <w:rPr>
                <w:rFonts w:cs="Calibri"/>
                <w:sz w:val="20"/>
                <w:szCs w:val="20"/>
                <w:lang w:val="en-US"/>
              </w:rPr>
              <w:t>910</w:t>
            </w:r>
          </w:p>
        </w:tc>
        <w:tc>
          <w:tcPr>
            <w:tcW w:w="993" w:type="dxa"/>
          </w:tcPr>
          <w:p w14:paraId="4687B281" w14:textId="77777777" w:rsidR="00761B6C" w:rsidRPr="000C5857" w:rsidRDefault="00761B6C" w:rsidP="00761B6C">
            <w:pPr>
              <w:pStyle w:val="Tabletext"/>
              <w:jc w:val="right"/>
              <w:rPr>
                <w:sz w:val="20"/>
                <w:szCs w:val="20"/>
              </w:rPr>
            </w:pPr>
            <w:r w:rsidRPr="000C5857">
              <w:rPr>
                <w:rFonts w:cs="Calibri"/>
                <w:sz w:val="20"/>
                <w:szCs w:val="20"/>
                <w:lang w:val="en-US"/>
              </w:rPr>
              <w:t>31</w:t>
            </w:r>
            <w:r>
              <w:rPr>
                <w:rFonts w:cs="Calibri"/>
                <w:sz w:val="20"/>
                <w:szCs w:val="20"/>
                <w:lang w:val="en-US"/>
              </w:rPr>
              <w:t xml:space="preserve"> </w:t>
            </w:r>
            <w:r w:rsidRPr="000C5857">
              <w:rPr>
                <w:rFonts w:cs="Calibri"/>
                <w:sz w:val="20"/>
                <w:szCs w:val="20"/>
                <w:lang w:val="en-US"/>
              </w:rPr>
              <w:t>809</w:t>
            </w:r>
          </w:p>
        </w:tc>
        <w:tc>
          <w:tcPr>
            <w:tcW w:w="1270" w:type="dxa"/>
          </w:tcPr>
          <w:p w14:paraId="5ED7E3B7" w14:textId="77777777" w:rsidR="00761B6C" w:rsidRPr="000C5857" w:rsidRDefault="00761B6C" w:rsidP="00761B6C">
            <w:pPr>
              <w:pStyle w:val="Tabletext"/>
              <w:jc w:val="right"/>
              <w:rPr>
                <w:sz w:val="20"/>
                <w:szCs w:val="20"/>
              </w:rPr>
            </w:pPr>
            <w:r w:rsidRPr="000C5857">
              <w:rPr>
                <w:rFonts w:cs="Calibri"/>
                <w:sz w:val="20"/>
                <w:szCs w:val="20"/>
                <w:lang w:val="en-US"/>
              </w:rPr>
              <w:t>47</w:t>
            </w:r>
            <w:r>
              <w:rPr>
                <w:rFonts w:cs="Calibri"/>
                <w:sz w:val="20"/>
                <w:szCs w:val="20"/>
                <w:lang w:val="en-US"/>
              </w:rPr>
              <w:t xml:space="preserve"> </w:t>
            </w:r>
            <w:r w:rsidRPr="000C5857">
              <w:rPr>
                <w:rFonts w:cs="Calibri"/>
                <w:sz w:val="20"/>
                <w:szCs w:val="20"/>
                <w:lang w:val="en-US"/>
              </w:rPr>
              <w:t>110</w:t>
            </w:r>
          </w:p>
        </w:tc>
      </w:tr>
      <w:tr w:rsidR="00761B6C" w:rsidRPr="00236418" w14:paraId="528DE1E9" w14:textId="77777777" w:rsidTr="00761B6C">
        <w:trPr>
          <w:jc w:val="center"/>
        </w:trPr>
        <w:tc>
          <w:tcPr>
            <w:tcW w:w="3397" w:type="dxa"/>
          </w:tcPr>
          <w:p w14:paraId="2D056422" w14:textId="77777777" w:rsidR="00761B6C" w:rsidRPr="00236418" w:rsidRDefault="00761B6C" w:rsidP="00761B6C">
            <w:pPr>
              <w:pStyle w:val="Tabletext"/>
              <w:spacing w:before="40" w:after="40"/>
              <w:rPr>
                <w:b/>
                <w:bCs/>
                <w:sz w:val="20"/>
              </w:rPr>
            </w:pPr>
            <w:r w:rsidRPr="00236418">
              <w:rPr>
                <w:b/>
                <w:bCs/>
                <w:sz w:val="20"/>
              </w:rPr>
              <w:t>Total des passifs financiers</w:t>
            </w:r>
          </w:p>
        </w:tc>
        <w:tc>
          <w:tcPr>
            <w:tcW w:w="1560" w:type="dxa"/>
          </w:tcPr>
          <w:p w14:paraId="42DF24EC" w14:textId="77777777" w:rsidR="00761B6C" w:rsidRPr="000C5857" w:rsidRDefault="00761B6C" w:rsidP="00761B6C">
            <w:pPr>
              <w:pStyle w:val="Tabletext"/>
              <w:jc w:val="right"/>
              <w:rPr>
                <w:sz w:val="20"/>
                <w:szCs w:val="20"/>
              </w:rPr>
            </w:pPr>
          </w:p>
        </w:tc>
        <w:tc>
          <w:tcPr>
            <w:tcW w:w="1275" w:type="dxa"/>
          </w:tcPr>
          <w:p w14:paraId="059850E6" w14:textId="77777777" w:rsidR="00761B6C" w:rsidRPr="000C5857" w:rsidRDefault="00761B6C" w:rsidP="00761B6C">
            <w:pPr>
              <w:pStyle w:val="Tabletext"/>
              <w:jc w:val="right"/>
              <w:rPr>
                <w:sz w:val="20"/>
                <w:szCs w:val="20"/>
              </w:rPr>
            </w:pPr>
            <w:r w:rsidRPr="000C5857">
              <w:rPr>
                <w:rFonts w:cs="Calibri"/>
                <w:sz w:val="20"/>
                <w:szCs w:val="20"/>
                <w:lang w:val="en-US"/>
              </w:rPr>
              <w:t>1</w:t>
            </w:r>
            <w:r>
              <w:rPr>
                <w:rFonts w:cs="Calibri"/>
                <w:sz w:val="20"/>
                <w:szCs w:val="20"/>
                <w:lang w:val="en-US"/>
              </w:rPr>
              <w:t xml:space="preserve"> </w:t>
            </w:r>
            <w:r w:rsidRPr="000C5857">
              <w:rPr>
                <w:rFonts w:cs="Calibri"/>
                <w:sz w:val="20"/>
                <w:szCs w:val="20"/>
                <w:lang w:val="en-US"/>
              </w:rPr>
              <w:t>391</w:t>
            </w:r>
          </w:p>
        </w:tc>
        <w:tc>
          <w:tcPr>
            <w:tcW w:w="1134" w:type="dxa"/>
          </w:tcPr>
          <w:p w14:paraId="3F642EE4" w14:textId="77777777" w:rsidR="00761B6C" w:rsidRPr="000C5857" w:rsidRDefault="00761B6C" w:rsidP="00761B6C">
            <w:pPr>
              <w:pStyle w:val="Tabletext"/>
              <w:jc w:val="right"/>
              <w:rPr>
                <w:sz w:val="20"/>
                <w:szCs w:val="20"/>
              </w:rPr>
            </w:pPr>
            <w:r w:rsidRPr="000C5857">
              <w:rPr>
                <w:rFonts w:cs="Calibri"/>
                <w:sz w:val="20"/>
                <w:szCs w:val="20"/>
                <w:lang w:val="en-US"/>
              </w:rPr>
              <w:t>13</w:t>
            </w:r>
            <w:r>
              <w:rPr>
                <w:rFonts w:cs="Calibri"/>
                <w:sz w:val="20"/>
                <w:szCs w:val="20"/>
                <w:lang w:val="en-US"/>
              </w:rPr>
              <w:t xml:space="preserve"> </w:t>
            </w:r>
            <w:r w:rsidRPr="000C5857">
              <w:rPr>
                <w:rFonts w:cs="Calibri"/>
                <w:sz w:val="20"/>
                <w:szCs w:val="20"/>
                <w:lang w:val="en-US"/>
              </w:rPr>
              <w:t>910</w:t>
            </w:r>
          </w:p>
        </w:tc>
        <w:tc>
          <w:tcPr>
            <w:tcW w:w="993" w:type="dxa"/>
          </w:tcPr>
          <w:p w14:paraId="0167C888" w14:textId="77777777" w:rsidR="00761B6C" w:rsidRPr="000C5857" w:rsidRDefault="00761B6C" w:rsidP="00761B6C">
            <w:pPr>
              <w:pStyle w:val="Tabletext"/>
              <w:jc w:val="right"/>
              <w:rPr>
                <w:sz w:val="20"/>
                <w:szCs w:val="20"/>
              </w:rPr>
            </w:pPr>
            <w:r w:rsidRPr="000C5857">
              <w:rPr>
                <w:rFonts w:cs="Calibri"/>
                <w:sz w:val="20"/>
                <w:szCs w:val="20"/>
                <w:lang w:val="en-US"/>
              </w:rPr>
              <w:t>31</w:t>
            </w:r>
            <w:r>
              <w:rPr>
                <w:rFonts w:cs="Calibri"/>
                <w:sz w:val="20"/>
                <w:szCs w:val="20"/>
                <w:lang w:val="en-US"/>
              </w:rPr>
              <w:t xml:space="preserve"> </w:t>
            </w:r>
            <w:r w:rsidRPr="000C5857">
              <w:rPr>
                <w:rFonts w:cs="Calibri"/>
                <w:sz w:val="20"/>
                <w:szCs w:val="20"/>
                <w:lang w:val="en-US"/>
              </w:rPr>
              <w:t>809</w:t>
            </w:r>
          </w:p>
        </w:tc>
        <w:tc>
          <w:tcPr>
            <w:tcW w:w="1270" w:type="dxa"/>
          </w:tcPr>
          <w:p w14:paraId="0584CBDF" w14:textId="77777777" w:rsidR="00761B6C" w:rsidRPr="000C5857" w:rsidRDefault="00761B6C" w:rsidP="00761B6C">
            <w:pPr>
              <w:pStyle w:val="Tabletext"/>
              <w:jc w:val="right"/>
              <w:rPr>
                <w:sz w:val="20"/>
                <w:szCs w:val="20"/>
              </w:rPr>
            </w:pPr>
            <w:r w:rsidRPr="000C5857">
              <w:rPr>
                <w:rFonts w:cs="Calibri"/>
                <w:sz w:val="20"/>
                <w:szCs w:val="20"/>
                <w:lang w:val="en-US"/>
              </w:rPr>
              <w:t>47</w:t>
            </w:r>
            <w:r>
              <w:rPr>
                <w:rFonts w:cs="Calibri"/>
                <w:sz w:val="20"/>
                <w:szCs w:val="20"/>
                <w:lang w:val="en-US"/>
              </w:rPr>
              <w:t xml:space="preserve"> </w:t>
            </w:r>
            <w:r w:rsidRPr="000C5857">
              <w:rPr>
                <w:rFonts w:cs="Calibri"/>
                <w:sz w:val="20"/>
                <w:szCs w:val="20"/>
                <w:lang w:val="en-US"/>
              </w:rPr>
              <w:t>110</w:t>
            </w:r>
          </w:p>
        </w:tc>
      </w:tr>
    </w:tbl>
    <w:p w14:paraId="282079F3" w14:textId="77777777" w:rsidR="00761B6C" w:rsidRPr="00236418" w:rsidRDefault="00761B6C" w:rsidP="00761B6C">
      <w:pPr>
        <w:pStyle w:val="Heading1"/>
        <w:rPr>
          <w:sz w:val="24"/>
          <w:szCs w:val="24"/>
        </w:rPr>
      </w:pPr>
      <w:bookmarkStart w:id="1449" w:name="_Toc329178778"/>
      <w:bookmarkStart w:id="1450" w:name="_Toc329181751"/>
      <w:bookmarkStart w:id="1451" w:name="_Toc329202572"/>
      <w:bookmarkStart w:id="1452" w:name="_Toc329205004"/>
      <w:bookmarkStart w:id="1453" w:name="_Toc329206841"/>
      <w:bookmarkStart w:id="1454" w:name="_Toc358379927"/>
      <w:bookmarkStart w:id="1455" w:name="_Toc358380467"/>
      <w:bookmarkStart w:id="1456" w:name="_Toc452139836"/>
      <w:bookmarkStart w:id="1457" w:name="_Toc452140709"/>
      <w:bookmarkStart w:id="1458" w:name="_Toc482801499"/>
      <w:bookmarkStart w:id="1459" w:name="_Toc511649471"/>
      <w:bookmarkStart w:id="1460" w:name="_Toc511649841"/>
      <w:bookmarkStart w:id="1461" w:name="_Toc511649957"/>
      <w:bookmarkStart w:id="1462" w:name="_Toc511651214"/>
      <w:bookmarkStart w:id="1463" w:name="_Toc511724079"/>
      <w:bookmarkStart w:id="1464" w:name="_Toc511739068"/>
      <w:bookmarkStart w:id="1465" w:name="_Toc511741237"/>
      <w:bookmarkStart w:id="1466" w:name="_Toc10450743"/>
      <w:bookmarkStart w:id="1467" w:name="_Toc41566343"/>
      <w:bookmarkStart w:id="1468" w:name="_Toc41567351"/>
      <w:bookmarkStart w:id="1469" w:name="_Toc41567854"/>
      <w:bookmarkStart w:id="1470" w:name="_Toc41814949"/>
      <w:bookmarkStart w:id="1471" w:name="_Toc73354438"/>
      <w:bookmarkStart w:id="1472" w:name="_Toc73356414"/>
      <w:bookmarkStart w:id="1473" w:name="_Toc268007536"/>
      <w:r w:rsidRPr="00236418">
        <w:rPr>
          <w:sz w:val="24"/>
          <w:szCs w:val="24"/>
        </w:rPr>
        <w:t>Note 5</w:t>
      </w:r>
      <w:r w:rsidRPr="00236418">
        <w:rPr>
          <w:sz w:val="24"/>
          <w:szCs w:val="24"/>
        </w:rPr>
        <w:tab/>
        <w:t>Jugement et estimations comptables</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14:paraId="00F332C0" w14:textId="77777777" w:rsidR="00761B6C" w:rsidRPr="00236418" w:rsidRDefault="00761B6C" w:rsidP="00761B6C">
      <w:pPr>
        <w:keepNext/>
        <w:keepLines/>
      </w:pPr>
      <w:r w:rsidRPr="00236418">
        <w:t>La préparation des États financiers selon les normes IPSAS implique le recours à des estimations et/ou à des hypothèses ayant une influence, d</w:t>
      </w:r>
      <w:r>
        <w:t>'</w:t>
      </w:r>
      <w:r w:rsidRPr="00236418">
        <w:t>une part, sur les montants des actifs et des passifs présentés, sur la présentation des actifs et engagements conditionnels à la date du bilan et, d</w:t>
      </w:r>
      <w:r>
        <w:t>'</w:t>
      </w:r>
      <w:r w:rsidRPr="00236418">
        <w:t>autre part, sur le montant des produits et des charges de la période comptable. Bien que les estimations soient fondées sur l</w:t>
      </w:r>
      <w:r>
        <w:t>'</w:t>
      </w:r>
      <w:r w:rsidRPr="00236418">
        <w:t>expérience passée ainsi que sur divers autres facteurs jugés raisonnables au regard des circonstances, les résultats effectivement obtenus peuvent différer de ceux prévus lorsque ces estimations ont été établies.</w:t>
      </w:r>
    </w:p>
    <w:p w14:paraId="6FE86323" w14:textId="77777777" w:rsidR="0019278D" w:rsidRDefault="0019278D" w:rsidP="00761B6C">
      <w:r>
        <w:br w:type="page"/>
      </w:r>
    </w:p>
    <w:p w14:paraId="0CEEB091" w14:textId="44D30EB7" w:rsidR="00761B6C" w:rsidRPr="00236418" w:rsidRDefault="00761B6C" w:rsidP="00761B6C">
      <w:r w:rsidRPr="00236418">
        <w:lastRenderedPageBreak/>
        <w:t>Les domaines impliquant un haut degré de jugement et de complexité ou ceux dont les hypothèses et estimations ont un impact significatif sur l</w:t>
      </w:r>
      <w:r>
        <w:t>'</w:t>
      </w:r>
      <w:r w:rsidRPr="00236418">
        <w:t>établissement des États financiers sont:</w:t>
      </w:r>
    </w:p>
    <w:p w14:paraId="3BF862B9" w14:textId="77777777" w:rsidR="00761B6C" w:rsidRPr="00236418" w:rsidRDefault="00761B6C" w:rsidP="00761B6C">
      <w:pPr>
        <w:pStyle w:val="enumlev1"/>
      </w:pPr>
      <w:r w:rsidRPr="00236418">
        <w:t>•</w:t>
      </w:r>
      <w:r w:rsidRPr="00236418">
        <w:tab/>
        <w:t>Les avantages postérieurs à l</w:t>
      </w:r>
      <w:r>
        <w:t>'</w:t>
      </w:r>
      <w:r w:rsidRPr="00236418">
        <w:t>emploi, notamment concernant le plan ASHI.</w:t>
      </w:r>
    </w:p>
    <w:p w14:paraId="42F03374" w14:textId="77777777" w:rsidR="00761B6C" w:rsidRPr="00236418" w:rsidRDefault="00761B6C" w:rsidP="00761B6C">
      <w:pPr>
        <w:pStyle w:val="enumlev1"/>
      </w:pPr>
      <w:r w:rsidRPr="00236418">
        <w:t>•</w:t>
      </w:r>
      <w:r w:rsidRPr="00236418">
        <w:tab/>
        <w:t>Les durées d</w:t>
      </w:r>
      <w:r>
        <w:t>'</w:t>
      </w:r>
      <w:r w:rsidRPr="00236418">
        <w:t>utilité des immobilisations et leur perte éventuelle de valeur.</w:t>
      </w:r>
    </w:p>
    <w:p w14:paraId="13F2BC04" w14:textId="77777777" w:rsidR="00761B6C" w:rsidRPr="00236418" w:rsidRDefault="00761B6C" w:rsidP="00761B6C">
      <w:pPr>
        <w:pStyle w:val="enumlev1"/>
      </w:pPr>
      <w:r w:rsidRPr="00236418">
        <w:t>•</w:t>
      </w:r>
      <w:r w:rsidRPr="00236418">
        <w:tab/>
        <w:t>Les provisions sur les créances.</w:t>
      </w:r>
    </w:p>
    <w:p w14:paraId="622394E2" w14:textId="77777777" w:rsidR="00761B6C" w:rsidRPr="00236418" w:rsidRDefault="00761B6C" w:rsidP="00761B6C">
      <w:pPr>
        <w:pStyle w:val="enumlev1"/>
      </w:pPr>
      <w:r w:rsidRPr="00236418">
        <w:t>•</w:t>
      </w:r>
      <w:r w:rsidRPr="00236418">
        <w:tab/>
        <w:t>Les probabilités de vente des publications en stock.</w:t>
      </w:r>
    </w:p>
    <w:p w14:paraId="0A137B1F" w14:textId="77777777" w:rsidR="00761B6C" w:rsidRPr="00236418" w:rsidRDefault="00761B6C" w:rsidP="00761B6C">
      <w:pPr>
        <w:pStyle w:val="enumlev1"/>
      </w:pPr>
      <w:r w:rsidRPr="00236418">
        <w:t>•</w:t>
      </w:r>
      <w:r w:rsidRPr="00236418">
        <w:tab/>
        <w:t>Les produits différés des fiches de notifications des réseaux à satellite.</w:t>
      </w:r>
    </w:p>
    <w:p w14:paraId="2866FFA6" w14:textId="77777777" w:rsidR="00761B6C" w:rsidRPr="00236418" w:rsidRDefault="00761B6C" w:rsidP="00144C9E">
      <w:pPr>
        <w:pStyle w:val="Heading1"/>
        <w:spacing w:before="240" w:after="120"/>
        <w:rPr>
          <w:sz w:val="24"/>
          <w:szCs w:val="24"/>
        </w:rPr>
      </w:pPr>
      <w:bookmarkStart w:id="1474" w:name="_Toc269839081"/>
      <w:bookmarkStart w:id="1475" w:name="_Toc268007537"/>
      <w:bookmarkStart w:id="1476" w:name="_Toc329178779"/>
      <w:bookmarkStart w:id="1477" w:name="_Toc329181752"/>
      <w:bookmarkStart w:id="1478" w:name="_Toc329202573"/>
      <w:bookmarkStart w:id="1479" w:name="_Toc329205005"/>
      <w:bookmarkStart w:id="1480" w:name="_Toc329206842"/>
      <w:bookmarkStart w:id="1481" w:name="_Toc358379928"/>
      <w:bookmarkStart w:id="1482" w:name="_Toc358380468"/>
      <w:bookmarkStart w:id="1483" w:name="_Toc387166649"/>
      <w:bookmarkStart w:id="1484" w:name="_Toc395260934"/>
      <w:bookmarkStart w:id="1485" w:name="_Toc395511713"/>
      <w:bookmarkStart w:id="1486" w:name="_Toc452138623"/>
      <w:bookmarkStart w:id="1487" w:name="_Toc452139072"/>
      <w:bookmarkStart w:id="1488" w:name="_Toc452139436"/>
      <w:bookmarkStart w:id="1489" w:name="_Toc452139837"/>
      <w:bookmarkStart w:id="1490" w:name="_Toc452140710"/>
      <w:bookmarkStart w:id="1491" w:name="_Toc482801500"/>
      <w:bookmarkStart w:id="1492" w:name="_Toc511649472"/>
      <w:bookmarkStart w:id="1493" w:name="_Toc511649842"/>
      <w:bookmarkStart w:id="1494" w:name="_Toc511649958"/>
      <w:bookmarkStart w:id="1495" w:name="_Toc511651215"/>
      <w:bookmarkStart w:id="1496" w:name="_Toc511724080"/>
      <w:bookmarkStart w:id="1497" w:name="_Toc511739069"/>
      <w:bookmarkStart w:id="1498" w:name="_Toc511741238"/>
      <w:bookmarkStart w:id="1499" w:name="_Toc10450744"/>
      <w:bookmarkStart w:id="1500" w:name="_Toc41566344"/>
      <w:bookmarkStart w:id="1501" w:name="_Toc41567352"/>
      <w:bookmarkStart w:id="1502" w:name="_Toc41567855"/>
      <w:bookmarkStart w:id="1503" w:name="_Toc41814950"/>
      <w:bookmarkStart w:id="1504" w:name="_Toc73354439"/>
      <w:bookmarkStart w:id="1505" w:name="_Toc73356415"/>
      <w:bookmarkEnd w:id="1473"/>
      <w:r w:rsidRPr="00236418">
        <w:rPr>
          <w:sz w:val="24"/>
          <w:szCs w:val="24"/>
        </w:rPr>
        <w:t>Note 6</w:t>
      </w:r>
      <w:r w:rsidRPr="00236418">
        <w:rPr>
          <w:sz w:val="24"/>
          <w:szCs w:val="24"/>
        </w:rPr>
        <w:tab/>
        <w:t>Trésorerie et équivalents de trésorerie</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tbl>
      <w:tblPr>
        <w:tblW w:w="9426" w:type="dxa"/>
        <w:jc w:val="center"/>
        <w:tblLayout w:type="fixed"/>
        <w:tblLook w:val="04A0" w:firstRow="1" w:lastRow="0" w:firstColumn="1" w:lastColumn="0" w:noHBand="0" w:noVBand="1"/>
        <w:tblCaption w:val="E"/>
      </w:tblPr>
      <w:tblGrid>
        <w:gridCol w:w="5458"/>
        <w:gridCol w:w="1984"/>
        <w:gridCol w:w="1984"/>
      </w:tblGrid>
      <w:tr w:rsidR="00761B6C" w:rsidRPr="00236418" w14:paraId="52D3CF25" w14:textId="77777777" w:rsidTr="00761B6C">
        <w:trPr>
          <w:trHeight w:val="285"/>
          <w:jc w:val="center"/>
        </w:trPr>
        <w:tc>
          <w:tcPr>
            <w:tcW w:w="5458" w:type="dxa"/>
            <w:tcBorders>
              <w:top w:val="single" w:sz="4" w:space="0" w:color="auto"/>
              <w:left w:val="single" w:sz="4" w:space="0" w:color="auto"/>
              <w:bottom w:val="single" w:sz="4" w:space="0" w:color="auto"/>
              <w:right w:val="single" w:sz="4" w:space="0" w:color="auto"/>
            </w:tcBorders>
            <w:shd w:val="clear" w:color="auto" w:fill="auto"/>
            <w:noWrap/>
            <w:hideMark/>
          </w:tcPr>
          <w:p w14:paraId="126A3D4D" w14:textId="77777777" w:rsidR="00761B6C" w:rsidRPr="00236418" w:rsidRDefault="00761B6C" w:rsidP="00761B6C">
            <w:pPr>
              <w:pStyle w:val="Tablehead"/>
              <w:spacing w:before="40" w:after="40"/>
              <w:jc w:val="left"/>
              <w:rPr>
                <w:sz w:val="20"/>
                <w:lang w:eastAsia="zh-CN"/>
              </w:rPr>
            </w:pPr>
            <w:bookmarkStart w:id="1506" w:name="_MON_1401623178"/>
            <w:bookmarkEnd w:id="1506"/>
            <w:r w:rsidRPr="00236418">
              <w:rPr>
                <w:sz w:val="20"/>
                <w:lang w:eastAsia="zh-CN"/>
              </w:rPr>
              <w:t>En milliers</w:t>
            </w:r>
            <w:r>
              <w:rPr>
                <w:sz w:val="20"/>
                <w:lang w:eastAsia="zh-CN"/>
              </w:rPr>
              <w:t xml:space="preserve"> </w:t>
            </w:r>
            <w:r w:rsidRPr="00236418">
              <w:rPr>
                <w:sz w:val="20"/>
                <w:lang w:eastAsia="zh-CN"/>
              </w:rPr>
              <w:t>CHF</w:t>
            </w:r>
          </w:p>
        </w:tc>
        <w:tc>
          <w:tcPr>
            <w:tcW w:w="1984" w:type="dxa"/>
            <w:tcBorders>
              <w:top w:val="single" w:sz="4" w:space="0" w:color="auto"/>
              <w:left w:val="single" w:sz="4" w:space="0" w:color="auto"/>
              <w:bottom w:val="single" w:sz="4" w:space="0" w:color="auto"/>
              <w:right w:val="single" w:sz="4" w:space="0" w:color="auto"/>
            </w:tcBorders>
            <w:vAlign w:val="center"/>
          </w:tcPr>
          <w:p w14:paraId="10BE7D14" w14:textId="77777777" w:rsidR="00761B6C" w:rsidRPr="00236418" w:rsidRDefault="00761B6C" w:rsidP="00761B6C">
            <w:pPr>
              <w:pStyle w:val="Tablehead"/>
              <w:spacing w:before="40" w:after="40"/>
              <w:rPr>
                <w:bCs/>
                <w:sz w:val="20"/>
                <w:lang w:eastAsia="zh-CN"/>
              </w:rPr>
            </w:pPr>
            <w:r w:rsidRPr="000B37AD">
              <w:rPr>
                <w:rFonts w:asciiTheme="minorHAnsi" w:hAnsiTheme="minorHAnsi" w:cs="Arial"/>
                <w:bCs/>
                <w:color w:val="000000"/>
                <w:sz w:val="20"/>
                <w:lang w:val="en-US" w:eastAsia="zh-CN"/>
              </w:rPr>
              <w:t>31.12.2020</w:t>
            </w:r>
          </w:p>
        </w:tc>
        <w:tc>
          <w:tcPr>
            <w:tcW w:w="1984" w:type="dxa"/>
            <w:tcBorders>
              <w:top w:val="single" w:sz="4" w:space="0" w:color="auto"/>
              <w:left w:val="single" w:sz="4" w:space="0" w:color="auto"/>
              <w:bottom w:val="single" w:sz="4" w:space="0" w:color="auto"/>
              <w:right w:val="single" w:sz="4" w:space="0" w:color="auto"/>
            </w:tcBorders>
          </w:tcPr>
          <w:p w14:paraId="76D13464" w14:textId="77777777" w:rsidR="00761B6C" w:rsidRPr="00236418" w:rsidRDefault="00761B6C" w:rsidP="00761B6C">
            <w:pPr>
              <w:pStyle w:val="Tablehead"/>
              <w:spacing w:before="40" w:after="40"/>
              <w:rPr>
                <w:bCs/>
                <w:sz w:val="20"/>
                <w:lang w:eastAsia="zh-CN"/>
              </w:rPr>
            </w:pPr>
            <w:r w:rsidRPr="00236418">
              <w:rPr>
                <w:bCs/>
                <w:sz w:val="20"/>
                <w:lang w:eastAsia="zh-CN"/>
              </w:rPr>
              <w:t>31.12.2019</w:t>
            </w:r>
          </w:p>
        </w:tc>
      </w:tr>
      <w:tr w:rsidR="00761B6C" w:rsidRPr="00236418" w14:paraId="152E7854" w14:textId="77777777" w:rsidTr="00761B6C">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22BEB129" w14:textId="77777777" w:rsidR="00761B6C" w:rsidRPr="00236418" w:rsidRDefault="00761B6C" w:rsidP="00761B6C">
            <w:pPr>
              <w:pStyle w:val="Tabletext"/>
              <w:spacing w:before="40" w:after="40"/>
              <w:rPr>
                <w:sz w:val="20"/>
                <w:lang w:eastAsia="zh-CN"/>
              </w:rPr>
            </w:pPr>
          </w:p>
        </w:tc>
        <w:tc>
          <w:tcPr>
            <w:tcW w:w="1984" w:type="dxa"/>
            <w:tcBorders>
              <w:top w:val="nil"/>
              <w:left w:val="single" w:sz="4" w:space="0" w:color="auto"/>
              <w:bottom w:val="nil"/>
              <w:right w:val="single" w:sz="4" w:space="0" w:color="auto"/>
            </w:tcBorders>
            <w:vAlign w:val="bottom"/>
          </w:tcPr>
          <w:p w14:paraId="089F28E5" w14:textId="77777777" w:rsidR="00761B6C" w:rsidRPr="00236418" w:rsidRDefault="00761B6C" w:rsidP="00761B6C">
            <w:pPr>
              <w:pStyle w:val="Tabletext"/>
              <w:spacing w:before="40" w:after="40"/>
              <w:jc w:val="right"/>
              <w:rPr>
                <w:sz w:val="20"/>
                <w:lang w:eastAsia="zh-CN"/>
              </w:rPr>
            </w:pPr>
            <w:r w:rsidRPr="000B37AD">
              <w:rPr>
                <w:rFonts w:asciiTheme="minorHAnsi" w:hAnsiTheme="minorHAnsi" w:cs="Arial"/>
                <w:color w:val="000000"/>
                <w:sz w:val="20"/>
                <w:lang w:val="en-US" w:eastAsia="zh-CN"/>
              </w:rPr>
              <w:t> </w:t>
            </w:r>
          </w:p>
        </w:tc>
        <w:tc>
          <w:tcPr>
            <w:tcW w:w="1984" w:type="dxa"/>
            <w:tcBorders>
              <w:top w:val="nil"/>
              <w:left w:val="single" w:sz="4" w:space="0" w:color="auto"/>
              <w:bottom w:val="nil"/>
              <w:right w:val="single" w:sz="4" w:space="0" w:color="auto"/>
            </w:tcBorders>
            <w:vAlign w:val="bottom"/>
          </w:tcPr>
          <w:p w14:paraId="5CF0991B" w14:textId="77777777" w:rsidR="00761B6C" w:rsidRPr="00236418" w:rsidRDefault="00761B6C" w:rsidP="00761B6C">
            <w:pPr>
              <w:pStyle w:val="Tabletext"/>
              <w:spacing w:before="40" w:after="40"/>
              <w:jc w:val="right"/>
              <w:rPr>
                <w:sz w:val="20"/>
                <w:lang w:eastAsia="zh-CN"/>
              </w:rPr>
            </w:pPr>
          </w:p>
        </w:tc>
      </w:tr>
      <w:tr w:rsidR="00761B6C" w:rsidRPr="00236418" w14:paraId="08E525C9" w14:textId="77777777" w:rsidTr="00761B6C">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32CAE7FD" w14:textId="77777777" w:rsidR="00761B6C" w:rsidRPr="00236418" w:rsidRDefault="00761B6C" w:rsidP="00761B6C">
            <w:pPr>
              <w:pStyle w:val="Tabletext"/>
              <w:spacing w:before="40" w:after="40"/>
              <w:rPr>
                <w:sz w:val="20"/>
                <w:lang w:eastAsia="zh-CN"/>
              </w:rPr>
            </w:pPr>
            <w:r w:rsidRPr="00236418">
              <w:rPr>
                <w:sz w:val="20"/>
                <w:lang w:eastAsia="zh-CN"/>
              </w:rPr>
              <w:t>Caisses en CHF</w:t>
            </w:r>
          </w:p>
        </w:tc>
        <w:tc>
          <w:tcPr>
            <w:tcW w:w="1984" w:type="dxa"/>
            <w:tcBorders>
              <w:top w:val="nil"/>
              <w:left w:val="single" w:sz="4" w:space="0" w:color="auto"/>
              <w:bottom w:val="nil"/>
              <w:right w:val="single" w:sz="4" w:space="0" w:color="auto"/>
            </w:tcBorders>
            <w:vAlign w:val="bottom"/>
          </w:tcPr>
          <w:p w14:paraId="2D32949A" w14:textId="77777777" w:rsidR="00761B6C" w:rsidRPr="00236418" w:rsidRDefault="00761B6C" w:rsidP="00761B6C">
            <w:pPr>
              <w:pStyle w:val="Tabletext"/>
              <w:spacing w:before="40" w:after="40"/>
              <w:jc w:val="right"/>
              <w:rPr>
                <w:sz w:val="20"/>
                <w:lang w:eastAsia="zh-CN"/>
              </w:rPr>
            </w:pPr>
            <w:r w:rsidRPr="000B37AD">
              <w:rPr>
                <w:rFonts w:asciiTheme="minorHAnsi" w:hAnsiTheme="minorHAnsi" w:cs="Arial"/>
                <w:color w:val="000000"/>
                <w:sz w:val="20"/>
                <w:lang w:val="en-US" w:eastAsia="zh-CN"/>
              </w:rPr>
              <w:t>16</w:t>
            </w:r>
          </w:p>
        </w:tc>
        <w:tc>
          <w:tcPr>
            <w:tcW w:w="1984" w:type="dxa"/>
            <w:tcBorders>
              <w:top w:val="nil"/>
              <w:left w:val="single" w:sz="4" w:space="0" w:color="auto"/>
              <w:bottom w:val="nil"/>
              <w:right w:val="single" w:sz="4" w:space="0" w:color="auto"/>
            </w:tcBorders>
            <w:vAlign w:val="bottom"/>
          </w:tcPr>
          <w:p w14:paraId="087B9A8F" w14:textId="77777777" w:rsidR="00761B6C" w:rsidRPr="00236418" w:rsidRDefault="00761B6C" w:rsidP="00761B6C">
            <w:pPr>
              <w:pStyle w:val="Tabletext"/>
              <w:spacing w:before="40" w:after="40"/>
              <w:jc w:val="right"/>
              <w:rPr>
                <w:sz w:val="20"/>
                <w:lang w:eastAsia="zh-CN"/>
              </w:rPr>
            </w:pPr>
            <w:r w:rsidRPr="00236418">
              <w:rPr>
                <w:rFonts w:asciiTheme="minorHAnsi" w:hAnsiTheme="minorHAnsi" w:cs="Arial"/>
                <w:color w:val="000000"/>
                <w:sz w:val="20"/>
                <w:lang w:eastAsia="zh-CN"/>
              </w:rPr>
              <w:t>14</w:t>
            </w:r>
          </w:p>
        </w:tc>
      </w:tr>
      <w:tr w:rsidR="00761B6C" w:rsidRPr="00236418" w14:paraId="42382317" w14:textId="77777777" w:rsidTr="00761B6C">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59E74E95" w14:textId="77777777" w:rsidR="00761B6C" w:rsidRPr="00236418" w:rsidRDefault="00761B6C" w:rsidP="00761B6C">
            <w:pPr>
              <w:pStyle w:val="Tabletext"/>
              <w:spacing w:before="40" w:after="40"/>
              <w:rPr>
                <w:sz w:val="20"/>
                <w:lang w:eastAsia="zh-CN"/>
              </w:rPr>
            </w:pPr>
            <w:r w:rsidRPr="00236418">
              <w:rPr>
                <w:sz w:val="20"/>
                <w:lang w:eastAsia="zh-CN"/>
              </w:rPr>
              <w:t>Caisses en devises étrangères</w:t>
            </w:r>
          </w:p>
        </w:tc>
        <w:tc>
          <w:tcPr>
            <w:tcW w:w="1984" w:type="dxa"/>
            <w:tcBorders>
              <w:top w:val="nil"/>
              <w:left w:val="single" w:sz="4" w:space="0" w:color="auto"/>
              <w:bottom w:val="nil"/>
              <w:right w:val="single" w:sz="4" w:space="0" w:color="auto"/>
            </w:tcBorders>
            <w:vAlign w:val="bottom"/>
          </w:tcPr>
          <w:p w14:paraId="19BE9DAC" w14:textId="77777777" w:rsidR="00761B6C" w:rsidRPr="00236418" w:rsidRDefault="00761B6C" w:rsidP="00761B6C">
            <w:pPr>
              <w:pStyle w:val="Tabletext"/>
              <w:spacing w:before="40" w:after="40"/>
              <w:jc w:val="right"/>
              <w:rPr>
                <w:sz w:val="20"/>
                <w:lang w:eastAsia="zh-CN"/>
              </w:rPr>
            </w:pPr>
            <w:r w:rsidRPr="000B37AD">
              <w:rPr>
                <w:rFonts w:asciiTheme="minorHAnsi" w:hAnsiTheme="minorHAnsi" w:cs="Arial"/>
                <w:color w:val="000000"/>
                <w:sz w:val="20"/>
                <w:lang w:val="en-US" w:eastAsia="zh-CN"/>
              </w:rPr>
              <w:t>85</w:t>
            </w:r>
          </w:p>
        </w:tc>
        <w:tc>
          <w:tcPr>
            <w:tcW w:w="1984" w:type="dxa"/>
            <w:tcBorders>
              <w:top w:val="nil"/>
              <w:left w:val="single" w:sz="4" w:space="0" w:color="auto"/>
              <w:bottom w:val="nil"/>
              <w:right w:val="single" w:sz="4" w:space="0" w:color="auto"/>
            </w:tcBorders>
            <w:vAlign w:val="bottom"/>
          </w:tcPr>
          <w:p w14:paraId="40B38668" w14:textId="77777777" w:rsidR="00761B6C" w:rsidRPr="00236418" w:rsidRDefault="00761B6C" w:rsidP="00761B6C">
            <w:pPr>
              <w:pStyle w:val="Tabletext"/>
              <w:spacing w:before="40" w:after="40"/>
              <w:jc w:val="right"/>
              <w:rPr>
                <w:sz w:val="20"/>
                <w:lang w:eastAsia="zh-CN"/>
              </w:rPr>
            </w:pPr>
            <w:r w:rsidRPr="00236418">
              <w:rPr>
                <w:rFonts w:asciiTheme="minorHAnsi" w:hAnsiTheme="minorHAnsi" w:cs="Arial"/>
                <w:color w:val="000000"/>
                <w:sz w:val="20"/>
                <w:lang w:eastAsia="zh-CN"/>
              </w:rPr>
              <w:t>107</w:t>
            </w:r>
          </w:p>
        </w:tc>
      </w:tr>
      <w:tr w:rsidR="00761B6C" w:rsidRPr="00236418" w14:paraId="1352A030" w14:textId="77777777" w:rsidTr="00761B6C">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7EA704FD" w14:textId="77777777" w:rsidR="00761B6C" w:rsidRPr="00236418" w:rsidRDefault="00761B6C" w:rsidP="00761B6C">
            <w:pPr>
              <w:pStyle w:val="Tabletext"/>
              <w:spacing w:before="40" w:after="40"/>
              <w:rPr>
                <w:sz w:val="20"/>
                <w:lang w:eastAsia="zh-CN"/>
              </w:rPr>
            </w:pPr>
            <w:r w:rsidRPr="00236418">
              <w:rPr>
                <w:sz w:val="20"/>
                <w:lang w:eastAsia="zh-CN"/>
              </w:rPr>
              <w:t xml:space="preserve">Comptes postaux en CHF </w:t>
            </w:r>
          </w:p>
        </w:tc>
        <w:tc>
          <w:tcPr>
            <w:tcW w:w="1984" w:type="dxa"/>
            <w:tcBorders>
              <w:top w:val="nil"/>
              <w:left w:val="single" w:sz="4" w:space="0" w:color="auto"/>
              <w:bottom w:val="nil"/>
              <w:right w:val="single" w:sz="4" w:space="0" w:color="auto"/>
            </w:tcBorders>
            <w:vAlign w:val="bottom"/>
          </w:tcPr>
          <w:p w14:paraId="687763BB" w14:textId="77777777" w:rsidR="00761B6C" w:rsidRPr="00236418" w:rsidRDefault="00761B6C" w:rsidP="00761B6C">
            <w:pPr>
              <w:pStyle w:val="Tabletext"/>
              <w:spacing w:before="40" w:after="40"/>
              <w:jc w:val="right"/>
              <w:rPr>
                <w:sz w:val="20"/>
                <w:lang w:eastAsia="zh-CN"/>
              </w:rPr>
            </w:pPr>
            <w:r w:rsidRPr="000B37AD">
              <w:rPr>
                <w:rFonts w:asciiTheme="minorHAnsi" w:hAnsiTheme="minorHAnsi" w:cs="Arial"/>
                <w:color w:val="000000"/>
                <w:sz w:val="20"/>
                <w:lang w:val="en-US" w:eastAsia="zh-CN"/>
              </w:rPr>
              <w:t>842</w:t>
            </w:r>
          </w:p>
        </w:tc>
        <w:tc>
          <w:tcPr>
            <w:tcW w:w="1984" w:type="dxa"/>
            <w:tcBorders>
              <w:top w:val="nil"/>
              <w:left w:val="single" w:sz="4" w:space="0" w:color="auto"/>
              <w:bottom w:val="nil"/>
              <w:right w:val="single" w:sz="4" w:space="0" w:color="auto"/>
            </w:tcBorders>
            <w:vAlign w:val="bottom"/>
          </w:tcPr>
          <w:p w14:paraId="4739E6A8" w14:textId="77777777" w:rsidR="00761B6C" w:rsidRPr="00236418" w:rsidRDefault="00761B6C" w:rsidP="00761B6C">
            <w:pPr>
              <w:pStyle w:val="Tabletext"/>
              <w:spacing w:before="40" w:after="40"/>
              <w:jc w:val="right"/>
              <w:rPr>
                <w:sz w:val="20"/>
                <w:lang w:eastAsia="zh-CN"/>
              </w:rPr>
            </w:pPr>
            <w:r w:rsidRPr="00236418">
              <w:rPr>
                <w:rFonts w:asciiTheme="minorHAnsi" w:hAnsiTheme="minorHAnsi" w:cs="Arial"/>
                <w:color w:val="000000"/>
                <w:sz w:val="20"/>
                <w:lang w:eastAsia="zh-CN"/>
              </w:rPr>
              <w:t>842</w:t>
            </w:r>
          </w:p>
        </w:tc>
      </w:tr>
      <w:tr w:rsidR="00761B6C" w:rsidRPr="00236418" w14:paraId="7CE49A8C" w14:textId="77777777" w:rsidTr="00761B6C">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63D80D27" w14:textId="77777777" w:rsidR="00761B6C" w:rsidRPr="00236418" w:rsidRDefault="00761B6C" w:rsidP="00761B6C">
            <w:pPr>
              <w:pStyle w:val="Tabletext"/>
              <w:spacing w:before="40" w:after="40"/>
              <w:rPr>
                <w:sz w:val="20"/>
                <w:lang w:eastAsia="zh-CN"/>
              </w:rPr>
            </w:pPr>
            <w:r w:rsidRPr="00236418">
              <w:rPr>
                <w:sz w:val="20"/>
                <w:lang w:eastAsia="zh-CN"/>
              </w:rPr>
              <w:t>Comptes courants bancaires en CHF</w:t>
            </w:r>
          </w:p>
        </w:tc>
        <w:tc>
          <w:tcPr>
            <w:tcW w:w="1984" w:type="dxa"/>
            <w:tcBorders>
              <w:top w:val="nil"/>
              <w:left w:val="single" w:sz="4" w:space="0" w:color="auto"/>
              <w:bottom w:val="nil"/>
              <w:right w:val="single" w:sz="4" w:space="0" w:color="auto"/>
            </w:tcBorders>
            <w:vAlign w:val="bottom"/>
          </w:tcPr>
          <w:p w14:paraId="727D8873" w14:textId="77777777" w:rsidR="00761B6C" w:rsidRPr="00236418" w:rsidRDefault="00761B6C" w:rsidP="00761B6C">
            <w:pPr>
              <w:pStyle w:val="Tabletext"/>
              <w:spacing w:before="40" w:after="40"/>
              <w:jc w:val="right"/>
              <w:rPr>
                <w:sz w:val="20"/>
                <w:lang w:eastAsia="zh-CN"/>
              </w:rPr>
            </w:pPr>
            <w:r w:rsidRPr="000B37AD">
              <w:rPr>
                <w:rFonts w:asciiTheme="minorHAnsi" w:hAnsiTheme="minorHAnsi" w:cs="Arial"/>
                <w:color w:val="000000"/>
                <w:sz w:val="20"/>
                <w:lang w:val="en-US" w:eastAsia="zh-CN"/>
              </w:rPr>
              <w:t>32</w:t>
            </w:r>
            <w:r>
              <w:rPr>
                <w:rFonts w:asciiTheme="minorHAnsi" w:hAnsiTheme="minorHAnsi" w:cs="Arial"/>
                <w:color w:val="000000"/>
                <w:sz w:val="20"/>
                <w:lang w:val="en-US" w:eastAsia="zh-CN"/>
              </w:rPr>
              <w:t xml:space="preserve"> </w:t>
            </w:r>
            <w:r w:rsidRPr="000B37AD">
              <w:rPr>
                <w:rFonts w:asciiTheme="minorHAnsi" w:hAnsiTheme="minorHAnsi" w:cs="Arial"/>
                <w:color w:val="000000"/>
                <w:sz w:val="20"/>
                <w:lang w:val="en-US" w:eastAsia="zh-CN"/>
              </w:rPr>
              <w:t>760</w:t>
            </w:r>
          </w:p>
        </w:tc>
        <w:tc>
          <w:tcPr>
            <w:tcW w:w="1984" w:type="dxa"/>
            <w:tcBorders>
              <w:top w:val="nil"/>
              <w:left w:val="single" w:sz="4" w:space="0" w:color="auto"/>
              <w:bottom w:val="nil"/>
              <w:right w:val="single" w:sz="4" w:space="0" w:color="auto"/>
            </w:tcBorders>
            <w:vAlign w:val="bottom"/>
          </w:tcPr>
          <w:p w14:paraId="54E8AA93" w14:textId="77777777" w:rsidR="00761B6C" w:rsidRPr="00236418" w:rsidRDefault="00761B6C" w:rsidP="00761B6C">
            <w:pPr>
              <w:pStyle w:val="Tabletext"/>
              <w:spacing w:before="40" w:after="40"/>
              <w:jc w:val="right"/>
              <w:rPr>
                <w:sz w:val="20"/>
                <w:lang w:eastAsia="zh-CN"/>
              </w:rPr>
            </w:pPr>
            <w:r w:rsidRPr="00236418">
              <w:rPr>
                <w:rFonts w:asciiTheme="minorHAnsi" w:hAnsiTheme="minorHAnsi" w:cs="Arial"/>
                <w:color w:val="000000"/>
                <w:sz w:val="20"/>
                <w:lang w:eastAsia="zh-CN"/>
              </w:rPr>
              <w:t>27 607</w:t>
            </w:r>
          </w:p>
        </w:tc>
      </w:tr>
      <w:tr w:rsidR="00761B6C" w:rsidRPr="00236418" w14:paraId="4716C34B" w14:textId="77777777" w:rsidTr="00761B6C">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6909E232" w14:textId="77777777" w:rsidR="00761B6C" w:rsidRPr="00236418" w:rsidRDefault="00761B6C" w:rsidP="00761B6C">
            <w:pPr>
              <w:pStyle w:val="Tabletext"/>
              <w:spacing w:before="40" w:after="40"/>
              <w:rPr>
                <w:sz w:val="20"/>
                <w:lang w:eastAsia="zh-CN"/>
              </w:rPr>
            </w:pPr>
            <w:r w:rsidRPr="00236418">
              <w:rPr>
                <w:sz w:val="20"/>
                <w:lang w:eastAsia="zh-CN"/>
              </w:rPr>
              <w:t>Comptes courants bancaires en devises</w:t>
            </w:r>
          </w:p>
        </w:tc>
        <w:tc>
          <w:tcPr>
            <w:tcW w:w="1984" w:type="dxa"/>
            <w:tcBorders>
              <w:top w:val="nil"/>
              <w:left w:val="single" w:sz="4" w:space="0" w:color="auto"/>
              <w:bottom w:val="nil"/>
              <w:right w:val="single" w:sz="4" w:space="0" w:color="auto"/>
            </w:tcBorders>
            <w:vAlign w:val="bottom"/>
          </w:tcPr>
          <w:p w14:paraId="3B378363" w14:textId="77777777" w:rsidR="00761B6C" w:rsidRPr="00236418" w:rsidRDefault="00761B6C" w:rsidP="00761B6C">
            <w:pPr>
              <w:pStyle w:val="Tabletext"/>
              <w:spacing w:before="40" w:after="40"/>
              <w:jc w:val="right"/>
              <w:rPr>
                <w:sz w:val="20"/>
                <w:lang w:eastAsia="zh-CN"/>
              </w:rPr>
            </w:pPr>
            <w:r w:rsidRPr="000B37AD">
              <w:rPr>
                <w:rFonts w:asciiTheme="minorHAnsi" w:hAnsiTheme="minorHAnsi" w:cs="Arial"/>
                <w:color w:val="000000"/>
                <w:sz w:val="20"/>
                <w:lang w:val="en-US" w:eastAsia="zh-CN"/>
              </w:rPr>
              <w:t>9</w:t>
            </w:r>
            <w:r>
              <w:rPr>
                <w:rFonts w:asciiTheme="minorHAnsi" w:hAnsiTheme="minorHAnsi" w:cs="Arial"/>
                <w:color w:val="000000"/>
                <w:sz w:val="20"/>
                <w:lang w:val="en-US" w:eastAsia="zh-CN"/>
              </w:rPr>
              <w:t xml:space="preserve"> </w:t>
            </w:r>
            <w:r w:rsidRPr="000B37AD">
              <w:rPr>
                <w:rFonts w:asciiTheme="minorHAnsi" w:hAnsiTheme="minorHAnsi" w:cs="Arial"/>
                <w:color w:val="000000"/>
                <w:sz w:val="20"/>
                <w:lang w:val="en-US" w:eastAsia="zh-CN"/>
              </w:rPr>
              <w:t>731</w:t>
            </w:r>
          </w:p>
        </w:tc>
        <w:tc>
          <w:tcPr>
            <w:tcW w:w="1984" w:type="dxa"/>
            <w:tcBorders>
              <w:top w:val="nil"/>
              <w:left w:val="single" w:sz="4" w:space="0" w:color="auto"/>
              <w:bottom w:val="nil"/>
              <w:right w:val="single" w:sz="4" w:space="0" w:color="auto"/>
            </w:tcBorders>
            <w:vAlign w:val="bottom"/>
          </w:tcPr>
          <w:p w14:paraId="5BB84408" w14:textId="77777777" w:rsidR="00761B6C" w:rsidRPr="00236418" w:rsidRDefault="00761B6C" w:rsidP="00761B6C">
            <w:pPr>
              <w:pStyle w:val="Tabletext"/>
              <w:spacing w:before="40" w:after="40"/>
              <w:jc w:val="right"/>
              <w:rPr>
                <w:sz w:val="20"/>
                <w:lang w:eastAsia="zh-CN"/>
              </w:rPr>
            </w:pPr>
            <w:r w:rsidRPr="00236418">
              <w:rPr>
                <w:rFonts w:asciiTheme="minorHAnsi" w:hAnsiTheme="minorHAnsi" w:cs="Arial"/>
                <w:color w:val="000000"/>
                <w:sz w:val="20"/>
                <w:lang w:eastAsia="zh-CN"/>
              </w:rPr>
              <w:t>23 211</w:t>
            </w:r>
          </w:p>
        </w:tc>
      </w:tr>
      <w:tr w:rsidR="00761B6C" w:rsidRPr="00236418" w14:paraId="12311E2E" w14:textId="77777777" w:rsidTr="00761B6C">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4F4EECA9" w14:textId="77777777" w:rsidR="00761B6C" w:rsidRPr="00236418" w:rsidRDefault="00761B6C" w:rsidP="00761B6C">
            <w:pPr>
              <w:pStyle w:val="Tabletext"/>
              <w:spacing w:before="40" w:after="40"/>
              <w:rPr>
                <w:sz w:val="20"/>
                <w:lang w:eastAsia="zh-CN"/>
              </w:rPr>
            </w:pPr>
            <w:r w:rsidRPr="00236418">
              <w:rPr>
                <w:sz w:val="20"/>
                <w:lang w:eastAsia="zh-CN"/>
              </w:rPr>
              <w:t>Comptes à vue en CHF</w:t>
            </w:r>
          </w:p>
        </w:tc>
        <w:tc>
          <w:tcPr>
            <w:tcW w:w="1984" w:type="dxa"/>
            <w:tcBorders>
              <w:top w:val="nil"/>
              <w:left w:val="single" w:sz="4" w:space="0" w:color="auto"/>
              <w:bottom w:val="nil"/>
              <w:right w:val="single" w:sz="4" w:space="0" w:color="auto"/>
            </w:tcBorders>
            <w:vAlign w:val="bottom"/>
          </w:tcPr>
          <w:p w14:paraId="21D9F620" w14:textId="77777777" w:rsidR="00761B6C" w:rsidRPr="00236418" w:rsidRDefault="00761B6C" w:rsidP="00761B6C">
            <w:pPr>
              <w:pStyle w:val="Tabletext"/>
              <w:spacing w:before="40" w:after="40"/>
              <w:jc w:val="right"/>
              <w:rPr>
                <w:sz w:val="20"/>
                <w:lang w:eastAsia="zh-CN"/>
              </w:rPr>
            </w:pPr>
            <w:r w:rsidRPr="000B37AD">
              <w:rPr>
                <w:rFonts w:asciiTheme="minorHAnsi" w:hAnsiTheme="minorHAnsi" w:cs="Arial"/>
                <w:color w:val="000000"/>
                <w:sz w:val="20"/>
                <w:lang w:val="en-US" w:eastAsia="zh-CN"/>
              </w:rPr>
              <w:t>55</w:t>
            </w:r>
            <w:r>
              <w:rPr>
                <w:rFonts w:asciiTheme="minorHAnsi" w:hAnsiTheme="minorHAnsi" w:cs="Arial"/>
                <w:color w:val="000000"/>
                <w:sz w:val="20"/>
                <w:lang w:val="en-US" w:eastAsia="zh-CN"/>
              </w:rPr>
              <w:t xml:space="preserve"> </w:t>
            </w:r>
            <w:r w:rsidRPr="000B37AD">
              <w:rPr>
                <w:rFonts w:asciiTheme="minorHAnsi" w:hAnsiTheme="minorHAnsi" w:cs="Arial"/>
                <w:color w:val="000000"/>
                <w:sz w:val="20"/>
                <w:lang w:val="en-US" w:eastAsia="zh-CN"/>
              </w:rPr>
              <w:t>972</w:t>
            </w:r>
          </w:p>
        </w:tc>
        <w:tc>
          <w:tcPr>
            <w:tcW w:w="1984" w:type="dxa"/>
            <w:tcBorders>
              <w:top w:val="nil"/>
              <w:left w:val="single" w:sz="4" w:space="0" w:color="auto"/>
              <w:bottom w:val="nil"/>
              <w:right w:val="single" w:sz="4" w:space="0" w:color="auto"/>
            </w:tcBorders>
            <w:vAlign w:val="bottom"/>
          </w:tcPr>
          <w:p w14:paraId="41C3DE3A" w14:textId="77777777" w:rsidR="00761B6C" w:rsidRPr="00236418" w:rsidRDefault="00761B6C" w:rsidP="00761B6C">
            <w:pPr>
              <w:pStyle w:val="Tabletext"/>
              <w:spacing w:before="40" w:after="40"/>
              <w:jc w:val="right"/>
              <w:rPr>
                <w:sz w:val="20"/>
                <w:lang w:eastAsia="zh-CN"/>
              </w:rPr>
            </w:pPr>
            <w:r w:rsidRPr="00236418">
              <w:rPr>
                <w:rFonts w:asciiTheme="minorHAnsi" w:hAnsiTheme="minorHAnsi" w:cs="Arial"/>
                <w:color w:val="000000"/>
                <w:sz w:val="20"/>
                <w:lang w:eastAsia="zh-CN"/>
              </w:rPr>
              <w:t>127 070</w:t>
            </w:r>
          </w:p>
        </w:tc>
      </w:tr>
      <w:tr w:rsidR="00761B6C" w:rsidRPr="00236418" w14:paraId="35B8B523" w14:textId="77777777" w:rsidTr="00761B6C">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015F8CA7" w14:textId="77777777" w:rsidR="00761B6C" w:rsidRPr="00236418" w:rsidRDefault="00761B6C" w:rsidP="00761B6C">
            <w:pPr>
              <w:pStyle w:val="Tabletext"/>
              <w:spacing w:before="40" w:after="40"/>
              <w:rPr>
                <w:sz w:val="20"/>
                <w:lang w:eastAsia="zh-CN"/>
              </w:rPr>
            </w:pPr>
          </w:p>
        </w:tc>
        <w:tc>
          <w:tcPr>
            <w:tcW w:w="1984" w:type="dxa"/>
            <w:tcBorders>
              <w:top w:val="nil"/>
              <w:left w:val="single" w:sz="4" w:space="0" w:color="auto"/>
              <w:bottom w:val="nil"/>
              <w:right w:val="single" w:sz="4" w:space="0" w:color="auto"/>
            </w:tcBorders>
            <w:vAlign w:val="bottom"/>
          </w:tcPr>
          <w:p w14:paraId="49A39026" w14:textId="77777777" w:rsidR="00761B6C" w:rsidRPr="00236418" w:rsidRDefault="00761B6C" w:rsidP="00761B6C">
            <w:pPr>
              <w:pStyle w:val="Tabletext"/>
              <w:spacing w:before="40" w:after="40"/>
              <w:jc w:val="right"/>
              <w:rPr>
                <w:sz w:val="20"/>
                <w:lang w:eastAsia="zh-CN"/>
              </w:rPr>
            </w:pPr>
            <w:r w:rsidRPr="000B37AD">
              <w:rPr>
                <w:rFonts w:asciiTheme="minorHAnsi" w:hAnsiTheme="minorHAnsi" w:cs="Arial"/>
                <w:color w:val="000000"/>
                <w:sz w:val="20"/>
                <w:lang w:val="en-US" w:eastAsia="zh-CN"/>
              </w:rPr>
              <w:t> </w:t>
            </w:r>
          </w:p>
        </w:tc>
        <w:tc>
          <w:tcPr>
            <w:tcW w:w="1984" w:type="dxa"/>
            <w:tcBorders>
              <w:top w:val="nil"/>
              <w:left w:val="single" w:sz="4" w:space="0" w:color="auto"/>
              <w:bottom w:val="nil"/>
              <w:right w:val="single" w:sz="4" w:space="0" w:color="auto"/>
            </w:tcBorders>
            <w:vAlign w:val="bottom"/>
          </w:tcPr>
          <w:p w14:paraId="22DDE576" w14:textId="77777777" w:rsidR="00761B6C" w:rsidRPr="00236418" w:rsidRDefault="00761B6C" w:rsidP="00761B6C">
            <w:pPr>
              <w:pStyle w:val="Tabletext"/>
              <w:spacing w:before="40" w:after="40"/>
              <w:jc w:val="right"/>
              <w:rPr>
                <w:sz w:val="20"/>
                <w:lang w:eastAsia="zh-CN"/>
              </w:rPr>
            </w:pPr>
            <w:r w:rsidRPr="00236418">
              <w:rPr>
                <w:rFonts w:asciiTheme="minorHAnsi" w:hAnsiTheme="minorHAnsi" w:cs="Arial"/>
                <w:color w:val="000000"/>
                <w:sz w:val="20"/>
                <w:lang w:eastAsia="zh-CN"/>
              </w:rPr>
              <w:t> </w:t>
            </w:r>
          </w:p>
        </w:tc>
      </w:tr>
      <w:tr w:rsidR="00761B6C" w:rsidRPr="00236418" w14:paraId="43A86CF5" w14:textId="77777777" w:rsidTr="00761B6C">
        <w:trPr>
          <w:trHeight w:val="499"/>
          <w:jc w:val="center"/>
        </w:trPr>
        <w:tc>
          <w:tcPr>
            <w:tcW w:w="5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9CE51" w14:textId="77777777" w:rsidR="00761B6C" w:rsidRPr="00236418" w:rsidRDefault="00761B6C" w:rsidP="00761B6C">
            <w:pPr>
              <w:pStyle w:val="Tablehead"/>
              <w:spacing w:before="40" w:after="40"/>
              <w:jc w:val="left"/>
              <w:rPr>
                <w:sz w:val="20"/>
              </w:rPr>
            </w:pPr>
            <w:r w:rsidRPr="00236418">
              <w:rPr>
                <w:sz w:val="20"/>
                <w:lang w:eastAsia="zh-CN"/>
              </w:rPr>
              <w:t>Trésorerie et équivalents de trésorerie</w:t>
            </w:r>
          </w:p>
        </w:tc>
        <w:tc>
          <w:tcPr>
            <w:tcW w:w="1984" w:type="dxa"/>
            <w:tcBorders>
              <w:top w:val="single" w:sz="4" w:space="0" w:color="auto"/>
              <w:left w:val="single" w:sz="4" w:space="0" w:color="auto"/>
              <w:bottom w:val="single" w:sz="4" w:space="0" w:color="auto"/>
              <w:right w:val="single" w:sz="4" w:space="0" w:color="auto"/>
            </w:tcBorders>
            <w:vAlign w:val="center"/>
          </w:tcPr>
          <w:p w14:paraId="353CC1A8" w14:textId="77777777" w:rsidR="00761B6C" w:rsidRPr="00236418" w:rsidRDefault="00761B6C" w:rsidP="00761B6C">
            <w:pPr>
              <w:pStyle w:val="Tablehead"/>
              <w:spacing w:before="40" w:after="40"/>
              <w:jc w:val="right"/>
              <w:rPr>
                <w:sz w:val="20"/>
                <w:lang w:eastAsia="zh-CN"/>
              </w:rPr>
            </w:pPr>
            <w:r w:rsidRPr="000B37AD">
              <w:rPr>
                <w:rFonts w:asciiTheme="minorHAnsi" w:hAnsiTheme="minorHAnsi" w:cs="Arial"/>
                <w:bCs/>
                <w:color w:val="000000"/>
                <w:sz w:val="20"/>
                <w:lang w:val="en-US" w:eastAsia="zh-CN"/>
              </w:rPr>
              <w:t>99</w:t>
            </w:r>
            <w:r>
              <w:rPr>
                <w:rFonts w:asciiTheme="minorHAnsi" w:hAnsiTheme="minorHAnsi" w:cs="Arial"/>
                <w:bCs/>
                <w:color w:val="000000"/>
                <w:sz w:val="20"/>
                <w:lang w:val="en-US" w:eastAsia="zh-CN"/>
              </w:rPr>
              <w:t xml:space="preserve"> </w:t>
            </w:r>
            <w:r w:rsidRPr="000B37AD">
              <w:rPr>
                <w:rFonts w:asciiTheme="minorHAnsi" w:hAnsiTheme="minorHAnsi" w:cs="Arial"/>
                <w:bCs/>
                <w:color w:val="000000"/>
                <w:sz w:val="20"/>
                <w:lang w:val="en-US" w:eastAsia="zh-CN"/>
              </w:rPr>
              <w:t>406</w:t>
            </w:r>
          </w:p>
        </w:tc>
        <w:tc>
          <w:tcPr>
            <w:tcW w:w="1984" w:type="dxa"/>
            <w:tcBorders>
              <w:top w:val="single" w:sz="4" w:space="0" w:color="auto"/>
              <w:left w:val="single" w:sz="4" w:space="0" w:color="auto"/>
              <w:bottom w:val="single" w:sz="4" w:space="0" w:color="auto"/>
              <w:right w:val="single" w:sz="4" w:space="0" w:color="auto"/>
            </w:tcBorders>
            <w:vAlign w:val="center"/>
          </w:tcPr>
          <w:p w14:paraId="76DE27C3" w14:textId="77777777" w:rsidR="00761B6C" w:rsidRPr="00236418" w:rsidRDefault="00761B6C" w:rsidP="00761B6C">
            <w:pPr>
              <w:pStyle w:val="Tablehead"/>
              <w:spacing w:before="40" w:after="40"/>
              <w:jc w:val="right"/>
              <w:rPr>
                <w:sz w:val="20"/>
                <w:lang w:eastAsia="zh-CN"/>
              </w:rPr>
            </w:pPr>
            <w:r w:rsidRPr="00236418">
              <w:rPr>
                <w:rFonts w:asciiTheme="minorHAnsi" w:hAnsiTheme="minorHAnsi" w:cs="Arial"/>
                <w:color w:val="000000"/>
                <w:sz w:val="20"/>
                <w:lang w:eastAsia="zh-CN"/>
              </w:rPr>
              <w:t>178 852</w:t>
            </w:r>
          </w:p>
        </w:tc>
      </w:tr>
    </w:tbl>
    <w:p w14:paraId="2F68DC6E" w14:textId="77777777" w:rsidR="00761B6C" w:rsidRPr="00236418" w:rsidRDefault="00761B6C" w:rsidP="0019278D">
      <w:pPr>
        <w:spacing w:before="240"/>
      </w:pPr>
      <w:r w:rsidRPr="00236418">
        <w:t>Les liquidités sont déposées sur des comptes bancaires et postaux rémunérés aux taux du marché. La juste valeur de ces dépôts est équivalente à leur valeur comptable.</w:t>
      </w:r>
    </w:p>
    <w:p w14:paraId="64DD313D" w14:textId="77777777" w:rsidR="00761B6C" w:rsidRPr="00236418" w:rsidRDefault="00761B6C" w:rsidP="00761B6C">
      <w:pPr>
        <w:keepNext/>
        <w:keepLines/>
      </w:pPr>
      <w:r w:rsidRPr="00236418">
        <w:t>Au 31 décembre 20</w:t>
      </w:r>
      <w:r>
        <w:t>20</w:t>
      </w:r>
      <w:r w:rsidRPr="00236418">
        <w:t>, l</w:t>
      </w:r>
      <w:r>
        <w:t>'</w:t>
      </w:r>
      <w:r w:rsidRPr="00236418">
        <w:t>UIT ne disposait pas de ligne de crédit. Les liquidités disponibles sont soumises aux restrictions suivantes:</w:t>
      </w:r>
    </w:p>
    <w:p w14:paraId="14B6E3BA" w14:textId="77777777" w:rsidR="00761B6C" w:rsidRPr="00236418" w:rsidRDefault="00761B6C" w:rsidP="00761B6C">
      <w:pPr>
        <w:pStyle w:val="enumlev1"/>
        <w:keepLines/>
      </w:pPr>
      <w:r w:rsidRPr="00236418">
        <w:t>–</w:t>
      </w:r>
      <w:r w:rsidRPr="00236418">
        <w:tab/>
        <w:t>comptes à vue en faveur des pensionnés des fonds de l</w:t>
      </w:r>
      <w:r>
        <w:t>'</w:t>
      </w:r>
      <w:r w:rsidRPr="00236418">
        <w:t>UIT qui fonctionnent en caisses fermées depuis l</w:t>
      </w:r>
      <w:r>
        <w:t>'</w:t>
      </w:r>
      <w:r w:rsidRPr="00236418">
        <w:t>affiliation à la Caisse commune des pensions du personnel des Nations Unies (CCPPNU) et à la Caisse d</w:t>
      </w:r>
      <w:r>
        <w:t>'</w:t>
      </w:r>
      <w:r w:rsidRPr="00236418">
        <w:t>assurance pour la protection de la santé du personnel (CAPS)</w:t>
      </w:r>
      <w:r>
        <w:t xml:space="preserve">. </w:t>
      </w:r>
      <w:r w:rsidRPr="00236418">
        <w:t>Compte tenu de l</w:t>
      </w:r>
      <w:r>
        <w:t>'</w:t>
      </w:r>
      <w:r w:rsidRPr="00236418">
        <w:t>application de taux d</w:t>
      </w:r>
      <w:r>
        <w:t>'</w:t>
      </w:r>
      <w:r w:rsidRPr="00236418">
        <w:t>intérêts négatifs sur les marchés financiers, ces montants ne peuvent être investis dans des dépôts à court terme.</w:t>
      </w:r>
    </w:p>
    <w:p w14:paraId="474B25FF" w14:textId="77777777" w:rsidR="00761B6C" w:rsidRPr="00236418" w:rsidRDefault="00761B6C" w:rsidP="00144C9E">
      <w:pPr>
        <w:pStyle w:val="Heading1"/>
        <w:spacing w:before="240"/>
        <w:rPr>
          <w:sz w:val="24"/>
          <w:szCs w:val="24"/>
        </w:rPr>
      </w:pPr>
      <w:bookmarkStart w:id="1507" w:name="_Toc268007538"/>
      <w:bookmarkStart w:id="1508" w:name="_Toc269839082"/>
      <w:bookmarkStart w:id="1509" w:name="_Toc329178781"/>
      <w:bookmarkStart w:id="1510" w:name="_Toc329181754"/>
      <w:bookmarkStart w:id="1511" w:name="_Toc329202574"/>
      <w:bookmarkStart w:id="1512" w:name="_Toc329205006"/>
      <w:bookmarkStart w:id="1513" w:name="_Toc329206843"/>
      <w:bookmarkStart w:id="1514" w:name="_Toc358379929"/>
      <w:bookmarkStart w:id="1515" w:name="_Toc358380469"/>
      <w:bookmarkStart w:id="1516" w:name="_Toc452140711"/>
      <w:bookmarkStart w:id="1517" w:name="_Toc482801501"/>
      <w:bookmarkStart w:id="1518" w:name="_Toc511649473"/>
      <w:bookmarkStart w:id="1519" w:name="_Toc511649843"/>
      <w:bookmarkStart w:id="1520" w:name="_Toc511649959"/>
      <w:bookmarkStart w:id="1521" w:name="_Toc511651216"/>
      <w:bookmarkStart w:id="1522" w:name="_Toc511724081"/>
      <w:bookmarkStart w:id="1523" w:name="_Toc511739070"/>
      <w:bookmarkStart w:id="1524" w:name="_Toc511741239"/>
      <w:bookmarkStart w:id="1525" w:name="_Toc10450745"/>
      <w:bookmarkStart w:id="1526" w:name="_Toc41566345"/>
      <w:bookmarkStart w:id="1527" w:name="_Toc41567353"/>
      <w:bookmarkStart w:id="1528" w:name="_Toc41567856"/>
      <w:bookmarkStart w:id="1529" w:name="_Toc41814951"/>
      <w:bookmarkStart w:id="1530" w:name="_Toc73354440"/>
      <w:bookmarkStart w:id="1531" w:name="_Toc73356416"/>
      <w:r w:rsidRPr="00236418">
        <w:rPr>
          <w:sz w:val="24"/>
          <w:szCs w:val="24"/>
        </w:rPr>
        <w:t>Note 7</w:t>
      </w:r>
      <w:r w:rsidRPr="00236418">
        <w:rPr>
          <w:sz w:val="24"/>
          <w:szCs w:val="24"/>
        </w:rPr>
        <w:tab/>
        <w:t>Placement</w:t>
      </w:r>
      <w:bookmarkEnd w:id="1507"/>
      <w:r w:rsidRPr="00236418">
        <w:rPr>
          <w:sz w:val="24"/>
          <w:szCs w:val="24"/>
        </w:rPr>
        <w:t>s</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14:paraId="28FD6FCB" w14:textId="77777777" w:rsidR="00761B6C" w:rsidRPr="00236418" w:rsidRDefault="00761B6C" w:rsidP="00761B6C">
      <w:pPr>
        <w:keepNext/>
        <w:keepLines/>
        <w:spacing w:after="240"/>
      </w:pPr>
      <w:r w:rsidRPr="00236418">
        <w:t>Les placements à terme sont rémunérés aux taux du marché et rangés dans la catégorie des i</w:t>
      </w:r>
      <w:r w:rsidRPr="00236418">
        <w:rPr>
          <w:szCs w:val="22"/>
        </w:rPr>
        <w:t>nstruments financiers à la juste valeur par résultat</w:t>
      </w:r>
      <w:r w:rsidRPr="00236418">
        <w:t>. La juste valeur des dépôts en espèces est équivalente à leur valeur comptable.</w:t>
      </w:r>
    </w:p>
    <w:tbl>
      <w:tblPr>
        <w:tblW w:w="8500" w:type="dxa"/>
        <w:jc w:val="center"/>
        <w:tblLook w:val="04A0" w:firstRow="1" w:lastRow="0" w:firstColumn="1" w:lastColumn="0" w:noHBand="0" w:noVBand="1"/>
        <w:tblCaption w:val="E"/>
      </w:tblPr>
      <w:tblGrid>
        <w:gridCol w:w="4531"/>
        <w:gridCol w:w="1990"/>
        <w:gridCol w:w="1979"/>
      </w:tblGrid>
      <w:tr w:rsidR="00761B6C" w:rsidRPr="00236418" w14:paraId="565C8E37" w14:textId="77777777" w:rsidTr="00761B6C">
        <w:trPr>
          <w:trHeight w:val="499"/>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9584" w14:textId="77777777" w:rsidR="00761B6C" w:rsidRPr="00236418" w:rsidRDefault="00761B6C" w:rsidP="00761B6C">
            <w:pPr>
              <w:pStyle w:val="Tablehead"/>
              <w:keepLines/>
              <w:spacing w:before="40" w:after="40"/>
              <w:jc w:val="left"/>
              <w:rPr>
                <w:szCs w:val="22"/>
                <w:lang w:eastAsia="zh-CN"/>
              </w:rPr>
            </w:pPr>
            <w:r w:rsidRPr="00236418">
              <w:rPr>
                <w:szCs w:val="22"/>
                <w:lang w:eastAsia="zh-CN"/>
              </w:rPr>
              <w:t>En milliers CHF</w:t>
            </w:r>
          </w:p>
        </w:tc>
        <w:tc>
          <w:tcPr>
            <w:tcW w:w="1990" w:type="dxa"/>
            <w:tcBorders>
              <w:top w:val="single" w:sz="4" w:space="0" w:color="auto"/>
              <w:left w:val="nil"/>
              <w:bottom w:val="single" w:sz="4" w:space="0" w:color="auto"/>
              <w:right w:val="single" w:sz="4" w:space="0" w:color="auto"/>
            </w:tcBorders>
            <w:vAlign w:val="center"/>
          </w:tcPr>
          <w:p w14:paraId="0092A978" w14:textId="77777777" w:rsidR="00761B6C" w:rsidRPr="00236418" w:rsidRDefault="00761B6C" w:rsidP="00761B6C">
            <w:pPr>
              <w:pStyle w:val="Tablehead"/>
              <w:keepLines/>
              <w:spacing w:before="40" w:after="40"/>
              <w:rPr>
                <w:szCs w:val="22"/>
                <w:lang w:eastAsia="zh-CN"/>
              </w:rPr>
            </w:pPr>
            <w:r w:rsidRPr="00236418">
              <w:rPr>
                <w:szCs w:val="22"/>
                <w:lang w:eastAsia="zh-CN"/>
              </w:rPr>
              <w:t>31.12.20</w:t>
            </w:r>
            <w:r>
              <w:rPr>
                <w:szCs w:val="22"/>
                <w:lang w:eastAsia="zh-CN"/>
              </w:rPr>
              <w:t>20</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C2322" w14:textId="77777777" w:rsidR="00761B6C" w:rsidRPr="00236418" w:rsidRDefault="00761B6C" w:rsidP="00761B6C">
            <w:pPr>
              <w:pStyle w:val="Tablehead"/>
              <w:keepLines/>
              <w:spacing w:before="40" w:after="40"/>
              <w:rPr>
                <w:szCs w:val="22"/>
                <w:lang w:eastAsia="zh-CN"/>
              </w:rPr>
            </w:pPr>
            <w:r w:rsidRPr="00236418">
              <w:rPr>
                <w:szCs w:val="22"/>
                <w:lang w:eastAsia="zh-CN"/>
              </w:rPr>
              <w:t>31.12.201</w:t>
            </w:r>
            <w:r>
              <w:rPr>
                <w:szCs w:val="22"/>
                <w:lang w:eastAsia="zh-CN"/>
              </w:rPr>
              <w:t>9</w:t>
            </w:r>
          </w:p>
        </w:tc>
      </w:tr>
      <w:tr w:rsidR="00761B6C" w:rsidRPr="00236418" w14:paraId="719D2C0A" w14:textId="77777777" w:rsidTr="00761B6C">
        <w:trPr>
          <w:trHeight w:val="255"/>
          <w:jc w:val="center"/>
        </w:trPr>
        <w:tc>
          <w:tcPr>
            <w:tcW w:w="4531" w:type="dxa"/>
            <w:tcBorders>
              <w:top w:val="single" w:sz="4" w:space="0" w:color="auto"/>
              <w:left w:val="single" w:sz="4" w:space="0" w:color="auto"/>
              <w:right w:val="single" w:sz="4" w:space="0" w:color="auto"/>
            </w:tcBorders>
            <w:shd w:val="clear" w:color="auto" w:fill="auto"/>
            <w:noWrap/>
            <w:vAlign w:val="bottom"/>
          </w:tcPr>
          <w:p w14:paraId="37C8C888" w14:textId="77777777" w:rsidR="00761B6C" w:rsidRPr="00236418" w:rsidRDefault="00761B6C" w:rsidP="00761B6C">
            <w:pPr>
              <w:pStyle w:val="Tabletext"/>
              <w:spacing w:before="40" w:after="40"/>
              <w:rPr>
                <w:szCs w:val="22"/>
                <w:lang w:eastAsia="zh-CN"/>
              </w:rPr>
            </w:pPr>
            <w:r w:rsidRPr="00236418">
              <w:rPr>
                <w:szCs w:val="22"/>
                <w:lang w:eastAsia="zh-CN"/>
              </w:rPr>
              <w:t>Placements à terme</w:t>
            </w:r>
          </w:p>
        </w:tc>
        <w:tc>
          <w:tcPr>
            <w:tcW w:w="1990" w:type="dxa"/>
            <w:tcBorders>
              <w:top w:val="single" w:sz="4" w:space="0" w:color="auto"/>
              <w:left w:val="nil"/>
              <w:right w:val="single" w:sz="4" w:space="0" w:color="auto"/>
            </w:tcBorders>
            <w:vAlign w:val="bottom"/>
          </w:tcPr>
          <w:p w14:paraId="2CC1E4D2" w14:textId="77777777" w:rsidR="00761B6C" w:rsidRPr="00236418" w:rsidRDefault="00761B6C" w:rsidP="00761B6C">
            <w:pPr>
              <w:pStyle w:val="Tabletext"/>
              <w:spacing w:before="40" w:after="40"/>
              <w:jc w:val="right"/>
              <w:rPr>
                <w:szCs w:val="22"/>
                <w:lang w:eastAsia="zh-CN"/>
              </w:rPr>
            </w:pPr>
            <w:r>
              <w:rPr>
                <w:szCs w:val="22"/>
                <w:lang w:eastAsia="zh-CN"/>
              </w:rPr>
              <w:t>95 516</w:t>
            </w:r>
          </w:p>
        </w:tc>
        <w:tc>
          <w:tcPr>
            <w:tcW w:w="1979" w:type="dxa"/>
            <w:tcBorders>
              <w:top w:val="single" w:sz="4" w:space="0" w:color="auto"/>
              <w:left w:val="single" w:sz="4" w:space="0" w:color="auto"/>
              <w:right w:val="single" w:sz="4" w:space="0" w:color="auto"/>
            </w:tcBorders>
            <w:shd w:val="clear" w:color="auto" w:fill="auto"/>
            <w:noWrap/>
            <w:vAlign w:val="bottom"/>
          </w:tcPr>
          <w:p w14:paraId="257416D8" w14:textId="77777777" w:rsidR="00761B6C" w:rsidRPr="00236418" w:rsidRDefault="00761B6C" w:rsidP="00761B6C">
            <w:pPr>
              <w:pStyle w:val="Tabletext"/>
              <w:spacing w:before="40" w:after="40"/>
              <w:jc w:val="right"/>
              <w:rPr>
                <w:szCs w:val="22"/>
                <w:lang w:eastAsia="zh-CN"/>
              </w:rPr>
            </w:pPr>
            <w:r w:rsidRPr="00236418">
              <w:rPr>
                <w:rFonts w:asciiTheme="minorHAnsi" w:hAnsiTheme="minorHAnsi" w:cs="Arial"/>
                <w:color w:val="000000"/>
                <w:szCs w:val="22"/>
                <w:lang w:eastAsia="zh-CN"/>
              </w:rPr>
              <w:t>33 329</w:t>
            </w:r>
          </w:p>
        </w:tc>
      </w:tr>
      <w:tr w:rsidR="00761B6C" w:rsidRPr="00236418" w14:paraId="5E1A9688" w14:textId="77777777" w:rsidTr="00761B6C">
        <w:trPr>
          <w:trHeight w:val="20"/>
          <w:jc w:val="center"/>
        </w:trPr>
        <w:tc>
          <w:tcPr>
            <w:tcW w:w="4531" w:type="dxa"/>
            <w:tcBorders>
              <w:left w:val="single" w:sz="4" w:space="0" w:color="auto"/>
              <w:bottom w:val="single" w:sz="4" w:space="0" w:color="auto"/>
              <w:right w:val="single" w:sz="4" w:space="0" w:color="auto"/>
            </w:tcBorders>
            <w:shd w:val="clear" w:color="auto" w:fill="auto"/>
            <w:noWrap/>
            <w:vAlign w:val="center"/>
          </w:tcPr>
          <w:p w14:paraId="35AF7817" w14:textId="77777777" w:rsidR="00761B6C" w:rsidRPr="00236418" w:rsidRDefault="00761B6C" w:rsidP="00761B6C">
            <w:pPr>
              <w:pStyle w:val="Tabletext"/>
              <w:spacing w:before="40" w:after="40"/>
              <w:rPr>
                <w:b/>
                <w:bCs/>
                <w:szCs w:val="22"/>
                <w:lang w:eastAsia="zh-CN"/>
              </w:rPr>
            </w:pPr>
            <w:r w:rsidRPr="00236418">
              <w:rPr>
                <w:b/>
                <w:bCs/>
                <w:szCs w:val="22"/>
                <w:lang w:eastAsia="zh-CN"/>
              </w:rPr>
              <w:t>Placements</w:t>
            </w:r>
          </w:p>
        </w:tc>
        <w:tc>
          <w:tcPr>
            <w:tcW w:w="1990" w:type="dxa"/>
            <w:tcBorders>
              <w:left w:val="nil"/>
              <w:bottom w:val="single" w:sz="4" w:space="0" w:color="auto"/>
              <w:right w:val="single" w:sz="4" w:space="0" w:color="auto"/>
            </w:tcBorders>
            <w:vAlign w:val="center"/>
          </w:tcPr>
          <w:p w14:paraId="279ED8F5" w14:textId="77777777" w:rsidR="00761B6C" w:rsidRPr="00236418" w:rsidRDefault="00761B6C" w:rsidP="00761B6C">
            <w:pPr>
              <w:pStyle w:val="Tabletext"/>
              <w:spacing w:before="40" w:after="40"/>
              <w:jc w:val="right"/>
              <w:rPr>
                <w:b/>
                <w:bCs/>
                <w:szCs w:val="22"/>
                <w:lang w:eastAsia="zh-CN"/>
              </w:rPr>
            </w:pPr>
            <w:r>
              <w:rPr>
                <w:b/>
                <w:bCs/>
                <w:szCs w:val="22"/>
                <w:lang w:eastAsia="zh-CN"/>
              </w:rPr>
              <w:t>95 516</w:t>
            </w:r>
          </w:p>
        </w:tc>
        <w:tc>
          <w:tcPr>
            <w:tcW w:w="1979" w:type="dxa"/>
            <w:tcBorders>
              <w:left w:val="single" w:sz="4" w:space="0" w:color="auto"/>
              <w:bottom w:val="single" w:sz="4" w:space="0" w:color="auto"/>
              <w:right w:val="single" w:sz="4" w:space="0" w:color="auto"/>
            </w:tcBorders>
            <w:shd w:val="clear" w:color="auto" w:fill="auto"/>
            <w:noWrap/>
            <w:vAlign w:val="center"/>
          </w:tcPr>
          <w:p w14:paraId="13F5F73D" w14:textId="77777777" w:rsidR="00761B6C" w:rsidRPr="00236418" w:rsidRDefault="00761B6C" w:rsidP="00761B6C">
            <w:pPr>
              <w:pStyle w:val="Tabletext"/>
              <w:spacing w:before="40" w:after="40"/>
              <w:jc w:val="right"/>
              <w:rPr>
                <w:b/>
                <w:bCs/>
                <w:szCs w:val="22"/>
                <w:lang w:eastAsia="zh-CN"/>
              </w:rPr>
            </w:pPr>
            <w:r w:rsidRPr="00236418">
              <w:rPr>
                <w:b/>
                <w:bCs/>
                <w:szCs w:val="22"/>
                <w:lang w:eastAsia="zh-CN"/>
              </w:rPr>
              <w:t>33 329</w:t>
            </w:r>
          </w:p>
        </w:tc>
      </w:tr>
    </w:tbl>
    <w:p w14:paraId="3D0DC22A" w14:textId="77777777" w:rsidR="00761B6C" w:rsidRPr="00236418" w:rsidRDefault="00761B6C" w:rsidP="00761B6C">
      <w:pPr>
        <w:keepNext/>
        <w:keepLines/>
        <w:spacing w:after="120"/>
      </w:pPr>
      <w:bookmarkStart w:id="1532" w:name="_MON_1388229814"/>
      <w:bookmarkStart w:id="1533" w:name="_MON_1388239922"/>
      <w:bookmarkEnd w:id="1532"/>
      <w:bookmarkEnd w:id="1533"/>
      <w:r w:rsidRPr="00236418">
        <w:lastRenderedPageBreak/>
        <w:t>Le détail des placements à terme par échéance (échéance restante), ainsi que par devise, est donné ci-après:</w:t>
      </w:r>
    </w:p>
    <w:tbl>
      <w:tblPr>
        <w:tblW w:w="0" w:type="auto"/>
        <w:jc w:val="center"/>
        <w:tblLayout w:type="fixed"/>
        <w:tblCellMar>
          <w:left w:w="30" w:type="dxa"/>
          <w:right w:w="30" w:type="dxa"/>
        </w:tblCellMar>
        <w:tblLook w:val="0000" w:firstRow="0" w:lastRow="0" w:firstColumn="0" w:lastColumn="0" w:noHBand="0" w:noVBand="0"/>
        <w:tblCaption w:val="E"/>
      </w:tblPr>
      <w:tblGrid>
        <w:gridCol w:w="2791"/>
        <w:gridCol w:w="1072"/>
        <w:gridCol w:w="1073"/>
        <w:gridCol w:w="1073"/>
        <w:gridCol w:w="1073"/>
        <w:gridCol w:w="1072"/>
        <w:gridCol w:w="1073"/>
      </w:tblGrid>
      <w:tr w:rsidR="00761B6C" w:rsidRPr="00236418" w14:paraId="4235010B" w14:textId="77777777" w:rsidTr="00761B6C">
        <w:trPr>
          <w:trHeight w:val="312"/>
          <w:jc w:val="center"/>
        </w:trPr>
        <w:tc>
          <w:tcPr>
            <w:tcW w:w="2791" w:type="dxa"/>
            <w:tcBorders>
              <w:top w:val="single" w:sz="6" w:space="0" w:color="auto"/>
              <w:left w:val="single" w:sz="6" w:space="0" w:color="auto"/>
              <w:bottom w:val="single" w:sz="6" w:space="0" w:color="auto"/>
              <w:right w:val="single" w:sz="6" w:space="0" w:color="auto"/>
            </w:tcBorders>
          </w:tcPr>
          <w:p w14:paraId="53DE882B" w14:textId="77777777" w:rsidR="00761B6C" w:rsidRPr="00236418" w:rsidRDefault="00761B6C" w:rsidP="00761B6C">
            <w:pPr>
              <w:pStyle w:val="Tablehead"/>
              <w:keepNext/>
              <w:keepLines/>
              <w:spacing w:before="40" w:after="40"/>
              <w:rPr>
                <w:szCs w:val="22"/>
                <w:lang w:eastAsia="zh-CN"/>
              </w:rPr>
            </w:pPr>
            <w:r w:rsidRPr="00236418">
              <w:rPr>
                <w:szCs w:val="22"/>
                <w:lang w:eastAsia="zh-CN"/>
              </w:rPr>
              <w:t>En milliers selon la devise</w:t>
            </w:r>
          </w:p>
        </w:tc>
        <w:tc>
          <w:tcPr>
            <w:tcW w:w="3218" w:type="dxa"/>
            <w:gridSpan w:val="3"/>
            <w:tcBorders>
              <w:top w:val="single" w:sz="6" w:space="0" w:color="auto"/>
              <w:left w:val="single" w:sz="6" w:space="0" w:color="auto"/>
              <w:bottom w:val="single" w:sz="6" w:space="0" w:color="auto"/>
              <w:right w:val="single" w:sz="6" w:space="0" w:color="auto"/>
            </w:tcBorders>
          </w:tcPr>
          <w:p w14:paraId="1B1ABB55" w14:textId="77777777" w:rsidR="00761B6C" w:rsidRPr="00236418" w:rsidRDefault="00761B6C" w:rsidP="00761B6C">
            <w:pPr>
              <w:pStyle w:val="Tablehead"/>
              <w:keepNext/>
              <w:keepLines/>
              <w:spacing w:before="40" w:after="40"/>
              <w:rPr>
                <w:szCs w:val="22"/>
                <w:lang w:eastAsia="zh-CN"/>
              </w:rPr>
            </w:pPr>
            <w:r w:rsidRPr="00236418">
              <w:rPr>
                <w:szCs w:val="22"/>
                <w:lang w:eastAsia="zh-CN"/>
              </w:rPr>
              <w:t>31.12.20</w:t>
            </w:r>
            <w:r>
              <w:rPr>
                <w:szCs w:val="22"/>
                <w:lang w:eastAsia="zh-CN"/>
              </w:rPr>
              <w:t>20</w:t>
            </w:r>
          </w:p>
        </w:tc>
        <w:tc>
          <w:tcPr>
            <w:tcW w:w="3218" w:type="dxa"/>
            <w:gridSpan w:val="3"/>
            <w:tcBorders>
              <w:top w:val="single" w:sz="6" w:space="0" w:color="auto"/>
              <w:left w:val="single" w:sz="6" w:space="0" w:color="auto"/>
              <w:bottom w:val="single" w:sz="6" w:space="0" w:color="auto"/>
              <w:right w:val="single" w:sz="6" w:space="0" w:color="auto"/>
            </w:tcBorders>
          </w:tcPr>
          <w:p w14:paraId="6B9159F5" w14:textId="77777777" w:rsidR="00761B6C" w:rsidRPr="00236418" w:rsidRDefault="00761B6C" w:rsidP="00761B6C">
            <w:pPr>
              <w:pStyle w:val="Tablehead"/>
              <w:keepNext/>
              <w:keepLines/>
              <w:spacing w:before="40" w:after="40"/>
              <w:rPr>
                <w:szCs w:val="22"/>
                <w:lang w:eastAsia="zh-CN"/>
              </w:rPr>
            </w:pPr>
            <w:r w:rsidRPr="00236418">
              <w:rPr>
                <w:szCs w:val="22"/>
                <w:lang w:eastAsia="zh-CN"/>
              </w:rPr>
              <w:t>31.12.2019</w:t>
            </w:r>
          </w:p>
        </w:tc>
      </w:tr>
      <w:tr w:rsidR="00761B6C" w:rsidRPr="00236418" w14:paraId="6BCF9B18" w14:textId="77777777" w:rsidTr="00761B6C">
        <w:trPr>
          <w:trHeight w:val="247"/>
          <w:jc w:val="center"/>
        </w:trPr>
        <w:tc>
          <w:tcPr>
            <w:tcW w:w="2791" w:type="dxa"/>
            <w:tcBorders>
              <w:top w:val="nil"/>
              <w:left w:val="single" w:sz="6" w:space="0" w:color="auto"/>
              <w:bottom w:val="nil"/>
              <w:right w:val="nil"/>
            </w:tcBorders>
          </w:tcPr>
          <w:p w14:paraId="0675D259" w14:textId="77777777" w:rsidR="00761B6C" w:rsidRPr="00236418" w:rsidRDefault="00761B6C" w:rsidP="00761B6C">
            <w:pPr>
              <w:pStyle w:val="Tabletext"/>
              <w:keepNext/>
              <w:keepLines/>
              <w:spacing w:before="40" w:after="40"/>
              <w:rPr>
                <w:szCs w:val="22"/>
                <w:lang w:eastAsia="zh-CN"/>
              </w:rPr>
            </w:pPr>
          </w:p>
        </w:tc>
        <w:tc>
          <w:tcPr>
            <w:tcW w:w="1072" w:type="dxa"/>
            <w:tcBorders>
              <w:top w:val="single" w:sz="6" w:space="0" w:color="auto"/>
              <w:left w:val="single" w:sz="6" w:space="0" w:color="auto"/>
              <w:bottom w:val="nil"/>
              <w:right w:val="single" w:sz="6" w:space="0" w:color="auto"/>
            </w:tcBorders>
          </w:tcPr>
          <w:p w14:paraId="71136184" w14:textId="77777777" w:rsidR="00761B6C" w:rsidRPr="00236418" w:rsidRDefault="00761B6C" w:rsidP="00761B6C">
            <w:pPr>
              <w:pStyle w:val="Tabletext"/>
              <w:keepNext/>
              <w:keepLines/>
              <w:spacing w:before="40" w:after="40"/>
              <w:jc w:val="center"/>
              <w:rPr>
                <w:szCs w:val="22"/>
                <w:lang w:eastAsia="zh-CN"/>
              </w:rPr>
            </w:pPr>
            <w:r w:rsidRPr="00236418">
              <w:rPr>
                <w:szCs w:val="22"/>
                <w:lang w:eastAsia="zh-CN"/>
              </w:rPr>
              <w:t>CHF</w:t>
            </w:r>
          </w:p>
        </w:tc>
        <w:tc>
          <w:tcPr>
            <w:tcW w:w="1073" w:type="dxa"/>
            <w:tcBorders>
              <w:top w:val="single" w:sz="6" w:space="0" w:color="auto"/>
              <w:left w:val="single" w:sz="6" w:space="0" w:color="auto"/>
              <w:bottom w:val="nil"/>
              <w:right w:val="single" w:sz="6" w:space="0" w:color="auto"/>
            </w:tcBorders>
          </w:tcPr>
          <w:p w14:paraId="0F910635" w14:textId="77777777" w:rsidR="00761B6C" w:rsidRPr="00236418" w:rsidRDefault="00761B6C" w:rsidP="00761B6C">
            <w:pPr>
              <w:pStyle w:val="Tabletext"/>
              <w:keepNext/>
              <w:keepLines/>
              <w:spacing w:before="40" w:after="40"/>
              <w:jc w:val="center"/>
              <w:rPr>
                <w:szCs w:val="22"/>
                <w:lang w:eastAsia="zh-CN"/>
              </w:rPr>
            </w:pPr>
            <w:r w:rsidRPr="00236418">
              <w:rPr>
                <w:szCs w:val="22"/>
                <w:lang w:eastAsia="zh-CN"/>
              </w:rPr>
              <w:t>USD</w:t>
            </w:r>
          </w:p>
        </w:tc>
        <w:tc>
          <w:tcPr>
            <w:tcW w:w="1073" w:type="dxa"/>
            <w:tcBorders>
              <w:top w:val="single" w:sz="6" w:space="0" w:color="auto"/>
              <w:left w:val="single" w:sz="6" w:space="0" w:color="auto"/>
              <w:bottom w:val="nil"/>
              <w:right w:val="single" w:sz="6" w:space="0" w:color="auto"/>
            </w:tcBorders>
          </w:tcPr>
          <w:p w14:paraId="49A7DF78" w14:textId="77777777" w:rsidR="00761B6C" w:rsidRPr="00236418" w:rsidRDefault="00761B6C" w:rsidP="00761B6C">
            <w:pPr>
              <w:pStyle w:val="Tabletext"/>
              <w:keepNext/>
              <w:keepLines/>
              <w:spacing w:before="40" w:after="40"/>
              <w:jc w:val="center"/>
              <w:rPr>
                <w:szCs w:val="22"/>
                <w:lang w:eastAsia="zh-CN"/>
              </w:rPr>
            </w:pPr>
            <w:r w:rsidRPr="00236418">
              <w:rPr>
                <w:szCs w:val="22"/>
                <w:lang w:eastAsia="zh-CN"/>
              </w:rPr>
              <w:t>EUR</w:t>
            </w:r>
          </w:p>
        </w:tc>
        <w:tc>
          <w:tcPr>
            <w:tcW w:w="1073" w:type="dxa"/>
            <w:tcBorders>
              <w:top w:val="single" w:sz="6" w:space="0" w:color="auto"/>
              <w:left w:val="single" w:sz="6" w:space="0" w:color="auto"/>
              <w:bottom w:val="nil"/>
              <w:right w:val="nil"/>
            </w:tcBorders>
          </w:tcPr>
          <w:p w14:paraId="4834CB9F" w14:textId="77777777" w:rsidR="00761B6C" w:rsidRPr="00236418" w:rsidRDefault="00761B6C" w:rsidP="00761B6C">
            <w:pPr>
              <w:pStyle w:val="Tabletext"/>
              <w:keepNext/>
              <w:keepLines/>
              <w:spacing w:before="40" w:after="40"/>
              <w:jc w:val="center"/>
              <w:rPr>
                <w:szCs w:val="22"/>
                <w:lang w:eastAsia="zh-CN"/>
              </w:rPr>
            </w:pPr>
            <w:r w:rsidRPr="00236418">
              <w:rPr>
                <w:szCs w:val="22"/>
                <w:lang w:eastAsia="zh-CN"/>
              </w:rPr>
              <w:t>CHF</w:t>
            </w:r>
          </w:p>
        </w:tc>
        <w:tc>
          <w:tcPr>
            <w:tcW w:w="1072" w:type="dxa"/>
            <w:tcBorders>
              <w:top w:val="single" w:sz="6" w:space="0" w:color="auto"/>
              <w:left w:val="single" w:sz="6" w:space="0" w:color="auto"/>
              <w:bottom w:val="nil"/>
              <w:right w:val="nil"/>
            </w:tcBorders>
          </w:tcPr>
          <w:p w14:paraId="2C74621D" w14:textId="77777777" w:rsidR="00761B6C" w:rsidRPr="00236418" w:rsidRDefault="00761B6C" w:rsidP="00761B6C">
            <w:pPr>
              <w:pStyle w:val="Tabletext"/>
              <w:keepNext/>
              <w:keepLines/>
              <w:spacing w:before="40" w:after="40"/>
              <w:jc w:val="center"/>
              <w:rPr>
                <w:szCs w:val="22"/>
                <w:lang w:eastAsia="zh-CN"/>
              </w:rPr>
            </w:pPr>
            <w:r w:rsidRPr="00236418">
              <w:rPr>
                <w:szCs w:val="22"/>
                <w:lang w:eastAsia="zh-CN"/>
              </w:rPr>
              <w:t>USD</w:t>
            </w:r>
          </w:p>
        </w:tc>
        <w:tc>
          <w:tcPr>
            <w:tcW w:w="1073" w:type="dxa"/>
            <w:tcBorders>
              <w:top w:val="single" w:sz="6" w:space="0" w:color="auto"/>
              <w:left w:val="single" w:sz="6" w:space="0" w:color="auto"/>
              <w:bottom w:val="nil"/>
              <w:right w:val="single" w:sz="4" w:space="0" w:color="auto"/>
            </w:tcBorders>
          </w:tcPr>
          <w:p w14:paraId="07E4B3BA" w14:textId="77777777" w:rsidR="00761B6C" w:rsidRPr="00236418" w:rsidRDefault="00761B6C" w:rsidP="00761B6C">
            <w:pPr>
              <w:pStyle w:val="Tabletext"/>
              <w:keepNext/>
              <w:keepLines/>
              <w:spacing w:before="40" w:after="40"/>
              <w:jc w:val="center"/>
              <w:rPr>
                <w:szCs w:val="22"/>
                <w:lang w:eastAsia="zh-CN"/>
              </w:rPr>
            </w:pPr>
            <w:r w:rsidRPr="00236418">
              <w:rPr>
                <w:szCs w:val="22"/>
                <w:lang w:eastAsia="zh-CN"/>
              </w:rPr>
              <w:t>EUR</w:t>
            </w:r>
          </w:p>
        </w:tc>
      </w:tr>
      <w:tr w:rsidR="00761B6C" w:rsidRPr="00236418" w14:paraId="26A3D9A9" w14:textId="77777777" w:rsidTr="00761B6C">
        <w:trPr>
          <w:trHeight w:val="247"/>
          <w:jc w:val="center"/>
        </w:trPr>
        <w:tc>
          <w:tcPr>
            <w:tcW w:w="2791" w:type="dxa"/>
            <w:tcBorders>
              <w:top w:val="nil"/>
              <w:left w:val="single" w:sz="6" w:space="0" w:color="auto"/>
              <w:bottom w:val="nil"/>
              <w:right w:val="nil"/>
            </w:tcBorders>
          </w:tcPr>
          <w:p w14:paraId="167DCE39" w14:textId="77777777" w:rsidR="00761B6C" w:rsidRPr="00236418" w:rsidRDefault="00761B6C" w:rsidP="00761B6C">
            <w:pPr>
              <w:pStyle w:val="Tabletext"/>
              <w:keepNext/>
              <w:keepLines/>
              <w:spacing w:before="40" w:after="40"/>
              <w:rPr>
                <w:szCs w:val="22"/>
                <w:lang w:eastAsia="zh-CN"/>
              </w:rPr>
            </w:pPr>
            <w:r w:rsidRPr="00236418">
              <w:rPr>
                <w:szCs w:val="22"/>
                <w:lang w:eastAsia="zh-CN"/>
              </w:rPr>
              <w:t>Échéance</w:t>
            </w:r>
          </w:p>
        </w:tc>
        <w:tc>
          <w:tcPr>
            <w:tcW w:w="1072" w:type="dxa"/>
            <w:tcBorders>
              <w:top w:val="nil"/>
              <w:left w:val="single" w:sz="6" w:space="0" w:color="auto"/>
              <w:right w:val="single" w:sz="6" w:space="0" w:color="auto"/>
            </w:tcBorders>
          </w:tcPr>
          <w:p w14:paraId="735D26C3" w14:textId="77777777" w:rsidR="00761B6C" w:rsidRPr="00236418" w:rsidRDefault="00761B6C" w:rsidP="00761B6C">
            <w:pPr>
              <w:pStyle w:val="Tabletext"/>
              <w:keepNext/>
              <w:keepLines/>
              <w:spacing w:before="40" w:after="40"/>
              <w:jc w:val="right"/>
              <w:rPr>
                <w:szCs w:val="22"/>
                <w:lang w:eastAsia="zh-CN"/>
              </w:rPr>
            </w:pPr>
          </w:p>
        </w:tc>
        <w:tc>
          <w:tcPr>
            <w:tcW w:w="1073" w:type="dxa"/>
            <w:tcBorders>
              <w:top w:val="nil"/>
              <w:left w:val="single" w:sz="6" w:space="0" w:color="auto"/>
              <w:right w:val="single" w:sz="6" w:space="0" w:color="auto"/>
            </w:tcBorders>
          </w:tcPr>
          <w:p w14:paraId="57A500AC" w14:textId="77777777" w:rsidR="00761B6C" w:rsidRPr="00236418" w:rsidRDefault="00761B6C" w:rsidP="00761B6C">
            <w:pPr>
              <w:pStyle w:val="Tabletext"/>
              <w:keepNext/>
              <w:keepLines/>
              <w:spacing w:before="40" w:after="40"/>
              <w:jc w:val="right"/>
              <w:rPr>
                <w:szCs w:val="22"/>
                <w:lang w:eastAsia="zh-CN"/>
              </w:rPr>
            </w:pPr>
          </w:p>
        </w:tc>
        <w:tc>
          <w:tcPr>
            <w:tcW w:w="1073" w:type="dxa"/>
            <w:tcBorders>
              <w:top w:val="nil"/>
              <w:left w:val="single" w:sz="6" w:space="0" w:color="auto"/>
              <w:right w:val="single" w:sz="6" w:space="0" w:color="auto"/>
            </w:tcBorders>
          </w:tcPr>
          <w:p w14:paraId="7017ADCF" w14:textId="77777777" w:rsidR="00761B6C" w:rsidRPr="00236418" w:rsidRDefault="00761B6C" w:rsidP="00761B6C">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5773CA8B"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nil"/>
              <w:right w:val="nil"/>
            </w:tcBorders>
            <w:vAlign w:val="bottom"/>
          </w:tcPr>
          <w:p w14:paraId="102E2984"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single" w:sz="6" w:space="0" w:color="auto"/>
              <w:bottom w:val="nil"/>
              <w:right w:val="single" w:sz="4" w:space="0" w:color="auto"/>
            </w:tcBorders>
            <w:vAlign w:val="bottom"/>
          </w:tcPr>
          <w:p w14:paraId="55FB5976"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 </w:t>
            </w:r>
          </w:p>
        </w:tc>
      </w:tr>
      <w:tr w:rsidR="00761B6C" w:rsidRPr="00236418" w14:paraId="21E4B515" w14:textId="77777777" w:rsidTr="00761B6C">
        <w:trPr>
          <w:trHeight w:val="247"/>
          <w:jc w:val="center"/>
        </w:trPr>
        <w:tc>
          <w:tcPr>
            <w:tcW w:w="2791" w:type="dxa"/>
            <w:tcBorders>
              <w:top w:val="nil"/>
              <w:left w:val="single" w:sz="6" w:space="0" w:color="auto"/>
              <w:bottom w:val="nil"/>
              <w:right w:val="nil"/>
            </w:tcBorders>
          </w:tcPr>
          <w:p w14:paraId="76E20168" w14:textId="77777777" w:rsidR="00761B6C" w:rsidRPr="00236418" w:rsidRDefault="00761B6C" w:rsidP="00761B6C">
            <w:pPr>
              <w:pStyle w:val="Tabletext"/>
              <w:keepNext/>
              <w:keepLines/>
              <w:spacing w:before="40" w:after="40"/>
              <w:rPr>
                <w:szCs w:val="22"/>
                <w:lang w:eastAsia="zh-CN"/>
              </w:rPr>
            </w:pPr>
            <w:r w:rsidRPr="00236418">
              <w:rPr>
                <w:szCs w:val="22"/>
                <w:lang w:eastAsia="zh-CN"/>
              </w:rPr>
              <w:t xml:space="preserve">0-3 mois </w:t>
            </w:r>
          </w:p>
        </w:tc>
        <w:tc>
          <w:tcPr>
            <w:tcW w:w="1072" w:type="dxa"/>
            <w:tcBorders>
              <w:left w:val="single" w:sz="6" w:space="0" w:color="auto"/>
              <w:right w:val="single" w:sz="6" w:space="0" w:color="auto"/>
            </w:tcBorders>
          </w:tcPr>
          <w:p w14:paraId="575CEAE4" w14:textId="77777777" w:rsidR="00761B6C" w:rsidRPr="00236418" w:rsidRDefault="00761B6C" w:rsidP="00761B6C">
            <w:pPr>
              <w:pStyle w:val="Tabletext"/>
              <w:keepNext/>
              <w:keepLines/>
              <w:spacing w:before="40" w:after="40"/>
              <w:jc w:val="right"/>
              <w:rPr>
                <w:szCs w:val="22"/>
                <w:lang w:eastAsia="zh-CN"/>
              </w:rPr>
            </w:pPr>
            <w:r>
              <w:rPr>
                <w:szCs w:val="22"/>
                <w:lang w:eastAsia="zh-CN"/>
              </w:rPr>
              <w:t>10 000</w:t>
            </w:r>
          </w:p>
        </w:tc>
        <w:tc>
          <w:tcPr>
            <w:tcW w:w="1073" w:type="dxa"/>
            <w:tcBorders>
              <w:left w:val="single" w:sz="6" w:space="0" w:color="auto"/>
              <w:right w:val="single" w:sz="6" w:space="0" w:color="auto"/>
            </w:tcBorders>
          </w:tcPr>
          <w:p w14:paraId="22AC0D43" w14:textId="77777777" w:rsidR="00761B6C" w:rsidRPr="00236418" w:rsidRDefault="00761B6C" w:rsidP="00761B6C">
            <w:pPr>
              <w:pStyle w:val="Tabletext"/>
              <w:keepNext/>
              <w:keepLines/>
              <w:spacing w:before="40" w:after="40"/>
              <w:jc w:val="right"/>
              <w:rPr>
                <w:szCs w:val="22"/>
                <w:lang w:eastAsia="zh-CN"/>
              </w:rPr>
            </w:pPr>
            <w:r>
              <w:rPr>
                <w:szCs w:val="22"/>
                <w:lang w:eastAsia="zh-CN"/>
              </w:rPr>
              <w:t>28 614</w:t>
            </w:r>
          </w:p>
        </w:tc>
        <w:tc>
          <w:tcPr>
            <w:tcW w:w="1073" w:type="dxa"/>
            <w:tcBorders>
              <w:left w:val="single" w:sz="6" w:space="0" w:color="auto"/>
              <w:right w:val="single" w:sz="6" w:space="0" w:color="auto"/>
            </w:tcBorders>
          </w:tcPr>
          <w:p w14:paraId="3D85946A" w14:textId="77777777" w:rsidR="00761B6C" w:rsidRPr="00236418" w:rsidRDefault="00761B6C" w:rsidP="00761B6C">
            <w:pPr>
              <w:pStyle w:val="Tabletext"/>
              <w:keepNext/>
              <w:keepLines/>
              <w:spacing w:before="40" w:after="40"/>
              <w:jc w:val="right"/>
              <w:rPr>
                <w:szCs w:val="22"/>
                <w:lang w:eastAsia="zh-CN"/>
              </w:rPr>
            </w:pPr>
            <w:r w:rsidRPr="00064B1C">
              <w:rPr>
                <w:szCs w:val="22"/>
                <w:lang w:eastAsia="zh-CN"/>
              </w:rPr>
              <w:t>–</w:t>
            </w:r>
          </w:p>
        </w:tc>
        <w:tc>
          <w:tcPr>
            <w:tcW w:w="1073" w:type="dxa"/>
            <w:tcBorders>
              <w:top w:val="nil"/>
              <w:left w:val="single" w:sz="6" w:space="0" w:color="auto"/>
              <w:bottom w:val="nil"/>
              <w:right w:val="nil"/>
            </w:tcBorders>
            <w:vAlign w:val="bottom"/>
          </w:tcPr>
          <w:p w14:paraId="489B6E84"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10 000</w:t>
            </w:r>
          </w:p>
        </w:tc>
        <w:tc>
          <w:tcPr>
            <w:tcW w:w="1072" w:type="dxa"/>
            <w:tcBorders>
              <w:top w:val="nil"/>
              <w:left w:val="single" w:sz="6" w:space="0" w:color="auto"/>
              <w:bottom w:val="nil"/>
              <w:right w:val="nil"/>
            </w:tcBorders>
            <w:vAlign w:val="bottom"/>
          </w:tcPr>
          <w:p w14:paraId="0DEB86C9"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19 012</w:t>
            </w:r>
          </w:p>
        </w:tc>
        <w:tc>
          <w:tcPr>
            <w:tcW w:w="1073" w:type="dxa"/>
            <w:tcBorders>
              <w:top w:val="nil"/>
              <w:left w:val="single" w:sz="6" w:space="0" w:color="auto"/>
              <w:bottom w:val="nil"/>
              <w:right w:val="single" w:sz="4" w:space="0" w:color="auto"/>
            </w:tcBorders>
            <w:vAlign w:val="bottom"/>
          </w:tcPr>
          <w:p w14:paraId="1F9E95C7"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w:t>
            </w:r>
          </w:p>
        </w:tc>
      </w:tr>
      <w:tr w:rsidR="00761B6C" w:rsidRPr="00236418" w14:paraId="1CA0BB99" w14:textId="77777777" w:rsidTr="00761B6C">
        <w:trPr>
          <w:trHeight w:val="247"/>
          <w:jc w:val="center"/>
        </w:trPr>
        <w:tc>
          <w:tcPr>
            <w:tcW w:w="2791" w:type="dxa"/>
            <w:tcBorders>
              <w:top w:val="nil"/>
              <w:left w:val="single" w:sz="6" w:space="0" w:color="auto"/>
              <w:bottom w:val="nil"/>
              <w:right w:val="nil"/>
            </w:tcBorders>
          </w:tcPr>
          <w:p w14:paraId="5E03AC89" w14:textId="77777777" w:rsidR="00761B6C" w:rsidRPr="00236418" w:rsidRDefault="00761B6C" w:rsidP="00761B6C">
            <w:pPr>
              <w:pStyle w:val="Tabletext"/>
              <w:keepNext/>
              <w:keepLines/>
              <w:spacing w:before="40" w:after="40"/>
              <w:rPr>
                <w:szCs w:val="22"/>
                <w:lang w:eastAsia="zh-CN"/>
              </w:rPr>
            </w:pPr>
            <w:r w:rsidRPr="00236418">
              <w:rPr>
                <w:szCs w:val="22"/>
                <w:lang w:eastAsia="zh-CN"/>
              </w:rPr>
              <w:t xml:space="preserve">4-6 mois </w:t>
            </w:r>
          </w:p>
        </w:tc>
        <w:tc>
          <w:tcPr>
            <w:tcW w:w="1072" w:type="dxa"/>
            <w:tcBorders>
              <w:left w:val="single" w:sz="6" w:space="0" w:color="auto"/>
              <w:right w:val="single" w:sz="6" w:space="0" w:color="auto"/>
            </w:tcBorders>
          </w:tcPr>
          <w:p w14:paraId="4DFEEFAA" w14:textId="77777777" w:rsidR="00761B6C" w:rsidRPr="00236418" w:rsidRDefault="00761B6C" w:rsidP="00761B6C">
            <w:pPr>
              <w:pStyle w:val="Tabletext"/>
              <w:keepNext/>
              <w:keepLines/>
              <w:spacing w:before="40" w:after="40"/>
              <w:jc w:val="right"/>
              <w:rPr>
                <w:szCs w:val="22"/>
                <w:lang w:eastAsia="zh-CN"/>
              </w:rPr>
            </w:pPr>
          </w:p>
        </w:tc>
        <w:tc>
          <w:tcPr>
            <w:tcW w:w="1073" w:type="dxa"/>
            <w:tcBorders>
              <w:left w:val="single" w:sz="6" w:space="0" w:color="auto"/>
              <w:right w:val="single" w:sz="6" w:space="0" w:color="auto"/>
            </w:tcBorders>
          </w:tcPr>
          <w:p w14:paraId="483D3C2D" w14:textId="77777777" w:rsidR="00761B6C" w:rsidRPr="00236418" w:rsidRDefault="00761B6C" w:rsidP="00761B6C">
            <w:pPr>
              <w:pStyle w:val="Tabletext"/>
              <w:keepNext/>
              <w:keepLines/>
              <w:spacing w:before="40" w:after="40"/>
              <w:jc w:val="right"/>
              <w:rPr>
                <w:szCs w:val="22"/>
                <w:lang w:eastAsia="zh-CN"/>
              </w:rPr>
            </w:pPr>
            <w:r>
              <w:rPr>
                <w:szCs w:val="22"/>
                <w:lang w:eastAsia="zh-CN"/>
              </w:rPr>
              <w:t>65 400</w:t>
            </w:r>
          </w:p>
        </w:tc>
        <w:tc>
          <w:tcPr>
            <w:tcW w:w="1073" w:type="dxa"/>
            <w:tcBorders>
              <w:left w:val="single" w:sz="6" w:space="0" w:color="auto"/>
              <w:right w:val="single" w:sz="6" w:space="0" w:color="auto"/>
            </w:tcBorders>
          </w:tcPr>
          <w:p w14:paraId="703A6801" w14:textId="77777777" w:rsidR="00761B6C" w:rsidRPr="00236418" w:rsidRDefault="00761B6C" w:rsidP="00761B6C">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0BB4F084"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nil"/>
              <w:right w:val="nil"/>
            </w:tcBorders>
            <w:vAlign w:val="bottom"/>
          </w:tcPr>
          <w:p w14:paraId="377BBF10"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4 000</w:t>
            </w:r>
          </w:p>
        </w:tc>
        <w:tc>
          <w:tcPr>
            <w:tcW w:w="1073" w:type="dxa"/>
            <w:tcBorders>
              <w:top w:val="nil"/>
              <w:left w:val="single" w:sz="6" w:space="0" w:color="auto"/>
              <w:bottom w:val="nil"/>
              <w:right w:val="single" w:sz="4" w:space="0" w:color="auto"/>
            </w:tcBorders>
            <w:vAlign w:val="bottom"/>
          </w:tcPr>
          <w:p w14:paraId="215D8AC0"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 </w:t>
            </w:r>
          </w:p>
        </w:tc>
      </w:tr>
      <w:tr w:rsidR="00761B6C" w:rsidRPr="00236418" w14:paraId="0BF31C91" w14:textId="77777777" w:rsidTr="00761B6C">
        <w:trPr>
          <w:trHeight w:val="247"/>
          <w:jc w:val="center"/>
        </w:trPr>
        <w:tc>
          <w:tcPr>
            <w:tcW w:w="2791" w:type="dxa"/>
            <w:tcBorders>
              <w:top w:val="nil"/>
              <w:left w:val="single" w:sz="6" w:space="0" w:color="auto"/>
              <w:bottom w:val="nil"/>
              <w:right w:val="nil"/>
            </w:tcBorders>
          </w:tcPr>
          <w:p w14:paraId="5D4999DF" w14:textId="77777777" w:rsidR="00761B6C" w:rsidRPr="00236418" w:rsidRDefault="00761B6C" w:rsidP="00761B6C">
            <w:pPr>
              <w:pStyle w:val="Tabletext"/>
              <w:keepNext/>
              <w:keepLines/>
              <w:spacing w:before="40" w:after="40"/>
              <w:rPr>
                <w:szCs w:val="22"/>
                <w:lang w:eastAsia="zh-CN"/>
              </w:rPr>
            </w:pPr>
            <w:r w:rsidRPr="00236418">
              <w:rPr>
                <w:szCs w:val="22"/>
                <w:lang w:eastAsia="zh-CN"/>
              </w:rPr>
              <w:t xml:space="preserve">7-9 mois </w:t>
            </w:r>
          </w:p>
        </w:tc>
        <w:tc>
          <w:tcPr>
            <w:tcW w:w="1072" w:type="dxa"/>
            <w:tcBorders>
              <w:left w:val="single" w:sz="6" w:space="0" w:color="auto"/>
              <w:right w:val="single" w:sz="6" w:space="0" w:color="auto"/>
            </w:tcBorders>
          </w:tcPr>
          <w:p w14:paraId="6BA0F02D" w14:textId="77777777" w:rsidR="00761B6C" w:rsidRPr="00236418" w:rsidRDefault="00761B6C" w:rsidP="00761B6C">
            <w:pPr>
              <w:pStyle w:val="Tabletext"/>
              <w:keepNext/>
              <w:keepLines/>
              <w:spacing w:before="40" w:after="40"/>
              <w:jc w:val="right"/>
              <w:rPr>
                <w:szCs w:val="22"/>
                <w:lang w:eastAsia="zh-CN"/>
              </w:rPr>
            </w:pPr>
          </w:p>
        </w:tc>
        <w:tc>
          <w:tcPr>
            <w:tcW w:w="1073" w:type="dxa"/>
            <w:tcBorders>
              <w:left w:val="single" w:sz="6" w:space="0" w:color="auto"/>
              <w:right w:val="single" w:sz="6" w:space="0" w:color="auto"/>
            </w:tcBorders>
          </w:tcPr>
          <w:p w14:paraId="182AEB55" w14:textId="77777777" w:rsidR="00761B6C" w:rsidRPr="00236418" w:rsidRDefault="00761B6C" w:rsidP="00761B6C">
            <w:pPr>
              <w:pStyle w:val="Tabletext"/>
              <w:keepNext/>
              <w:keepLines/>
              <w:spacing w:before="40" w:after="40"/>
              <w:jc w:val="right"/>
              <w:rPr>
                <w:szCs w:val="22"/>
                <w:lang w:eastAsia="zh-CN"/>
              </w:rPr>
            </w:pPr>
          </w:p>
        </w:tc>
        <w:tc>
          <w:tcPr>
            <w:tcW w:w="1073" w:type="dxa"/>
            <w:tcBorders>
              <w:left w:val="single" w:sz="6" w:space="0" w:color="auto"/>
              <w:right w:val="single" w:sz="6" w:space="0" w:color="auto"/>
            </w:tcBorders>
          </w:tcPr>
          <w:p w14:paraId="4192CE75" w14:textId="77777777" w:rsidR="00761B6C" w:rsidRPr="00236418" w:rsidRDefault="00761B6C" w:rsidP="00761B6C">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38072948"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nil"/>
              <w:right w:val="nil"/>
            </w:tcBorders>
            <w:vAlign w:val="bottom"/>
          </w:tcPr>
          <w:p w14:paraId="05C793A4" w14:textId="77777777" w:rsidR="00761B6C" w:rsidRPr="00236418" w:rsidRDefault="00761B6C" w:rsidP="00761B6C">
            <w:pPr>
              <w:pStyle w:val="Tabletext"/>
              <w:keepNext/>
              <w:keepLines/>
              <w:spacing w:before="40" w:after="40"/>
              <w:jc w:val="right"/>
              <w:rPr>
                <w:szCs w:val="22"/>
                <w:lang w:eastAsia="zh-CN"/>
              </w:rPr>
            </w:pPr>
          </w:p>
        </w:tc>
        <w:tc>
          <w:tcPr>
            <w:tcW w:w="1073" w:type="dxa"/>
            <w:tcBorders>
              <w:top w:val="nil"/>
              <w:left w:val="single" w:sz="6" w:space="0" w:color="auto"/>
              <w:bottom w:val="nil"/>
              <w:right w:val="single" w:sz="4" w:space="0" w:color="auto"/>
            </w:tcBorders>
            <w:vAlign w:val="bottom"/>
          </w:tcPr>
          <w:p w14:paraId="54779DF2"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 </w:t>
            </w:r>
          </w:p>
        </w:tc>
      </w:tr>
      <w:tr w:rsidR="00761B6C" w:rsidRPr="00236418" w14:paraId="031FB397" w14:textId="77777777" w:rsidTr="00761B6C">
        <w:trPr>
          <w:trHeight w:val="247"/>
          <w:jc w:val="center"/>
        </w:trPr>
        <w:tc>
          <w:tcPr>
            <w:tcW w:w="2791" w:type="dxa"/>
            <w:tcBorders>
              <w:top w:val="nil"/>
              <w:left w:val="single" w:sz="6" w:space="0" w:color="auto"/>
              <w:bottom w:val="nil"/>
              <w:right w:val="nil"/>
            </w:tcBorders>
          </w:tcPr>
          <w:p w14:paraId="089B9D61" w14:textId="77777777" w:rsidR="00761B6C" w:rsidRPr="00236418" w:rsidRDefault="00761B6C" w:rsidP="00761B6C">
            <w:pPr>
              <w:pStyle w:val="Tabletext"/>
              <w:keepNext/>
              <w:keepLines/>
              <w:spacing w:before="40" w:after="40"/>
              <w:rPr>
                <w:szCs w:val="22"/>
                <w:lang w:eastAsia="zh-CN"/>
              </w:rPr>
            </w:pPr>
            <w:r w:rsidRPr="00236418">
              <w:rPr>
                <w:szCs w:val="22"/>
                <w:lang w:eastAsia="zh-CN"/>
              </w:rPr>
              <w:t>au-delà de 9 mois</w:t>
            </w:r>
          </w:p>
        </w:tc>
        <w:tc>
          <w:tcPr>
            <w:tcW w:w="1072" w:type="dxa"/>
            <w:tcBorders>
              <w:left w:val="single" w:sz="6" w:space="0" w:color="auto"/>
              <w:bottom w:val="single" w:sz="4" w:space="0" w:color="auto"/>
              <w:right w:val="single" w:sz="6" w:space="0" w:color="auto"/>
            </w:tcBorders>
          </w:tcPr>
          <w:p w14:paraId="54F13647" w14:textId="77777777" w:rsidR="00761B6C" w:rsidRPr="00236418" w:rsidRDefault="00761B6C" w:rsidP="00761B6C">
            <w:pPr>
              <w:pStyle w:val="Tabletext"/>
              <w:keepNext/>
              <w:keepLines/>
              <w:spacing w:before="40" w:after="40"/>
              <w:jc w:val="right"/>
              <w:rPr>
                <w:szCs w:val="22"/>
                <w:lang w:eastAsia="zh-CN"/>
              </w:rPr>
            </w:pPr>
          </w:p>
        </w:tc>
        <w:tc>
          <w:tcPr>
            <w:tcW w:w="1073" w:type="dxa"/>
            <w:tcBorders>
              <w:left w:val="single" w:sz="6" w:space="0" w:color="auto"/>
              <w:bottom w:val="single" w:sz="4" w:space="0" w:color="auto"/>
              <w:right w:val="single" w:sz="6" w:space="0" w:color="auto"/>
            </w:tcBorders>
          </w:tcPr>
          <w:p w14:paraId="44BC29CB" w14:textId="77777777" w:rsidR="00761B6C" w:rsidRPr="00236418" w:rsidRDefault="00761B6C" w:rsidP="00761B6C">
            <w:pPr>
              <w:pStyle w:val="Tabletext"/>
              <w:keepNext/>
              <w:keepLines/>
              <w:spacing w:before="40" w:after="40"/>
              <w:jc w:val="right"/>
              <w:rPr>
                <w:szCs w:val="22"/>
                <w:lang w:eastAsia="zh-CN"/>
              </w:rPr>
            </w:pPr>
          </w:p>
        </w:tc>
        <w:tc>
          <w:tcPr>
            <w:tcW w:w="1073" w:type="dxa"/>
            <w:tcBorders>
              <w:left w:val="single" w:sz="6" w:space="0" w:color="auto"/>
              <w:bottom w:val="single" w:sz="4" w:space="0" w:color="auto"/>
              <w:right w:val="single" w:sz="6" w:space="0" w:color="auto"/>
            </w:tcBorders>
          </w:tcPr>
          <w:p w14:paraId="019C2F16" w14:textId="77777777" w:rsidR="00761B6C" w:rsidRPr="00236418" w:rsidRDefault="00761B6C" w:rsidP="00761B6C">
            <w:pPr>
              <w:pStyle w:val="Tabletext"/>
              <w:keepNext/>
              <w:keepLines/>
              <w:spacing w:before="40" w:after="40"/>
              <w:jc w:val="right"/>
              <w:rPr>
                <w:szCs w:val="22"/>
                <w:lang w:eastAsia="zh-CN"/>
              </w:rPr>
            </w:pPr>
          </w:p>
        </w:tc>
        <w:tc>
          <w:tcPr>
            <w:tcW w:w="1073" w:type="dxa"/>
            <w:tcBorders>
              <w:top w:val="nil"/>
              <w:left w:val="single" w:sz="6" w:space="0" w:color="auto"/>
              <w:bottom w:val="single" w:sz="4" w:space="0" w:color="auto"/>
              <w:right w:val="single" w:sz="6" w:space="0" w:color="auto"/>
            </w:tcBorders>
            <w:vAlign w:val="bottom"/>
          </w:tcPr>
          <w:p w14:paraId="5FC70667"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single" w:sz="4" w:space="0" w:color="auto"/>
              <w:right w:val="single" w:sz="6" w:space="0" w:color="auto"/>
            </w:tcBorders>
            <w:vAlign w:val="bottom"/>
          </w:tcPr>
          <w:p w14:paraId="714D8C16"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nil"/>
              <w:bottom w:val="single" w:sz="4" w:space="0" w:color="auto"/>
              <w:right w:val="single" w:sz="4" w:space="0" w:color="auto"/>
            </w:tcBorders>
            <w:vAlign w:val="bottom"/>
          </w:tcPr>
          <w:p w14:paraId="47041829" w14:textId="77777777" w:rsidR="00761B6C" w:rsidRPr="00236418" w:rsidRDefault="00761B6C" w:rsidP="00761B6C">
            <w:pPr>
              <w:pStyle w:val="Tabletext"/>
              <w:keepNext/>
              <w:keepLines/>
              <w:spacing w:before="40" w:after="40"/>
              <w:jc w:val="right"/>
              <w:rPr>
                <w:szCs w:val="22"/>
                <w:lang w:eastAsia="zh-CN"/>
              </w:rPr>
            </w:pPr>
            <w:r w:rsidRPr="00236418">
              <w:rPr>
                <w:szCs w:val="22"/>
                <w:lang w:eastAsia="zh-CN"/>
              </w:rPr>
              <w:t> </w:t>
            </w:r>
          </w:p>
        </w:tc>
      </w:tr>
      <w:tr w:rsidR="00761B6C" w:rsidRPr="00236418" w14:paraId="45EBD96D" w14:textId="77777777" w:rsidTr="00761B6C">
        <w:trPr>
          <w:trHeight w:val="135"/>
          <w:jc w:val="center"/>
        </w:trPr>
        <w:tc>
          <w:tcPr>
            <w:tcW w:w="2791" w:type="dxa"/>
            <w:tcBorders>
              <w:top w:val="single" w:sz="6" w:space="0" w:color="auto"/>
              <w:left w:val="single" w:sz="6" w:space="0" w:color="auto"/>
              <w:bottom w:val="single" w:sz="6" w:space="0" w:color="auto"/>
              <w:right w:val="nil"/>
            </w:tcBorders>
          </w:tcPr>
          <w:p w14:paraId="72396166" w14:textId="77777777" w:rsidR="00761B6C" w:rsidRPr="00236418" w:rsidRDefault="00761B6C" w:rsidP="00761B6C">
            <w:pPr>
              <w:pStyle w:val="Tablehead"/>
              <w:keepNext/>
              <w:keepLines/>
              <w:spacing w:before="40" w:after="40"/>
              <w:jc w:val="left"/>
              <w:rPr>
                <w:szCs w:val="22"/>
                <w:lang w:eastAsia="zh-CN"/>
              </w:rPr>
            </w:pPr>
            <w:r w:rsidRPr="00236418">
              <w:rPr>
                <w:szCs w:val="22"/>
                <w:lang w:eastAsia="zh-CN"/>
              </w:rPr>
              <w:t xml:space="preserve">Placements </w:t>
            </w:r>
          </w:p>
        </w:tc>
        <w:tc>
          <w:tcPr>
            <w:tcW w:w="1072" w:type="dxa"/>
            <w:tcBorders>
              <w:top w:val="single" w:sz="4" w:space="0" w:color="auto"/>
              <w:left w:val="single" w:sz="6" w:space="0" w:color="auto"/>
              <w:bottom w:val="single" w:sz="6" w:space="0" w:color="auto"/>
              <w:right w:val="single" w:sz="6" w:space="0" w:color="auto"/>
            </w:tcBorders>
          </w:tcPr>
          <w:p w14:paraId="1E5A7314" w14:textId="77777777" w:rsidR="00761B6C" w:rsidRPr="00236418" w:rsidRDefault="00761B6C" w:rsidP="00761B6C">
            <w:pPr>
              <w:pStyle w:val="Tablehead"/>
              <w:keepNext/>
              <w:keepLines/>
              <w:spacing w:before="40" w:after="40"/>
              <w:jc w:val="right"/>
              <w:rPr>
                <w:szCs w:val="22"/>
                <w:lang w:eastAsia="zh-CN"/>
              </w:rPr>
            </w:pPr>
            <w:r>
              <w:rPr>
                <w:szCs w:val="22"/>
                <w:lang w:eastAsia="zh-CN"/>
              </w:rPr>
              <w:t>10 000</w:t>
            </w:r>
          </w:p>
        </w:tc>
        <w:tc>
          <w:tcPr>
            <w:tcW w:w="1073" w:type="dxa"/>
            <w:tcBorders>
              <w:top w:val="single" w:sz="4" w:space="0" w:color="auto"/>
              <w:left w:val="single" w:sz="6" w:space="0" w:color="auto"/>
              <w:bottom w:val="single" w:sz="6" w:space="0" w:color="auto"/>
              <w:right w:val="single" w:sz="6" w:space="0" w:color="auto"/>
            </w:tcBorders>
          </w:tcPr>
          <w:p w14:paraId="0EFD9BC3" w14:textId="77777777" w:rsidR="00761B6C" w:rsidRPr="00236418" w:rsidRDefault="00761B6C" w:rsidP="00761B6C">
            <w:pPr>
              <w:pStyle w:val="Tablehead"/>
              <w:keepNext/>
              <w:keepLines/>
              <w:spacing w:before="40" w:after="40"/>
              <w:jc w:val="right"/>
              <w:rPr>
                <w:szCs w:val="22"/>
                <w:lang w:eastAsia="zh-CN"/>
              </w:rPr>
            </w:pPr>
            <w:r>
              <w:rPr>
                <w:szCs w:val="22"/>
                <w:lang w:eastAsia="zh-CN"/>
              </w:rPr>
              <w:t xml:space="preserve">94 014 </w:t>
            </w:r>
          </w:p>
        </w:tc>
        <w:tc>
          <w:tcPr>
            <w:tcW w:w="1073" w:type="dxa"/>
            <w:tcBorders>
              <w:top w:val="single" w:sz="4" w:space="0" w:color="auto"/>
              <w:left w:val="single" w:sz="6" w:space="0" w:color="auto"/>
              <w:bottom w:val="single" w:sz="6" w:space="0" w:color="auto"/>
              <w:right w:val="single" w:sz="6" w:space="0" w:color="auto"/>
            </w:tcBorders>
          </w:tcPr>
          <w:p w14:paraId="324D44FC" w14:textId="77777777" w:rsidR="00761B6C" w:rsidRPr="00236418" w:rsidRDefault="00761B6C" w:rsidP="00761B6C">
            <w:pPr>
              <w:pStyle w:val="Tablehead"/>
              <w:keepNext/>
              <w:keepLines/>
              <w:spacing w:before="40" w:after="40"/>
              <w:jc w:val="right"/>
              <w:rPr>
                <w:szCs w:val="22"/>
                <w:lang w:eastAsia="zh-CN"/>
              </w:rPr>
            </w:pPr>
            <w:r w:rsidRPr="00064B1C">
              <w:rPr>
                <w:szCs w:val="22"/>
                <w:lang w:eastAsia="zh-CN"/>
              </w:rPr>
              <w:t>–</w:t>
            </w:r>
          </w:p>
        </w:tc>
        <w:tc>
          <w:tcPr>
            <w:tcW w:w="1073" w:type="dxa"/>
            <w:tcBorders>
              <w:top w:val="single" w:sz="4" w:space="0" w:color="auto"/>
              <w:left w:val="single" w:sz="6" w:space="0" w:color="auto"/>
              <w:bottom w:val="single" w:sz="6" w:space="0" w:color="auto"/>
              <w:right w:val="nil"/>
            </w:tcBorders>
            <w:vAlign w:val="center"/>
          </w:tcPr>
          <w:p w14:paraId="595C336A" w14:textId="77777777" w:rsidR="00761B6C" w:rsidRPr="00236418" w:rsidRDefault="00761B6C" w:rsidP="00761B6C">
            <w:pPr>
              <w:pStyle w:val="Tablehead"/>
              <w:keepNext/>
              <w:keepLines/>
              <w:spacing w:before="40" w:after="40"/>
              <w:jc w:val="right"/>
              <w:rPr>
                <w:szCs w:val="22"/>
                <w:lang w:eastAsia="zh-CN"/>
              </w:rPr>
            </w:pPr>
            <w:r w:rsidRPr="00236418">
              <w:rPr>
                <w:szCs w:val="22"/>
                <w:lang w:eastAsia="zh-CN"/>
              </w:rPr>
              <w:t>10 000</w:t>
            </w:r>
          </w:p>
        </w:tc>
        <w:tc>
          <w:tcPr>
            <w:tcW w:w="1072" w:type="dxa"/>
            <w:tcBorders>
              <w:top w:val="single" w:sz="4" w:space="0" w:color="auto"/>
              <w:left w:val="single" w:sz="6" w:space="0" w:color="auto"/>
              <w:bottom w:val="single" w:sz="6" w:space="0" w:color="auto"/>
              <w:right w:val="nil"/>
            </w:tcBorders>
            <w:vAlign w:val="center"/>
          </w:tcPr>
          <w:p w14:paraId="412D485E" w14:textId="77777777" w:rsidR="00761B6C" w:rsidRPr="00236418" w:rsidRDefault="00761B6C" w:rsidP="00761B6C">
            <w:pPr>
              <w:pStyle w:val="Tablehead"/>
              <w:keepNext/>
              <w:keepLines/>
              <w:spacing w:before="40" w:after="40"/>
              <w:jc w:val="right"/>
              <w:rPr>
                <w:szCs w:val="22"/>
                <w:lang w:eastAsia="zh-CN"/>
              </w:rPr>
            </w:pPr>
            <w:r w:rsidRPr="00236418">
              <w:rPr>
                <w:szCs w:val="22"/>
                <w:lang w:eastAsia="zh-CN"/>
              </w:rPr>
              <w:t>23 012</w:t>
            </w:r>
          </w:p>
        </w:tc>
        <w:tc>
          <w:tcPr>
            <w:tcW w:w="1073" w:type="dxa"/>
            <w:tcBorders>
              <w:top w:val="single" w:sz="4" w:space="0" w:color="auto"/>
              <w:left w:val="single" w:sz="6" w:space="0" w:color="auto"/>
              <w:bottom w:val="single" w:sz="6" w:space="0" w:color="auto"/>
              <w:right w:val="single" w:sz="4" w:space="0" w:color="auto"/>
            </w:tcBorders>
            <w:vAlign w:val="center"/>
          </w:tcPr>
          <w:p w14:paraId="013E1658" w14:textId="77777777" w:rsidR="00761B6C" w:rsidRPr="00236418" w:rsidRDefault="00761B6C" w:rsidP="00761B6C">
            <w:pPr>
              <w:pStyle w:val="Tablehead"/>
              <w:keepNext/>
              <w:keepLines/>
              <w:spacing w:before="40" w:after="40"/>
              <w:jc w:val="right"/>
              <w:rPr>
                <w:szCs w:val="22"/>
                <w:lang w:eastAsia="zh-CN"/>
              </w:rPr>
            </w:pPr>
            <w:r w:rsidRPr="00236418">
              <w:rPr>
                <w:szCs w:val="22"/>
                <w:lang w:eastAsia="zh-CN"/>
              </w:rPr>
              <w:t>–</w:t>
            </w:r>
          </w:p>
        </w:tc>
      </w:tr>
    </w:tbl>
    <w:p w14:paraId="040111EE" w14:textId="77777777" w:rsidR="00761B6C" w:rsidRPr="00236418" w:rsidRDefault="00761B6C" w:rsidP="0019278D">
      <w:pPr>
        <w:spacing w:before="240"/>
        <w:rPr>
          <w:lang w:eastAsia="fr-FR"/>
        </w:rPr>
      </w:pPr>
      <w:bookmarkStart w:id="1534" w:name="_MON_1397396454"/>
      <w:bookmarkStart w:id="1535" w:name="_MON_1395746156"/>
      <w:bookmarkStart w:id="1536" w:name="_Toc268007539"/>
      <w:bookmarkStart w:id="1537" w:name="_Toc329178782"/>
      <w:bookmarkStart w:id="1538" w:name="_Toc329181755"/>
      <w:bookmarkStart w:id="1539" w:name="_Toc329202575"/>
      <w:bookmarkStart w:id="1540" w:name="_Toc329205007"/>
      <w:bookmarkStart w:id="1541" w:name="_Toc329206844"/>
      <w:bookmarkEnd w:id="1534"/>
      <w:bookmarkEnd w:id="1535"/>
      <w:r w:rsidRPr="00236418">
        <w:rPr>
          <w:lang w:eastAsia="fr-FR"/>
        </w:rPr>
        <w:t>Il a été possible d</w:t>
      </w:r>
      <w:r>
        <w:rPr>
          <w:lang w:eastAsia="fr-FR"/>
        </w:rPr>
        <w:t>'</w:t>
      </w:r>
      <w:r w:rsidRPr="00236418">
        <w:rPr>
          <w:lang w:eastAsia="fr-FR"/>
        </w:rPr>
        <w:t>effectuer un dépôt en francs suisses auprès de la Banque nationale suisse, qui accorde aux organisations internationales une exonération d</w:t>
      </w:r>
      <w:r>
        <w:rPr>
          <w:lang w:eastAsia="fr-FR"/>
        </w:rPr>
        <w:t>'</w:t>
      </w:r>
      <w:r w:rsidRPr="00236418">
        <w:rPr>
          <w:lang w:eastAsia="fr-FR"/>
        </w:rPr>
        <w:t>intérêts négatifs sur un montant minimum de 10 millions CHF.</w:t>
      </w:r>
    </w:p>
    <w:p w14:paraId="3819828C" w14:textId="77777777" w:rsidR="00761B6C" w:rsidRPr="00236418" w:rsidRDefault="00761B6C" w:rsidP="0019278D">
      <w:pPr>
        <w:pStyle w:val="Heading1"/>
        <w:spacing w:before="240"/>
        <w:rPr>
          <w:sz w:val="24"/>
          <w:szCs w:val="24"/>
        </w:rPr>
      </w:pPr>
      <w:bookmarkStart w:id="1542" w:name="_Toc358379930"/>
      <w:bookmarkStart w:id="1543" w:name="_Toc358380470"/>
      <w:bookmarkStart w:id="1544" w:name="_Toc387166650"/>
      <w:bookmarkStart w:id="1545" w:name="_Toc395260935"/>
      <w:bookmarkStart w:id="1546" w:name="_Toc395511714"/>
      <w:bookmarkStart w:id="1547" w:name="_Toc452138624"/>
      <w:bookmarkStart w:id="1548" w:name="_Toc452139073"/>
      <w:bookmarkStart w:id="1549" w:name="_Toc452139437"/>
      <w:bookmarkStart w:id="1550" w:name="_Toc452139838"/>
      <w:bookmarkStart w:id="1551" w:name="_Toc452140712"/>
      <w:bookmarkStart w:id="1552" w:name="_Toc482801502"/>
      <w:bookmarkStart w:id="1553" w:name="_Toc511649474"/>
      <w:bookmarkStart w:id="1554" w:name="_Toc511649844"/>
      <w:bookmarkStart w:id="1555" w:name="_Toc511649960"/>
      <w:bookmarkStart w:id="1556" w:name="_Toc511651217"/>
      <w:bookmarkStart w:id="1557" w:name="_Toc511724082"/>
      <w:bookmarkStart w:id="1558" w:name="_Toc511739071"/>
      <w:bookmarkStart w:id="1559" w:name="_Toc511741240"/>
      <w:bookmarkStart w:id="1560" w:name="_Toc10450746"/>
      <w:bookmarkStart w:id="1561" w:name="_Toc41566346"/>
      <w:bookmarkStart w:id="1562" w:name="_Toc41567354"/>
      <w:bookmarkStart w:id="1563" w:name="_Toc41567857"/>
      <w:bookmarkStart w:id="1564" w:name="_Toc41814952"/>
      <w:bookmarkStart w:id="1565" w:name="_Toc73354441"/>
      <w:bookmarkStart w:id="1566" w:name="_Toc73356417"/>
      <w:r w:rsidRPr="00236418">
        <w:rPr>
          <w:sz w:val="24"/>
          <w:szCs w:val="24"/>
        </w:rPr>
        <w:t>Note 8</w:t>
      </w:r>
      <w:r w:rsidRPr="00236418">
        <w:rPr>
          <w:sz w:val="24"/>
          <w:szCs w:val="24"/>
        </w:rPr>
        <w:tab/>
        <w:t>C</w:t>
      </w:r>
      <w:bookmarkEnd w:id="1536"/>
      <w:r w:rsidRPr="00236418">
        <w:rPr>
          <w:sz w:val="24"/>
          <w:szCs w:val="24"/>
        </w:rPr>
        <w:t>réances</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45B1F958" w14:textId="77777777" w:rsidR="00761B6C" w:rsidRPr="00236418" w:rsidRDefault="00761B6C" w:rsidP="00761B6C">
      <w:r w:rsidRPr="00236418">
        <w:t>Les créances représentent les produits non encore encaissés que les États Membres, les Membres des Secteurs et les Associés se sont engagés à verser à l</w:t>
      </w:r>
      <w:r>
        <w:t>'</w:t>
      </w:r>
      <w:r w:rsidRPr="00236418">
        <w:t>UIT au titre des contributions annuelles, de l</w:t>
      </w:r>
      <w:r>
        <w:t>'</w:t>
      </w:r>
      <w:r w:rsidRPr="00236418">
        <w:t xml:space="preserve">acquisition de publications et des notifications de réseaux à satellite ou de factures diverses. Les sommes </w:t>
      </w:r>
      <w:r w:rsidRPr="00236418">
        <w:rPr>
          <w:color w:val="000000" w:themeColor="text1"/>
        </w:rPr>
        <w:t xml:space="preserve">dues sur les contributions </w:t>
      </w:r>
      <w:r w:rsidRPr="00236418">
        <w:t>portent intérêt à partir du début du quatrième mois de chaque année financière de l</w:t>
      </w:r>
      <w:r>
        <w:t>'</w:t>
      </w:r>
      <w:r w:rsidRPr="00236418">
        <w:t xml:space="preserve">UIT. Cet intérêt est fixé au taux de 3% par an pendant les trois mois qui suivent et au taux de 6% par an à partir du début du septième mois. </w:t>
      </w:r>
    </w:p>
    <w:p w14:paraId="57B77F8E" w14:textId="77777777" w:rsidR="00761B6C" w:rsidRPr="00236418" w:rsidRDefault="00761B6C" w:rsidP="00761B6C">
      <w:r w:rsidRPr="00236418">
        <w:t>Les créances non courantes sans contrepartie directe représentent des créances liées aux plans d</w:t>
      </w:r>
      <w:r>
        <w:t>'</w:t>
      </w:r>
      <w:r w:rsidRPr="00236418">
        <w:t>amortissement de la dette de certains membres qui se sont engagés à rembourser cette dette dans le cadre d</w:t>
      </w:r>
      <w:r>
        <w:t>'</w:t>
      </w:r>
      <w:r w:rsidRPr="00236418">
        <w:t>un accord couvrant plusieurs exercices.</w:t>
      </w:r>
    </w:p>
    <w:p w14:paraId="35A55B94" w14:textId="77777777" w:rsidR="00761B6C" w:rsidRPr="00236418" w:rsidRDefault="00761B6C" w:rsidP="00761B6C">
      <w:r w:rsidRPr="00236418">
        <w:t>Les autres créances représentent les produits non encaissés pour les services liés à ITU TELECOM et les contributions volontaires.</w:t>
      </w:r>
      <w:bookmarkStart w:id="1567" w:name="_Toc268007540"/>
    </w:p>
    <w:p w14:paraId="23B7134F" w14:textId="77777777" w:rsidR="00761B6C" w:rsidRPr="00236418" w:rsidRDefault="00761B6C" w:rsidP="00761B6C">
      <w:pPr>
        <w:spacing w:after="120"/>
      </w:pPr>
      <w:r w:rsidRPr="00236418">
        <w:t>Il convient de souligner que depuis la mise en place des normes IPSAS, une provision de 100% a été comptabilisée pour l</w:t>
      </w:r>
      <w:r>
        <w:t>'</w:t>
      </w:r>
      <w:r w:rsidRPr="00236418">
        <w:t>ensemble des arriérés, comptes spéciaux d</w:t>
      </w:r>
      <w:r>
        <w:t>'</w:t>
      </w:r>
      <w:r w:rsidRPr="00236418">
        <w:t>arriérés et comptes spéciaux d</w:t>
      </w:r>
      <w:r>
        <w:t>'</w:t>
      </w:r>
      <w:r w:rsidRPr="00236418">
        <w:t>arriérés supprimés.</w:t>
      </w:r>
    </w:p>
    <w:p w14:paraId="416C8FAC" w14:textId="77777777" w:rsidR="00761B6C" w:rsidRPr="00236418" w:rsidRDefault="00761B6C" w:rsidP="00761B6C">
      <w:pPr>
        <w:keepNext/>
        <w:keepLines/>
        <w:spacing w:after="120"/>
      </w:pPr>
      <w:r w:rsidRPr="00236418">
        <w:t xml:space="preserve">Après le paiement de créances pour un montant de </w:t>
      </w:r>
      <w:r>
        <w:t>1</w:t>
      </w:r>
      <w:r w:rsidRPr="00236418">
        <w:t>,</w:t>
      </w:r>
      <w:r>
        <w:t>7</w:t>
      </w:r>
      <w:r w:rsidRPr="00236418">
        <w:t xml:space="preserve"> million</w:t>
      </w:r>
      <w:r>
        <w:t xml:space="preserve"> </w:t>
      </w:r>
      <w:r w:rsidRPr="00236418">
        <w:t>CHF pour lesquelles une provision avait été constituée ces dernières années, la provision pour créances douteuses a été réduite en conséquence. En fin d</w:t>
      </w:r>
      <w:r>
        <w:t>'</w:t>
      </w:r>
      <w:r w:rsidRPr="00236418">
        <w:t>exercice, un ajustement a été comptabilisé, d</w:t>
      </w:r>
      <w:r>
        <w:t>'</w:t>
      </w:r>
      <w:r w:rsidRPr="00236418">
        <w:t>un montant de 2,</w:t>
      </w:r>
      <w:r>
        <w:t>8</w:t>
      </w:r>
      <w:r w:rsidRPr="00236418">
        <w:t> millions CHF pour le budget ordinaire.</w:t>
      </w:r>
    </w:p>
    <w:p w14:paraId="7CD08861" w14:textId="77777777" w:rsidR="00761B6C" w:rsidRDefault="00761B6C" w:rsidP="00761B6C">
      <w:pPr>
        <w:spacing w:after="120"/>
      </w:pPr>
      <w:r w:rsidRPr="00236418">
        <w:t>Les principaux indicateurs démontrent que la situation financière immédiate de l</w:t>
      </w:r>
      <w:r>
        <w:t>'</w:t>
      </w:r>
      <w:r w:rsidRPr="00236418">
        <w:t>Union est saine, malgré un niveau de créances à recouvrer pour des retards de paiement de 12 mois ou plus (arriérés, comptes spéciaux d</w:t>
      </w:r>
      <w:r>
        <w:t>'</w:t>
      </w:r>
      <w:r w:rsidRPr="00236418">
        <w:t>arriérés et comptes spéciaux d</w:t>
      </w:r>
      <w:r>
        <w:t>'</w:t>
      </w:r>
      <w:r w:rsidRPr="00236418">
        <w:t>arriérés supprimés) s</w:t>
      </w:r>
      <w:r>
        <w:t>'</w:t>
      </w:r>
      <w:r w:rsidRPr="00236418">
        <w:t>élevant à </w:t>
      </w:r>
      <w:r>
        <w:t>40,57</w:t>
      </w:r>
      <w:r w:rsidRPr="00236418">
        <w:t> millions CHF au 31 décembre 20</w:t>
      </w:r>
      <w:r>
        <w:t>20</w:t>
      </w:r>
      <w:r w:rsidRPr="00236418">
        <w:t xml:space="preserve"> (contre 39,</w:t>
      </w:r>
      <w:r>
        <w:t>8</w:t>
      </w:r>
      <w:r w:rsidRPr="00236418">
        <w:t> millions CHF au 31 décembre 201</w:t>
      </w:r>
      <w:r>
        <w:t>9</w:t>
      </w:r>
      <w:r w:rsidRPr="00236418">
        <w:t>).</w:t>
      </w:r>
      <w:bookmarkStart w:id="1568" w:name="_Toc329202576"/>
      <w:bookmarkStart w:id="1569" w:name="_Toc329205008"/>
      <w:bookmarkStart w:id="1570" w:name="_Toc329206845"/>
      <w:bookmarkStart w:id="1571" w:name="_Toc358379931"/>
      <w:bookmarkStart w:id="1572" w:name="_Toc358380471"/>
    </w:p>
    <w:p w14:paraId="670CFBB4" w14:textId="77777777" w:rsidR="00761B6C" w:rsidRPr="00783093" w:rsidRDefault="00761B6C" w:rsidP="00761B6C">
      <w:pPr>
        <w:spacing w:after="120"/>
      </w:pPr>
      <w:r>
        <w:t xml:space="preserve">Sous l'effet direct de la pandémie, il n'y a aucune incidence concrète supplémentaire sur la provision pour les créances liées aux contributions mises en recouvrement. </w:t>
      </w:r>
      <w:r w:rsidRPr="00C957E1">
        <w:t xml:space="preserve">Les États Membres se sont montrés proactifs </w:t>
      </w:r>
      <w:r>
        <w:t>en</w:t>
      </w:r>
      <w:r w:rsidRPr="00C957E1">
        <w:t xml:space="preserve"> s</w:t>
      </w:r>
      <w:r>
        <w:t xml:space="preserve">'acquittant de leurs contributions </w:t>
      </w:r>
      <w:r>
        <w:rPr>
          <w:color w:val="000000"/>
        </w:rPr>
        <w:t xml:space="preserve">en retard </w:t>
      </w:r>
      <w:r>
        <w:t>et le taux de recouvrement des contributions pour 2020 s'est établi à 95%, ce qui est conforme aux années précédentes</w:t>
      </w:r>
      <w:r w:rsidRPr="00783093">
        <w:t>.</w:t>
      </w:r>
    </w:p>
    <w:p w14:paraId="78211C00" w14:textId="77777777" w:rsidR="00761B6C" w:rsidRPr="00236418" w:rsidRDefault="00761B6C" w:rsidP="00761B6C">
      <w:pPr>
        <w:spacing w:after="120"/>
      </w:pPr>
      <w:r w:rsidRPr="00236418">
        <w:lastRenderedPageBreak/>
        <w:t>La situation des arriérés dans le budget ordinaire de l</w:t>
      </w:r>
      <w:r>
        <w:t>'</w:t>
      </w:r>
      <w:r w:rsidRPr="00236418">
        <w:t>Union au 31 décembre 20</w:t>
      </w:r>
      <w:r>
        <w:t>20</w:t>
      </w:r>
      <w:r w:rsidRPr="00236418">
        <w:t xml:space="preserve"> est donnée dans l</w:t>
      </w:r>
      <w:r>
        <w:t>'</w:t>
      </w:r>
      <w:r w:rsidRPr="00236418">
        <w:t>Annexe C du présent document.</w:t>
      </w:r>
    </w:p>
    <w:tbl>
      <w:tblPr>
        <w:tblW w:w="9546" w:type="dxa"/>
        <w:jc w:val="center"/>
        <w:tblLayout w:type="fixed"/>
        <w:tblLook w:val="04A0" w:firstRow="1" w:lastRow="0" w:firstColumn="1" w:lastColumn="0" w:noHBand="0" w:noVBand="1"/>
        <w:tblCaption w:val="E"/>
      </w:tblPr>
      <w:tblGrid>
        <w:gridCol w:w="6516"/>
        <w:gridCol w:w="1515"/>
        <w:gridCol w:w="1515"/>
      </w:tblGrid>
      <w:tr w:rsidR="00761B6C" w:rsidRPr="00236418" w14:paraId="2CBB1895" w14:textId="77777777" w:rsidTr="00761B6C">
        <w:trPr>
          <w:trHeight w:val="20"/>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369E" w14:textId="77777777" w:rsidR="00761B6C" w:rsidRPr="00236418" w:rsidRDefault="00761B6C" w:rsidP="00761B6C">
            <w:pPr>
              <w:pStyle w:val="Tablehead"/>
              <w:keepNext/>
              <w:keepLines/>
              <w:spacing w:before="40" w:after="40"/>
              <w:jc w:val="left"/>
              <w:rPr>
                <w:sz w:val="20"/>
                <w:lang w:eastAsia="zh-CN"/>
              </w:rPr>
            </w:pPr>
            <w:r w:rsidRPr="00236418">
              <w:rPr>
                <w:sz w:val="20"/>
                <w:lang w:eastAsia="zh-CN"/>
              </w:rPr>
              <w:t>En milliers</w:t>
            </w:r>
            <w:r>
              <w:rPr>
                <w:sz w:val="20"/>
                <w:lang w:eastAsia="zh-CN"/>
              </w:rPr>
              <w:t xml:space="preserve"> </w:t>
            </w:r>
            <w:r w:rsidRPr="00236418">
              <w:rPr>
                <w:sz w:val="20"/>
                <w:lang w:eastAsia="zh-CN"/>
              </w:rPr>
              <w:t>CHF</w:t>
            </w:r>
          </w:p>
        </w:tc>
        <w:tc>
          <w:tcPr>
            <w:tcW w:w="1515" w:type="dxa"/>
            <w:tcBorders>
              <w:top w:val="single" w:sz="4" w:space="0" w:color="auto"/>
              <w:left w:val="nil"/>
              <w:bottom w:val="single" w:sz="4" w:space="0" w:color="auto"/>
              <w:right w:val="single" w:sz="4" w:space="0" w:color="auto"/>
            </w:tcBorders>
            <w:shd w:val="clear" w:color="auto" w:fill="auto"/>
            <w:vAlign w:val="center"/>
          </w:tcPr>
          <w:p w14:paraId="060826BD" w14:textId="77777777" w:rsidR="00761B6C" w:rsidRPr="00236418" w:rsidRDefault="00761B6C" w:rsidP="00761B6C">
            <w:pPr>
              <w:pStyle w:val="Tablehead"/>
              <w:keepNext/>
              <w:keepLines/>
              <w:spacing w:before="40" w:after="40"/>
              <w:rPr>
                <w:sz w:val="20"/>
                <w:lang w:eastAsia="zh-CN"/>
              </w:rPr>
            </w:pPr>
            <w:r w:rsidRPr="00236418">
              <w:rPr>
                <w:sz w:val="20"/>
                <w:lang w:eastAsia="zh-CN"/>
              </w:rPr>
              <w:t>31.12.20</w:t>
            </w:r>
            <w:r>
              <w:rPr>
                <w:sz w:val="20"/>
                <w:lang w:eastAsia="zh-CN"/>
              </w:rPr>
              <w:t>20</w:t>
            </w:r>
          </w:p>
        </w:tc>
        <w:tc>
          <w:tcPr>
            <w:tcW w:w="1515" w:type="dxa"/>
            <w:tcBorders>
              <w:top w:val="single" w:sz="4" w:space="0" w:color="auto"/>
              <w:left w:val="nil"/>
              <w:bottom w:val="single" w:sz="4" w:space="0" w:color="auto"/>
              <w:right w:val="single" w:sz="4" w:space="0" w:color="auto"/>
            </w:tcBorders>
            <w:vAlign w:val="center"/>
          </w:tcPr>
          <w:p w14:paraId="01C2E440" w14:textId="77777777" w:rsidR="00761B6C" w:rsidRPr="00236418" w:rsidRDefault="00761B6C" w:rsidP="00761B6C">
            <w:pPr>
              <w:pStyle w:val="Tablehead"/>
              <w:keepNext/>
              <w:keepLines/>
              <w:spacing w:before="40" w:after="40"/>
              <w:rPr>
                <w:sz w:val="20"/>
                <w:lang w:eastAsia="zh-CN"/>
              </w:rPr>
            </w:pPr>
            <w:r w:rsidRPr="00236418">
              <w:rPr>
                <w:sz w:val="20"/>
                <w:lang w:eastAsia="zh-CN"/>
              </w:rPr>
              <w:t>31.12.2019</w:t>
            </w:r>
          </w:p>
        </w:tc>
      </w:tr>
      <w:tr w:rsidR="00761B6C" w:rsidRPr="00236418" w14:paraId="31A13ABA" w14:textId="77777777" w:rsidTr="00761B6C">
        <w:trPr>
          <w:jc w:val="center"/>
        </w:trPr>
        <w:tc>
          <w:tcPr>
            <w:tcW w:w="6516" w:type="dxa"/>
            <w:tcBorders>
              <w:top w:val="nil"/>
              <w:left w:val="single" w:sz="4" w:space="0" w:color="auto"/>
              <w:bottom w:val="nil"/>
              <w:right w:val="single" w:sz="4" w:space="0" w:color="auto"/>
            </w:tcBorders>
            <w:shd w:val="clear" w:color="auto" w:fill="auto"/>
            <w:noWrap/>
            <w:vAlign w:val="bottom"/>
          </w:tcPr>
          <w:p w14:paraId="20AAE1DA" w14:textId="77777777" w:rsidR="00761B6C" w:rsidRPr="00236418" w:rsidRDefault="00761B6C" w:rsidP="00761B6C">
            <w:pPr>
              <w:pStyle w:val="Tabletext"/>
              <w:keepNext/>
              <w:keepLines/>
              <w:spacing w:before="40" w:after="40"/>
              <w:rPr>
                <w:sz w:val="20"/>
                <w:lang w:eastAsia="zh-CN"/>
              </w:rPr>
            </w:pPr>
            <w:r w:rsidRPr="00236418">
              <w:rPr>
                <w:sz w:val="20"/>
                <w:lang w:eastAsia="zh-CN"/>
              </w:rPr>
              <w:t>Créances courantes avec contrepartie</w:t>
            </w:r>
          </w:p>
        </w:tc>
        <w:tc>
          <w:tcPr>
            <w:tcW w:w="1515" w:type="dxa"/>
            <w:tcBorders>
              <w:top w:val="nil"/>
              <w:left w:val="nil"/>
              <w:bottom w:val="nil"/>
              <w:right w:val="single" w:sz="4" w:space="0" w:color="auto"/>
            </w:tcBorders>
            <w:shd w:val="clear" w:color="auto" w:fill="auto"/>
            <w:noWrap/>
            <w:vAlign w:val="bottom"/>
          </w:tcPr>
          <w:p w14:paraId="56A72AE1" w14:textId="77777777" w:rsidR="00761B6C" w:rsidRPr="00236418" w:rsidRDefault="00761B6C" w:rsidP="00761B6C">
            <w:pPr>
              <w:pStyle w:val="Tabletext"/>
              <w:keepNext/>
              <w:keepLines/>
              <w:spacing w:before="40" w:after="40"/>
              <w:jc w:val="right"/>
              <w:rPr>
                <w:sz w:val="20"/>
                <w:lang w:eastAsia="zh-CN"/>
              </w:rPr>
            </w:pPr>
            <w:r>
              <w:rPr>
                <w:sz w:val="20"/>
                <w:lang w:eastAsia="zh-CN"/>
              </w:rPr>
              <w:t>9 571</w:t>
            </w:r>
          </w:p>
        </w:tc>
        <w:tc>
          <w:tcPr>
            <w:tcW w:w="1515" w:type="dxa"/>
            <w:tcBorders>
              <w:top w:val="nil"/>
              <w:left w:val="nil"/>
              <w:bottom w:val="nil"/>
              <w:right w:val="single" w:sz="4" w:space="0" w:color="auto"/>
            </w:tcBorders>
            <w:vAlign w:val="bottom"/>
          </w:tcPr>
          <w:p w14:paraId="6624ECE7" w14:textId="77777777" w:rsidR="00761B6C" w:rsidRPr="00236418" w:rsidRDefault="00761B6C" w:rsidP="00761B6C">
            <w:pPr>
              <w:pStyle w:val="Tabletext"/>
              <w:keepNext/>
              <w:keepLines/>
              <w:spacing w:before="40" w:after="40"/>
              <w:jc w:val="right"/>
              <w:rPr>
                <w:sz w:val="20"/>
                <w:lang w:eastAsia="zh-CN"/>
              </w:rPr>
            </w:pPr>
            <w:r w:rsidRPr="00236418">
              <w:rPr>
                <w:rFonts w:asciiTheme="minorHAnsi" w:hAnsiTheme="minorHAnsi" w:cs="Arial"/>
                <w:color w:val="000000"/>
                <w:sz w:val="20"/>
                <w:lang w:eastAsia="zh-CN"/>
              </w:rPr>
              <w:t>7 518</w:t>
            </w:r>
          </w:p>
        </w:tc>
      </w:tr>
      <w:tr w:rsidR="00761B6C" w:rsidRPr="00236418" w14:paraId="7270DB65" w14:textId="77777777" w:rsidTr="00761B6C">
        <w:trPr>
          <w:jc w:val="center"/>
        </w:trPr>
        <w:tc>
          <w:tcPr>
            <w:tcW w:w="6516" w:type="dxa"/>
            <w:tcBorders>
              <w:top w:val="nil"/>
              <w:left w:val="single" w:sz="4" w:space="0" w:color="auto"/>
              <w:bottom w:val="single" w:sz="4" w:space="0" w:color="auto"/>
              <w:right w:val="single" w:sz="4" w:space="0" w:color="auto"/>
            </w:tcBorders>
            <w:shd w:val="clear" w:color="auto" w:fill="auto"/>
            <w:noWrap/>
            <w:vAlign w:val="bottom"/>
          </w:tcPr>
          <w:p w14:paraId="1156BF20" w14:textId="77777777" w:rsidR="00761B6C" w:rsidRPr="00236418" w:rsidRDefault="00761B6C" w:rsidP="00761B6C">
            <w:pPr>
              <w:pStyle w:val="Tabletext"/>
              <w:keepNext/>
              <w:keepLines/>
              <w:spacing w:before="40" w:after="40"/>
              <w:rPr>
                <w:sz w:val="20"/>
                <w:lang w:eastAsia="zh-CN"/>
              </w:rPr>
            </w:pPr>
            <w:r w:rsidRPr="00236418">
              <w:rPr>
                <w:sz w:val="20"/>
                <w:lang w:eastAsia="zh-CN"/>
              </w:rPr>
              <w:t>Provision pour pertes sur créances courantes avec contrepartie</w:t>
            </w:r>
          </w:p>
        </w:tc>
        <w:tc>
          <w:tcPr>
            <w:tcW w:w="1515" w:type="dxa"/>
            <w:tcBorders>
              <w:top w:val="nil"/>
              <w:left w:val="nil"/>
              <w:bottom w:val="single" w:sz="4" w:space="0" w:color="auto"/>
              <w:right w:val="single" w:sz="4" w:space="0" w:color="auto"/>
            </w:tcBorders>
            <w:shd w:val="clear" w:color="auto" w:fill="auto"/>
            <w:noWrap/>
            <w:vAlign w:val="bottom"/>
          </w:tcPr>
          <w:p w14:paraId="47EEE207" w14:textId="77777777" w:rsidR="00761B6C" w:rsidRPr="00236418" w:rsidRDefault="00761B6C" w:rsidP="00761B6C">
            <w:pPr>
              <w:pStyle w:val="Tabletext"/>
              <w:keepNext/>
              <w:keepLines/>
              <w:spacing w:before="40" w:after="40"/>
              <w:jc w:val="right"/>
              <w:rPr>
                <w:sz w:val="20"/>
                <w:lang w:eastAsia="zh-CN"/>
              </w:rPr>
            </w:pPr>
            <w:r w:rsidRPr="00064B1C">
              <w:rPr>
                <w:sz w:val="20"/>
                <w:lang w:eastAsia="zh-CN"/>
              </w:rPr>
              <w:t>–</w:t>
            </w:r>
            <w:r>
              <w:rPr>
                <w:sz w:val="20"/>
                <w:lang w:eastAsia="zh-CN"/>
              </w:rPr>
              <w:t>1 090</w:t>
            </w:r>
          </w:p>
        </w:tc>
        <w:tc>
          <w:tcPr>
            <w:tcW w:w="1515" w:type="dxa"/>
            <w:tcBorders>
              <w:top w:val="nil"/>
              <w:left w:val="nil"/>
              <w:bottom w:val="single" w:sz="4" w:space="0" w:color="auto"/>
              <w:right w:val="single" w:sz="4" w:space="0" w:color="auto"/>
            </w:tcBorders>
            <w:vAlign w:val="bottom"/>
          </w:tcPr>
          <w:p w14:paraId="3261F13F" w14:textId="77777777" w:rsidR="00761B6C" w:rsidRPr="00236418" w:rsidRDefault="00761B6C" w:rsidP="00761B6C">
            <w:pPr>
              <w:pStyle w:val="Tabletext"/>
              <w:keepNext/>
              <w:keepLines/>
              <w:spacing w:before="40" w:after="40"/>
              <w:jc w:val="right"/>
              <w:rPr>
                <w:sz w:val="20"/>
                <w:lang w:eastAsia="zh-CN"/>
              </w:rPr>
            </w:pPr>
            <w:r w:rsidRPr="00236418">
              <w:rPr>
                <w:rFonts w:asciiTheme="minorHAnsi" w:hAnsiTheme="minorHAnsi" w:cs="Arial"/>
                <w:color w:val="000000"/>
                <w:sz w:val="20"/>
                <w:lang w:eastAsia="zh-CN"/>
              </w:rPr>
              <w:t>–1 046</w:t>
            </w:r>
          </w:p>
        </w:tc>
      </w:tr>
      <w:tr w:rsidR="00761B6C" w:rsidRPr="00236418" w14:paraId="6C92C664" w14:textId="77777777" w:rsidTr="00761B6C">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DA5E7" w14:textId="77777777" w:rsidR="00761B6C" w:rsidRPr="00236418" w:rsidRDefault="00761B6C" w:rsidP="00761B6C">
            <w:pPr>
              <w:pStyle w:val="Tablehead"/>
              <w:keepNext/>
              <w:keepLines/>
              <w:spacing w:before="40" w:after="40"/>
              <w:jc w:val="left"/>
              <w:rPr>
                <w:sz w:val="20"/>
                <w:lang w:eastAsia="zh-CN"/>
              </w:rPr>
            </w:pPr>
            <w:r w:rsidRPr="00236418">
              <w:rPr>
                <w:sz w:val="20"/>
                <w:lang w:eastAsia="zh-CN"/>
              </w:rPr>
              <w:t>Créances courantes avec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30F284A2" w14:textId="77777777" w:rsidR="00761B6C" w:rsidRPr="00236418" w:rsidRDefault="00761B6C" w:rsidP="00761B6C">
            <w:pPr>
              <w:pStyle w:val="Tablehead"/>
              <w:keepNext/>
              <w:keepLines/>
              <w:spacing w:before="40" w:after="40"/>
              <w:jc w:val="right"/>
              <w:rPr>
                <w:sz w:val="20"/>
                <w:lang w:eastAsia="zh-CN"/>
              </w:rPr>
            </w:pPr>
            <w:r>
              <w:rPr>
                <w:sz w:val="20"/>
                <w:lang w:eastAsia="zh-CN"/>
              </w:rPr>
              <w:t>8 481</w:t>
            </w:r>
          </w:p>
        </w:tc>
        <w:tc>
          <w:tcPr>
            <w:tcW w:w="1515" w:type="dxa"/>
            <w:tcBorders>
              <w:top w:val="single" w:sz="4" w:space="0" w:color="auto"/>
              <w:left w:val="nil"/>
              <w:bottom w:val="single" w:sz="4" w:space="0" w:color="auto"/>
              <w:right w:val="single" w:sz="4" w:space="0" w:color="auto"/>
            </w:tcBorders>
            <w:vAlign w:val="center"/>
          </w:tcPr>
          <w:p w14:paraId="62D6FC1D" w14:textId="77777777" w:rsidR="00761B6C" w:rsidRPr="00236418" w:rsidRDefault="00761B6C" w:rsidP="00761B6C">
            <w:pPr>
              <w:pStyle w:val="Tablehead"/>
              <w:keepNext/>
              <w:keepLines/>
              <w:spacing w:before="40" w:after="40"/>
              <w:jc w:val="right"/>
              <w:rPr>
                <w:sz w:val="20"/>
                <w:lang w:eastAsia="zh-CN"/>
              </w:rPr>
            </w:pPr>
            <w:r w:rsidRPr="00236418">
              <w:rPr>
                <w:rFonts w:asciiTheme="minorHAnsi" w:hAnsiTheme="minorHAnsi" w:cs="Arial"/>
                <w:color w:val="000000"/>
                <w:sz w:val="20"/>
                <w:lang w:eastAsia="zh-CN"/>
              </w:rPr>
              <w:t>6 471</w:t>
            </w:r>
          </w:p>
        </w:tc>
      </w:tr>
      <w:tr w:rsidR="00761B6C" w:rsidRPr="00236418" w14:paraId="7E3AC971" w14:textId="77777777" w:rsidTr="00761B6C">
        <w:trPr>
          <w:jc w:val="center"/>
        </w:trPr>
        <w:tc>
          <w:tcPr>
            <w:tcW w:w="6516" w:type="dxa"/>
            <w:tcBorders>
              <w:top w:val="single" w:sz="4" w:space="0" w:color="auto"/>
              <w:left w:val="single" w:sz="4" w:space="0" w:color="auto"/>
              <w:bottom w:val="nil"/>
              <w:right w:val="single" w:sz="4" w:space="0" w:color="auto"/>
            </w:tcBorders>
            <w:shd w:val="clear" w:color="auto" w:fill="auto"/>
            <w:noWrap/>
            <w:vAlign w:val="bottom"/>
          </w:tcPr>
          <w:p w14:paraId="55D1CCB5" w14:textId="77777777" w:rsidR="00761B6C" w:rsidRPr="00236418" w:rsidRDefault="00761B6C" w:rsidP="00761B6C">
            <w:pPr>
              <w:pStyle w:val="Tabletext"/>
              <w:keepNext/>
              <w:keepLines/>
              <w:spacing w:before="40" w:after="40"/>
              <w:rPr>
                <w:sz w:val="20"/>
                <w:lang w:eastAsia="zh-CN"/>
              </w:rPr>
            </w:pPr>
            <w:r w:rsidRPr="00236418">
              <w:rPr>
                <w:sz w:val="20"/>
                <w:lang w:eastAsia="zh-CN"/>
              </w:rPr>
              <w:t>Créances courantes sans contrepartie</w:t>
            </w:r>
          </w:p>
        </w:tc>
        <w:tc>
          <w:tcPr>
            <w:tcW w:w="1515" w:type="dxa"/>
            <w:tcBorders>
              <w:top w:val="single" w:sz="4" w:space="0" w:color="auto"/>
              <w:left w:val="nil"/>
              <w:bottom w:val="nil"/>
              <w:right w:val="single" w:sz="4" w:space="0" w:color="auto"/>
            </w:tcBorders>
            <w:shd w:val="clear" w:color="auto" w:fill="auto"/>
            <w:noWrap/>
            <w:vAlign w:val="bottom"/>
          </w:tcPr>
          <w:p w14:paraId="6CA7289F" w14:textId="77777777" w:rsidR="00761B6C" w:rsidRPr="00236418" w:rsidRDefault="00761B6C" w:rsidP="00761B6C">
            <w:pPr>
              <w:pStyle w:val="Tabletext"/>
              <w:keepNext/>
              <w:keepLines/>
              <w:spacing w:before="40" w:after="40"/>
              <w:jc w:val="right"/>
              <w:rPr>
                <w:sz w:val="20"/>
                <w:lang w:eastAsia="zh-CN"/>
              </w:rPr>
            </w:pPr>
            <w:r>
              <w:rPr>
                <w:sz w:val="20"/>
                <w:lang w:eastAsia="zh-CN"/>
              </w:rPr>
              <w:t>125 022</w:t>
            </w:r>
          </w:p>
        </w:tc>
        <w:tc>
          <w:tcPr>
            <w:tcW w:w="1515" w:type="dxa"/>
            <w:tcBorders>
              <w:top w:val="single" w:sz="4" w:space="0" w:color="auto"/>
              <w:left w:val="nil"/>
              <w:bottom w:val="nil"/>
              <w:right w:val="single" w:sz="4" w:space="0" w:color="auto"/>
            </w:tcBorders>
            <w:vAlign w:val="bottom"/>
          </w:tcPr>
          <w:p w14:paraId="63CE590A" w14:textId="77777777" w:rsidR="00761B6C" w:rsidRPr="00236418" w:rsidRDefault="00761B6C" w:rsidP="00761B6C">
            <w:pPr>
              <w:pStyle w:val="Tabletext"/>
              <w:keepNext/>
              <w:keepLines/>
              <w:spacing w:before="40" w:after="40"/>
              <w:jc w:val="right"/>
              <w:rPr>
                <w:sz w:val="20"/>
                <w:lang w:eastAsia="zh-CN"/>
              </w:rPr>
            </w:pPr>
            <w:r w:rsidRPr="00236418">
              <w:rPr>
                <w:rFonts w:asciiTheme="minorHAnsi" w:hAnsiTheme="minorHAnsi" w:cs="Arial"/>
                <w:color w:val="000000"/>
                <w:sz w:val="20"/>
                <w:lang w:eastAsia="zh-CN"/>
              </w:rPr>
              <w:t>125 881</w:t>
            </w:r>
          </w:p>
        </w:tc>
      </w:tr>
      <w:tr w:rsidR="00761B6C" w:rsidRPr="00236418" w14:paraId="5CCB1F1A" w14:textId="77777777" w:rsidTr="00761B6C">
        <w:trPr>
          <w:jc w:val="center"/>
        </w:trPr>
        <w:tc>
          <w:tcPr>
            <w:tcW w:w="6516" w:type="dxa"/>
            <w:tcBorders>
              <w:top w:val="nil"/>
              <w:left w:val="single" w:sz="4" w:space="0" w:color="auto"/>
              <w:bottom w:val="single" w:sz="4" w:space="0" w:color="auto"/>
              <w:right w:val="single" w:sz="4" w:space="0" w:color="auto"/>
            </w:tcBorders>
            <w:shd w:val="clear" w:color="auto" w:fill="auto"/>
            <w:noWrap/>
            <w:vAlign w:val="bottom"/>
          </w:tcPr>
          <w:p w14:paraId="304EFB13" w14:textId="77777777" w:rsidR="00761B6C" w:rsidRPr="00236418" w:rsidRDefault="00761B6C" w:rsidP="00761B6C">
            <w:pPr>
              <w:pStyle w:val="Tabletext"/>
              <w:keepNext/>
              <w:keepLines/>
              <w:spacing w:before="40" w:after="40"/>
              <w:rPr>
                <w:sz w:val="20"/>
                <w:lang w:eastAsia="zh-CN"/>
              </w:rPr>
            </w:pPr>
            <w:r w:rsidRPr="00236418">
              <w:rPr>
                <w:sz w:val="20"/>
                <w:lang w:eastAsia="zh-CN"/>
              </w:rPr>
              <w:t>Provision pour pertes sur créances courantes sans contrepartie</w:t>
            </w:r>
          </w:p>
        </w:tc>
        <w:tc>
          <w:tcPr>
            <w:tcW w:w="1515" w:type="dxa"/>
            <w:tcBorders>
              <w:top w:val="nil"/>
              <w:left w:val="nil"/>
              <w:bottom w:val="single" w:sz="4" w:space="0" w:color="auto"/>
              <w:right w:val="single" w:sz="4" w:space="0" w:color="auto"/>
            </w:tcBorders>
            <w:shd w:val="clear" w:color="auto" w:fill="auto"/>
            <w:noWrap/>
            <w:vAlign w:val="bottom"/>
          </w:tcPr>
          <w:p w14:paraId="6102C7AA" w14:textId="77777777" w:rsidR="00761B6C" w:rsidRPr="00236418" w:rsidRDefault="00761B6C" w:rsidP="00761B6C">
            <w:pPr>
              <w:pStyle w:val="Tabletext"/>
              <w:keepNext/>
              <w:keepLines/>
              <w:spacing w:before="40" w:after="40"/>
              <w:jc w:val="right"/>
              <w:rPr>
                <w:sz w:val="20"/>
                <w:lang w:eastAsia="zh-CN"/>
              </w:rPr>
            </w:pPr>
            <w:r w:rsidRPr="00064B1C">
              <w:rPr>
                <w:sz w:val="20"/>
                <w:lang w:eastAsia="zh-CN"/>
              </w:rPr>
              <w:t>–</w:t>
            </w:r>
            <w:r>
              <w:rPr>
                <w:sz w:val="20"/>
                <w:lang w:eastAsia="zh-CN"/>
              </w:rPr>
              <w:t>35 716</w:t>
            </w:r>
          </w:p>
        </w:tc>
        <w:tc>
          <w:tcPr>
            <w:tcW w:w="1515" w:type="dxa"/>
            <w:tcBorders>
              <w:top w:val="nil"/>
              <w:left w:val="nil"/>
              <w:bottom w:val="single" w:sz="4" w:space="0" w:color="auto"/>
              <w:right w:val="single" w:sz="4" w:space="0" w:color="auto"/>
            </w:tcBorders>
            <w:vAlign w:val="bottom"/>
          </w:tcPr>
          <w:p w14:paraId="42B2B4B3" w14:textId="77777777" w:rsidR="00761B6C" w:rsidRPr="00236418" w:rsidRDefault="00761B6C" w:rsidP="00761B6C">
            <w:pPr>
              <w:pStyle w:val="Tabletext"/>
              <w:keepNext/>
              <w:keepLines/>
              <w:spacing w:before="40" w:after="40"/>
              <w:jc w:val="right"/>
              <w:rPr>
                <w:sz w:val="20"/>
                <w:lang w:eastAsia="zh-CN"/>
              </w:rPr>
            </w:pPr>
            <w:r w:rsidRPr="00236418">
              <w:rPr>
                <w:rFonts w:asciiTheme="minorHAnsi" w:hAnsiTheme="minorHAnsi" w:cs="Arial"/>
                <w:color w:val="000000"/>
                <w:sz w:val="20"/>
                <w:lang w:eastAsia="zh-CN"/>
              </w:rPr>
              <w:t>–37 566</w:t>
            </w:r>
          </w:p>
        </w:tc>
      </w:tr>
      <w:tr w:rsidR="00761B6C" w:rsidRPr="00236418" w14:paraId="5C091DEB" w14:textId="77777777" w:rsidTr="00761B6C">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50DBF" w14:textId="77777777" w:rsidR="00761B6C" w:rsidRPr="00236418" w:rsidRDefault="00761B6C" w:rsidP="00761B6C">
            <w:pPr>
              <w:pStyle w:val="Tablehead"/>
              <w:keepNext/>
              <w:keepLines/>
              <w:spacing w:before="40" w:after="40"/>
              <w:jc w:val="left"/>
              <w:rPr>
                <w:sz w:val="20"/>
                <w:lang w:eastAsia="zh-CN"/>
              </w:rPr>
            </w:pPr>
            <w:r w:rsidRPr="00236418">
              <w:rPr>
                <w:sz w:val="20"/>
                <w:lang w:eastAsia="zh-CN"/>
              </w:rPr>
              <w:t>Créances courantes sans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609D4867" w14:textId="77777777" w:rsidR="00761B6C" w:rsidRPr="00236418" w:rsidRDefault="00761B6C" w:rsidP="00761B6C">
            <w:pPr>
              <w:pStyle w:val="Tablehead"/>
              <w:keepNext/>
              <w:keepLines/>
              <w:spacing w:before="40" w:after="40"/>
              <w:jc w:val="right"/>
              <w:rPr>
                <w:sz w:val="20"/>
                <w:lang w:eastAsia="zh-CN"/>
              </w:rPr>
            </w:pPr>
            <w:r>
              <w:rPr>
                <w:sz w:val="20"/>
                <w:lang w:eastAsia="zh-CN"/>
              </w:rPr>
              <w:t>89 306</w:t>
            </w:r>
          </w:p>
        </w:tc>
        <w:tc>
          <w:tcPr>
            <w:tcW w:w="1515" w:type="dxa"/>
            <w:tcBorders>
              <w:top w:val="single" w:sz="4" w:space="0" w:color="auto"/>
              <w:left w:val="nil"/>
              <w:bottom w:val="single" w:sz="4" w:space="0" w:color="auto"/>
              <w:right w:val="single" w:sz="4" w:space="0" w:color="auto"/>
            </w:tcBorders>
            <w:vAlign w:val="bottom"/>
          </w:tcPr>
          <w:p w14:paraId="0CEF868A" w14:textId="77777777" w:rsidR="00761B6C" w:rsidRPr="00236418" w:rsidRDefault="00761B6C" w:rsidP="00761B6C">
            <w:pPr>
              <w:pStyle w:val="Tablehead"/>
              <w:keepNext/>
              <w:keepLines/>
              <w:spacing w:before="40" w:after="40"/>
              <w:jc w:val="right"/>
              <w:rPr>
                <w:sz w:val="20"/>
                <w:lang w:eastAsia="zh-CN"/>
              </w:rPr>
            </w:pPr>
            <w:r w:rsidRPr="00236418">
              <w:rPr>
                <w:rFonts w:asciiTheme="minorHAnsi" w:hAnsiTheme="minorHAnsi" w:cs="Arial"/>
                <w:color w:val="000000"/>
                <w:sz w:val="20"/>
                <w:lang w:eastAsia="zh-CN"/>
              </w:rPr>
              <w:t>88 315</w:t>
            </w:r>
          </w:p>
        </w:tc>
      </w:tr>
      <w:tr w:rsidR="00761B6C" w:rsidRPr="00236418" w14:paraId="3C828089" w14:textId="77777777" w:rsidTr="00761B6C">
        <w:trPr>
          <w:jc w:val="center"/>
        </w:trPr>
        <w:tc>
          <w:tcPr>
            <w:tcW w:w="6516" w:type="dxa"/>
            <w:tcBorders>
              <w:top w:val="single" w:sz="4" w:space="0" w:color="auto"/>
              <w:left w:val="single" w:sz="4" w:space="0" w:color="auto"/>
              <w:bottom w:val="nil"/>
              <w:right w:val="single" w:sz="4" w:space="0" w:color="auto"/>
            </w:tcBorders>
            <w:shd w:val="clear" w:color="auto" w:fill="auto"/>
            <w:noWrap/>
            <w:vAlign w:val="bottom"/>
          </w:tcPr>
          <w:p w14:paraId="64CDACA4" w14:textId="77777777" w:rsidR="00761B6C" w:rsidRPr="00236418" w:rsidRDefault="00761B6C" w:rsidP="00761B6C">
            <w:pPr>
              <w:pStyle w:val="Tabletext"/>
              <w:keepNext/>
              <w:keepLines/>
              <w:spacing w:before="40" w:after="40"/>
              <w:rPr>
                <w:sz w:val="20"/>
                <w:lang w:eastAsia="zh-CN"/>
              </w:rPr>
            </w:pPr>
            <w:r w:rsidRPr="00236418">
              <w:rPr>
                <w:sz w:val="20"/>
                <w:lang w:eastAsia="zh-CN"/>
              </w:rPr>
              <w:t>Créances non courantes avec contrepartie</w:t>
            </w:r>
          </w:p>
        </w:tc>
        <w:tc>
          <w:tcPr>
            <w:tcW w:w="1515" w:type="dxa"/>
            <w:tcBorders>
              <w:top w:val="single" w:sz="4" w:space="0" w:color="auto"/>
              <w:left w:val="nil"/>
              <w:bottom w:val="nil"/>
              <w:right w:val="single" w:sz="4" w:space="0" w:color="auto"/>
            </w:tcBorders>
            <w:shd w:val="clear" w:color="auto" w:fill="auto"/>
            <w:noWrap/>
            <w:vAlign w:val="bottom"/>
          </w:tcPr>
          <w:p w14:paraId="4164FB7A" w14:textId="77777777" w:rsidR="00761B6C" w:rsidRPr="00236418" w:rsidRDefault="00761B6C" w:rsidP="00761B6C">
            <w:pPr>
              <w:pStyle w:val="Tabletext"/>
              <w:keepNext/>
              <w:keepLines/>
              <w:spacing w:before="40" w:after="40"/>
              <w:jc w:val="right"/>
              <w:rPr>
                <w:sz w:val="20"/>
                <w:lang w:eastAsia="zh-CN"/>
              </w:rPr>
            </w:pPr>
            <w:r w:rsidRPr="00064B1C">
              <w:rPr>
                <w:sz w:val="20"/>
                <w:lang w:eastAsia="zh-CN"/>
              </w:rPr>
              <w:t>–</w:t>
            </w:r>
          </w:p>
        </w:tc>
        <w:tc>
          <w:tcPr>
            <w:tcW w:w="1515" w:type="dxa"/>
            <w:tcBorders>
              <w:top w:val="single" w:sz="4" w:space="0" w:color="auto"/>
              <w:left w:val="nil"/>
              <w:bottom w:val="nil"/>
              <w:right w:val="single" w:sz="4" w:space="0" w:color="auto"/>
            </w:tcBorders>
            <w:vAlign w:val="bottom"/>
          </w:tcPr>
          <w:p w14:paraId="5A104060" w14:textId="77777777" w:rsidR="00761B6C" w:rsidRPr="00236418" w:rsidRDefault="00761B6C" w:rsidP="00761B6C">
            <w:pPr>
              <w:pStyle w:val="Tabletext"/>
              <w:keepNext/>
              <w:keepLines/>
              <w:spacing w:before="40" w:after="40"/>
              <w:jc w:val="right"/>
              <w:rPr>
                <w:sz w:val="20"/>
                <w:lang w:eastAsia="zh-CN"/>
              </w:rPr>
            </w:pPr>
            <w:r w:rsidRPr="00236418">
              <w:rPr>
                <w:sz w:val="20"/>
                <w:lang w:eastAsia="zh-CN"/>
              </w:rPr>
              <w:t>–</w:t>
            </w:r>
          </w:p>
        </w:tc>
      </w:tr>
      <w:tr w:rsidR="00761B6C" w:rsidRPr="00236418" w14:paraId="7374A8EB" w14:textId="77777777" w:rsidTr="00761B6C">
        <w:trPr>
          <w:jc w:val="center"/>
        </w:trPr>
        <w:tc>
          <w:tcPr>
            <w:tcW w:w="6516" w:type="dxa"/>
            <w:tcBorders>
              <w:left w:val="single" w:sz="4" w:space="0" w:color="auto"/>
              <w:right w:val="single" w:sz="4" w:space="0" w:color="auto"/>
            </w:tcBorders>
            <w:shd w:val="clear" w:color="auto" w:fill="auto"/>
            <w:noWrap/>
            <w:vAlign w:val="center"/>
          </w:tcPr>
          <w:p w14:paraId="7589E38E" w14:textId="77777777" w:rsidR="00761B6C" w:rsidRPr="00236418" w:rsidRDefault="00761B6C" w:rsidP="00761B6C">
            <w:pPr>
              <w:pStyle w:val="Tabletext"/>
              <w:keepNext/>
              <w:keepLines/>
              <w:spacing w:before="40" w:after="40"/>
              <w:rPr>
                <w:sz w:val="20"/>
                <w:lang w:eastAsia="zh-CN"/>
              </w:rPr>
            </w:pPr>
            <w:r w:rsidRPr="00236418">
              <w:rPr>
                <w:sz w:val="20"/>
                <w:lang w:eastAsia="zh-CN"/>
              </w:rPr>
              <w:t>Provision pour pertes sur créances non courantes avec contrepartie</w:t>
            </w:r>
          </w:p>
        </w:tc>
        <w:tc>
          <w:tcPr>
            <w:tcW w:w="1515" w:type="dxa"/>
            <w:tcBorders>
              <w:left w:val="nil"/>
              <w:right w:val="single" w:sz="4" w:space="0" w:color="auto"/>
            </w:tcBorders>
            <w:shd w:val="clear" w:color="auto" w:fill="auto"/>
            <w:noWrap/>
          </w:tcPr>
          <w:p w14:paraId="45EBABFB" w14:textId="77777777" w:rsidR="00761B6C" w:rsidRPr="00236418" w:rsidRDefault="00761B6C" w:rsidP="00761B6C">
            <w:pPr>
              <w:jc w:val="right"/>
            </w:pPr>
            <w:r>
              <w:t>–</w:t>
            </w:r>
          </w:p>
        </w:tc>
        <w:tc>
          <w:tcPr>
            <w:tcW w:w="1515" w:type="dxa"/>
            <w:tcBorders>
              <w:left w:val="nil"/>
              <w:right w:val="single" w:sz="4" w:space="0" w:color="auto"/>
            </w:tcBorders>
            <w:vAlign w:val="center"/>
          </w:tcPr>
          <w:p w14:paraId="7D319D83" w14:textId="77777777" w:rsidR="00761B6C" w:rsidRPr="00236418" w:rsidRDefault="00761B6C" w:rsidP="00761B6C">
            <w:pPr>
              <w:jc w:val="right"/>
            </w:pPr>
            <w:r w:rsidRPr="00236418">
              <w:rPr>
                <w:sz w:val="20"/>
              </w:rPr>
              <w:t>–</w:t>
            </w:r>
          </w:p>
        </w:tc>
      </w:tr>
      <w:tr w:rsidR="00761B6C" w:rsidRPr="00236418" w14:paraId="69556D7F" w14:textId="77777777" w:rsidTr="00761B6C">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122CD" w14:textId="77777777" w:rsidR="00761B6C" w:rsidRPr="00236418" w:rsidRDefault="00761B6C" w:rsidP="00761B6C">
            <w:pPr>
              <w:pStyle w:val="Tablehead"/>
              <w:keepNext/>
              <w:keepLines/>
              <w:spacing w:before="40" w:after="40"/>
              <w:jc w:val="left"/>
              <w:rPr>
                <w:sz w:val="20"/>
                <w:lang w:eastAsia="zh-CN"/>
              </w:rPr>
            </w:pPr>
            <w:r w:rsidRPr="00236418">
              <w:rPr>
                <w:sz w:val="20"/>
                <w:lang w:eastAsia="zh-CN"/>
              </w:rPr>
              <w:t>Créances non courantes avec contrepartie – valeur nette</w:t>
            </w:r>
          </w:p>
        </w:tc>
        <w:tc>
          <w:tcPr>
            <w:tcW w:w="1515" w:type="dxa"/>
            <w:tcBorders>
              <w:top w:val="single" w:sz="4" w:space="0" w:color="auto"/>
              <w:left w:val="nil"/>
              <w:bottom w:val="single" w:sz="4" w:space="0" w:color="auto"/>
              <w:right w:val="single" w:sz="4" w:space="0" w:color="auto"/>
            </w:tcBorders>
            <w:shd w:val="clear" w:color="auto" w:fill="auto"/>
            <w:noWrap/>
          </w:tcPr>
          <w:p w14:paraId="3E20EDD0" w14:textId="77777777" w:rsidR="00761B6C" w:rsidRPr="00064B1C" w:rsidRDefault="00761B6C" w:rsidP="00761B6C">
            <w:pPr>
              <w:jc w:val="right"/>
              <w:rPr>
                <w:b/>
                <w:bCs/>
              </w:rPr>
            </w:pPr>
            <w:r w:rsidRPr="00064B1C">
              <w:rPr>
                <w:b/>
                <w:bCs/>
              </w:rPr>
              <w:t>–</w:t>
            </w:r>
          </w:p>
        </w:tc>
        <w:tc>
          <w:tcPr>
            <w:tcW w:w="1515" w:type="dxa"/>
            <w:tcBorders>
              <w:top w:val="single" w:sz="4" w:space="0" w:color="auto"/>
              <w:left w:val="nil"/>
              <w:bottom w:val="single" w:sz="4" w:space="0" w:color="auto"/>
              <w:right w:val="single" w:sz="4" w:space="0" w:color="auto"/>
            </w:tcBorders>
            <w:vAlign w:val="bottom"/>
          </w:tcPr>
          <w:p w14:paraId="10500827" w14:textId="77777777" w:rsidR="00761B6C" w:rsidRPr="00064B1C" w:rsidRDefault="00761B6C" w:rsidP="00761B6C">
            <w:pPr>
              <w:jc w:val="right"/>
              <w:rPr>
                <w:b/>
                <w:bCs/>
              </w:rPr>
            </w:pPr>
            <w:r w:rsidRPr="00064B1C">
              <w:rPr>
                <w:b/>
                <w:bCs/>
                <w:sz w:val="20"/>
              </w:rPr>
              <w:t>–</w:t>
            </w:r>
          </w:p>
        </w:tc>
      </w:tr>
      <w:tr w:rsidR="00761B6C" w:rsidRPr="00236418" w14:paraId="203A1F26" w14:textId="77777777" w:rsidTr="00761B6C">
        <w:trPr>
          <w:jc w:val="center"/>
        </w:trPr>
        <w:tc>
          <w:tcPr>
            <w:tcW w:w="6516" w:type="dxa"/>
            <w:tcBorders>
              <w:top w:val="single" w:sz="4" w:space="0" w:color="auto"/>
              <w:left w:val="single" w:sz="4" w:space="0" w:color="auto"/>
              <w:right w:val="single" w:sz="4" w:space="0" w:color="auto"/>
            </w:tcBorders>
            <w:shd w:val="clear" w:color="auto" w:fill="auto"/>
            <w:noWrap/>
            <w:vAlign w:val="center"/>
          </w:tcPr>
          <w:p w14:paraId="0D569D39" w14:textId="77777777" w:rsidR="00761B6C" w:rsidRPr="00236418" w:rsidRDefault="00761B6C" w:rsidP="00761B6C">
            <w:pPr>
              <w:pStyle w:val="Tabletext"/>
              <w:keepNext/>
              <w:keepLines/>
              <w:spacing w:before="40" w:after="40"/>
              <w:rPr>
                <w:sz w:val="20"/>
                <w:lang w:eastAsia="zh-CN"/>
              </w:rPr>
            </w:pPr>
            <w:r w:rsidRPr="00236418">
              <w:rPr>
                <w:sz w:val="20"/>
                <w:lang w:eastAsia="zh-CN"/>
              </w:rPr>
              <w:t>Créances non courantes sans contrepartie</w:t>
            </w:r>
          </w:p>
        </w:tc>
        <w:tc>
          <w:tcPr>
            <w:tcW w:w="1515" w:type="dxa"/>
            <w:tcBorders>
              <w:top w:val="single" w:sz="4" w:space="0" w:color="auto"/>
              <w:left w:val="nil"/>
              <w:right w:val="single" w:sz="4" w:space="0" w:color="auto"/>
            </w:tcBorders>
            <w:shd w:val="clear" w:color="auto" w:fill="auto"/>
            <w:noWrap/>
            <w:vAlign w:val="bottom"/>
          </w:tcPr>
          <w:p w14:paraId="4EDA3F64" w14:textId="77777777" w:rsidR="00761B6C" w:rsidRPr="00064B1C" w:rsidRDefault="00761B6C" w:rsidP="00761B6C">
            <w:pPr>
              <w:pStyle w:val="Tabletext"/>
              <w:keepNext/>
              <w:keepLines/>
              <w:spacing w:before="40" w:after="40"/>
              <w:jc w:val="right"/>
              <w:rPr>
                <w:sz w:val="20"/>
                <w:lang w:eastAsia="zh-CN"/>
              </w:rPr>
            </w:pPr>
            <w:r w:rsidRPr="00064B1C">
              <w:rPr>
                <w:sz w:val="20"/>
                <w:lang w:eastAsia="zh-CN"/>
              </w:rPr>
              <w:t>6 479</w:t>
            </w:r>
          </w:p>
        </w:tc>
        <w:tc>
          <w:tcPr>
            <w:tcW w:w="1515" w:type="dxa"/>
            <w:tcBorders>
              <w:top w:val="single" w:sz="4" w:space="0" w:color="auto"/>
              <w:left w:val="nil"/>
              <w:right w:val="single" w:sz="4" w:space="0" w:color="auto"/>
            </w:tcBorders>
            <w:vAlign w:val="bottom"/>
          </w:tcPr>
          <w:p w14:paraId="25BEB533" w14:textId="77777777" w:rsidR="00761B6C" w:rsidRPr="00064B1C" w:rsidRDefault="00761B6C" w:rsidP="00761B6C">
            <w:pPr>
              <w:pStyle w:val="Tabletext"/>
              <w:keepNext/>
              <w:keepLines/>
              <w:spacing w:before="40" w:after="40"/>
              <w:jc w:val="right"/>
              <w:rPr>
                <w:sz w:val="20"/>
                <w:lang w:eastAsia="zh-CN"/>
              </w:rPr>
            </w:pPr>
            <w:r w:rsidRPr="00064B1C">
              <w:rPr>
                <w:rFonts w:asciiTheme="minorHAnsi" w:hAnsiTheme="minorHAnsi" w:cs="Arial"/>
                <w:color w:val="000000"/>
                <w:sz w:val="20"/>
                <w:lang w:eastAsia="zh-CN"/>
              </w:rPr>
              <w:t>4 325</w:t>
            </w:r>
          </w:p>
        </w:tc>
      </w:tr>
      <w:tr w:rsidR="00761B6C" w:rsidRPr="00236418" w14:paraId="27F9FBA5" w14:textId="77777777" w:rsidTr="00761B6C">
        <w:trPr>
          <w:jc w:val="center"/>
        </w:trPr>
        <w:tc>
          <w:tcPr>
            <w:tcW w:w="6516" w:type="dxa"/>
            <w:tcBorders>
              <w:left w:val="single" w:sz="4" w:space="0" w:color="auto"/>
              <w:bottom w:val="single" w:sz="4" w:space="0" w:color="auto"/>
              <w:right w:val="single" w:sz="4" w:space="0" w:color="auto"/>
            </w:tcBorders>
            <w:shd w:val="clear" w:color="auto" w:fill="auto"/>
            <w:noWrap/>
            <w:vAlign w:val="center"/>
          </w:tcPr>
          <w:p w14:paraId="70C9C26E" w14:textId="77777777" w:rsidR="00761B6C" w:rsidRPr="00236418" w:rsidRDefault="00761B6C" w:rsidP="00761B6C">
            <w:pPr>
              <w:pStyle w:val="Tabletext"/>
              <w:keepNext/>
              <w:keepLines/>
              <w:spacing w:before="40" w:after="40"/>
              <w:rPr>
                <w:sz w:val="20"/>
                <w:lang w:eastAsia="zh-CN"/>
              </w:rPr>
            </w:pPr>
            <w:r w:rsidRPr="00236418">
              <w:rPr>
                <w:sz w:val="20"/>
                <w:lang w:eastAsia="zh-CN"/>
              </w:rPr>
              <w:t>Provision pour pertes sur créances non courantes sans contrepartie</w:t>
            </w:r>
          </w:p>
        </w:tc>
        <w:tc>
          <w:tcPr>
            <w:tcW w:w="1515" w:type="dxa"/>
            <w:tcBorders>
              <w:left w:val="nil"/>
              <w:bottom w:val="single" w:sz="4" w:space="0" w:color="auto"/>
              <w:right w:val="single" w:sz="4" w:space="0" w:color="auto"/>
            </w:tcBorders>
            <w:shd w:val="clear" w:color="auto" w:fill="auto"/>
            <w:noWrap/>
            <w:vAlign w:val="bottom"/>
          </w:tcPr>
          <w:p w14:paraId="0734D6B2" w14:textId="77777777" w:rsidR="00761B6C" w:rsidRPr="00064B1C" w:rsidRDefault="00761B6C" w:rsidP="00761B6C">
            <w:pPr>
              <w:pStyle w:val="Tabletext"/>
              <w:keepNext/>
              <w:keepLines/>
              <w:spacing w:before="40" w:after="40"/>
              <w:jc w:val="right"/>
              <w:rPr>
                <w:sz w:val="20"/>
                <w:lang w:eastAsia="zh-CN"/>
              </w:rPr>
            </w:pPr>
            <w:r w:rsidRPr="00064B1C">
              <w:rPr>
                <w:sz w:val="20"/>
                <w:lang w:eastAsia="zh-CN"/>
              </w:rPr>
              <w:t>–6 479</w:t>
            </w:r>
          </w:p>
        </w:tc>
        <w:tc>
          <w:tcPr>
            <w:tcW w:w="1515" w:type="dxa"/>
            <w:tcBorders>
              <w:left w:val="nil"/>
              <w:bottom w:val="single" w:sz="4" w:space="0" w:color="auto"/>
              <w:right w:val="single" w:sz="4" w:space="0" w:color="auto"/>
            </w:tcBorders>
            <w:vAlign w:val="bottom"/>
          </w:tcPr>
          <w:p w14:paraId="111D3153" w14:textId="77777777" w:rsidR="00761B6C" w:rsidRPr="00064B1C" w:rsidRDefault="00761B6C" w:rsidP="00761B6C">
            <w:pPr>
              <w:pStyle w:val="Tabletext"/>
              <w:keepNext/>
              <w:keepLines/>
              <w:spacing w:before="40" w:after="40"/>
              <w:jc w:val="right"/>
              <w:rPr>
                <w:sz w:val="20"/>
                <w:lang w:eastAsia="zh-CN"/>
              </w:rPr>
            </w:pPr>
            <w:r w:rsidRPr="00064B1C">
              <w:rPr>
                <w:rFonts w:asciiTheme="minorHAnsi" w:hAnsiTheme="minorHAnsi" w:cs="Arial"/>
                <w:color w:val="000000"/>
                <w:sz w:val="20"/>
                <w:lang w:eastAsia="zh-CN"/>
              </w:rPr>
              <w:t>–4 325</w:t>
            </w:r>
          </w:p>
        </w:tc>
      </w:tr>
      <w:tr w:rsidR="00761B6C" w:rsidRPr="00236418" w14:paraId="1E2E3462" w14:textId="77777777" w:rsidTr="00761B6C">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7AF26" w14:textId="77777777" w:rsidR="00761B6C" w:rsidRPr="00236418" w:rsidRDefault="00761B6C" w:rsidP="00761B6C">
            <w:pPr>
              <w:pStyle w:val="Tablehead"/>
              <w:keepNext/>
              <w:keepLines/>
              <w:spacing w:before="40" w:after="40"/>
              <w:jc w:val="left"/>
              <w:rPr>
                <w:sz w:val="20"/>
                <w:lang w:eastAsia="zh-CN"/>
              </w:rPr>
            </w:pPr>
            <w:r w:rsidRPr="00236418">
              <w:rPr>
                <w:sz w:val="20"/>
                <w:lang w:eastAsia="zh-CN"/>
              </w:rPr>
              <w:t>Créances non courantes sans contrepartie – valeur nette</w:t>
            </w:r>
          </w:p>
        </w:tc>
        <w:tc>
          <w:tcPr>
            <w:tcW w:w="1515" w:type="dxa"/>
            <w:tcBorders>
              <w:top w:val="single" w:sz="4" w:space="0" w:color="auto"/>
              <w:left w:val="nil"/>
              <w:bottom w:val="single" w:sz="4" w:space="0" w:color="auto"/>
              <w:right w:val="single" w:sz="4" w:space="0" w:color="auto"/>
            </w:tcBorders>
            <w:shd w:val="clear" w:color="auto" w:fill="auto"/>
            <w:noWrap/>
          </w:tcPr>
          <w:p w14:paraId="3F472636" w14:textId="77777777" w:rsidR="00761B6C" w:rsidRPr="00064B1C" w:rsidRDefault="00761B6C" w:rsidP="00761B6C">
            <w:pPr>
              <w:jc w:val="right"/>
              <w:rPr>
                <w:b/>
                <w:bCs/>
              </w:rPr>
            </w:pPr>
            <w:r w:rsidRPr="00064B1C">
              <w:rPr>
                <w:b/>
                <w:bCs/>
              </w:rPr>
              <w:t>–</w:t>
            </w:r>
          </w:p>
        </w:tc>
        <w:tc>
          <w:tcPr>
            <w:tcW w:w="1515" w:type="dxa"/>
            <w:tcBorders>
              <w:top w:val="single" w:sz="4" w:space="0" w:color="auto"/>
              <w:left w:val="nil"/>
              <w:bottom w:val="single" w:sz="4" w:space="0" w:color="auto"/>
              <w:right w:val="single" w:sz="4" w:space="0" w:color="auto"/>
            </w:tcBorders>
            <w:vAlign w:val="center"/>
          </w:tcPr>
          <w:p w14:paraId="2791C48E" w14:textId="77777777" w:rsidR="00761B6C" w:rsidRPr="00064B1C" w:rsidRDefault="00761B6C" w:rsidP="00761B6C">
            <w:pPr>
              <w:jc w:val="right"/>
              <w:rPr>
                <w:b/>
                <w:bCs/>
              </w:rPr>
            </w:pPr>
            <w:r w:rsidRPr="00064B1C">
              <w:rPr>
                <w:b/>
                <w:bCs/>
                <w:sz w:val="20"/>
              </w:rPr>
              <w:t>–</w:t>
            </w:r>
          </w:p>
        </w:tc>
      </w:tr>
    </w:tbl>
    <w:p w14:paraId="234DAEAD" w14:textId="77777777" w:rsidR="00761B6C" w:rsidRPr="00236418" w:rsidRDefault="00761B6C" w:rsidP="00761B6C">
      <w:pPr>
        <w:pStyle w:val="Heading1"/>
        <w:spacing w:before="240"/>
        <w:rPr>
          <w:sz w:val="24"/>
          <w:szCs w:val="24"/>
        </w:rPr>
      </w:pPr>
      <w:bookmarkStart w:id="1573" w:name="_Toc387166651"/>
      <w:bookmarkStart w:id="1574" w:name="_Toc395260936"/>
      <w:bookmarkStart w:id="1575" w:name="_Toc395511715"/>
      <w:bookmarkStart w:id="1576" w:name="_Toc452138625"/>
      <w:bookmarkStart w:id="1577" w:name="_Toc452139074"/>
      <w:bookmarkStart w:id="1578" w:name="_Toc452139438"/>
      <w:bookmarkStart w:id="1579" w:name="_Toc452139839"/>
      <w:bookmarkStart w:id="1580" w:name="_Toc452140713"/>
      <w:bookmarkStart w:id="1581" w:name="_Toc482801503"/>
      <w:bookmarkStart w:id="1582" w:name="_Toc511649475"/>
      <w:bookmarkStart w:id="1583" w:name="_Toc511649845"/>
      <w:bookmarkStart w:id="1584" w:name="_Toc511649961"/>
      <w:bookmarkStart w:id="1585" w:name="_Toc511651218"/>
      <w:bookmarkStart w:id="1586" w:name="_Toc511724083"/>
      <w:bookmarkStart w:id="1587" w:name="_Toc511739072"/>
      <w:bookmarkStart w:id="1588" w:name="_Toc511741241"/>
      <w:bookmarkStart w:id="1589" w:name="_Toc10450747"/>
      <w:bookmarkStart w:id="1590" w:name="_Toc41566347"/>
      <w:bookmarkStart w:id="1591" w:name="_Toc41567355"/>
      <w:bookmarkStart w:id="1592" w:name="_Toc41567858"/>
      <w:bookmarkStart w:id="1593" w:name="_Toc41814953"/>
      <w:bookmarkStart w:id="1594" w:name="_Toc73354442"/>
      <w:bookmarkStart w:id="1595" w:name="_Toc73356418"/>
      <w:r w:rsidRPr="00236418">
        <w:rPr>
          <w:sz w:val="24"/>
          <w:szCs w:val="24"/>
        </w:rPr>
        <w:t>Note 9</w:t>
      </w:r>
      <w:r w:rsidRPr="00236418">
        <w:rPr>
          <w:sz w:val="24"/>
          <w:szCs w:val="24"/>
        </w:rPr>
        <w:tab/>
        <w:t>Stocks</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7632E54E" w14:textId="77777777" w:rsidR="00761B6C" w:rsidRDefault="00761B6C" w:rsidP="00761B6C">
      <w:pPr>
        <w:spacing w:after="120"/>
      </w:pPr>
      <w:r w:rsidRPr="00236418">
        <w:t>Les publications incluent les publications destinées à la vente et les publications diffusées gratuitement. Les fournitures comprennent le papier destiné à l</w:t>
      </w:r>
      <w:r>
        <w:t>'</w:t>
      </w:r>
      <w:r w:rsidRPr="00236418">
        <w:t>impression des publications et des documents de l</w:t>
      </w:r>
      <w:r>
        <w:t>'</w:t>
      </w:r>
      <w:r w:rsidRPr="00236418">
        <w:t>UIT, l</w:t>
      </w:r>
      <w:r>
        <w:t>'</w:t>
      </w:r>
      <w:r w:rsidRPr="00236418">
        <w:t>économat ainsi que divers consommables.</w:t>
      </w:r>
    </w:p>
    <w:p w14:paraId="1993E5F6" w14:textId="77777777" w:rsidR="00761B6C" w:rsidRPr="006E2DBF" w:rsidRDefault="00761B6C" w:rsidP="0019278D">
      <w:pPr>
        <w:spacing w:after="240"/>
      </w:pPr>
      <w:r>
        <w:t>Dans le souci d'assurer la sécurité du personnel, l'</w:t>
      </w:r>
      <w:r w:rsidRPr="00783093">
        <w:t>accès physique aux locaux d</w:t>
      </w:r>
      <w:r>
        <w:t xml:space="preserve">e l'UIT pour la réalisation d'un inventaire </w:t>
      </w:r>
      <w:r>
        <w:rPr>
          <w:color w:val="000000"/>
        </w:rPr>
        <w:t>physique</w:t>
      </w:r>
      <w:r>
        <w:t xml:space="preserve"> et d'une vérification des biens a été limité. D'autres méthodes de vérification ont été appliquées, et les restrictions n'ont eu aucune incidence sur les chiffres présentés dans les états financiers</w:t>
      </w:r>
      <w:r w:rsidRPr="006E2DBF">
        <w:t>.</w:t>
      </w:r>
    </w:p>
    <w:tbl>
      <w:tblPr>
        <w:tblW w:w="8642" w:type="dxa"/>
        <w:jc w:val="center"/>
        <w:tblLayout w:type="fixed"/>
        <w:tblLook w:val="04A0" w:firstRow="1" w:lastRow="0" w:firstColumn="1" w:lastColumn="0" w:noHBand="0" w:noVBand="1"/>
        <w:tblCaption w:val="E"/>
      </w:tblPr>
      <w:tblGrid>
        <w:gridCol w:w="5807"/>
        <w:gridCol w:w="1418"/>
        <w:gridCol w:w="1417"/>
      </w:tblGrid>
      <w:tr w:rsidR="00761B6C" w:rsidRPr="00236418" w14:paraId="75B8399C" w14:textId="77777777" w:rsidTr="0019278D">
        <w:trPr>
          <w:trHeight w:val="499"/>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9D553" w14:textId="77777777" w:rsidR="00761B6C" w:rsidRPr="00236418" w:rsidRDefault="00761B6C" w:rsidP="00761B6C">
            <w:pPr>
              <w:pStyle w:val="Tablehead"/>
              <w:spacing w:before="40" w:after="40"/>
              <w:jc w:val="left"/>
              <w:rPr>
                <w:sz w:val="20"/>
                <w:lang w:eastAsia="zh-CN"/>
              </w:rPr>
            </w:pPr>
            <w:r w:rsidRPr="00236418">
              <w:rPr>
                <w:sz w:val="20"/>
                <w:lang w:eastAsia="zh-CN"/>
              </w:rPr>
              <w:t>En milliers</w:t>
            </w:r>
            <w:r>
              <w:rPr>
                <w:sz w:val="20"/>
                <w:lang w:eastAsia="zh-CN"/>
              </w:rPr>
              <w:t xml:space="preserve"> </w:t>
            </w:r>
            <w:r w:rsidRPr="00236418">
              <w:rPr>
                <w:sz w:val="20"/>
                <w:lang w:eastAsia="zh-CN"/>
              </w:rPr>
              <w:t>CHF</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A9AB83" w14:textId="77777777" w:rsidR="00761B6C" w:rsidRPr="00236418" w:rsidRDefault="00761B6C" w:rsidP="00761B6C">
            <w:pPr>
              <w:pStyle w:val="Tablehead"/>
              <w:spacing w:before="40" w:after="40"/>
              <w:rPr>
                <w:sz w:val="20"/>
                <w:lang w:eastAsia="zh-CN"/>
              </w:rPr>
            </w:pPr>
            <w:r>
              <w:rPr>
                <w:sz w:val="20"/>
                <w:lang w:eastAsia="zh-CN"/>
              </w:rPr>
              <w:t>31.12.2020</w:t>
            </w:r>
          </w:p>
        </w:tc>
        <w:tc>
          <w:tcPr>
            <w:tcW w:w="1417" w:type="dxa"/>
            <w:tcBorders>
              <w:top w:val="single" w:sz="4" w:space="0" w:color="auto"/>
              <w:left w:val="nil"/>
              <w:bottom w:val="single" w:sz="4" w:space="0" w:color="auto"/>
              <w:right w:val="single" w:sz="4" w:space="0" w:color="auto"/>
            </w:tcBorders>
            <w:vAlign w:val="center"/>
          </w:tcPr>
          <w:p w14:paraId="5A25C30A" w14:textId="77777777" w:rsidR="00761B6C" w:rsidRPr="00236418" w:rsidRDefault="00761B6C" w:rsidP="00761B6C">
            <w:pPr>
              <w:pStyle w:val="Tablehead"/>
              <w:spacing w:before="40" w:after="40"/>
              <w:rPr>
                <w:sz w:val="20"/>
                <w:lang w:eastAsia="zh-CN"/>
              </w:rPr>
            </w:pPr>
            <w:r w:rsidRPr="00236418">
              <w:rPr>
                <w:sz w:val="20"/>
                <w:lang w:eastAsia="zh-CN"/>
              </w:rPr>
              <w:t>31.12.2019</w:t>
            </w:r>
          </w:p>
        </w:tc>
      </w:tr>
      <w:tr w:rsidR="00761B6C" w:rsidRPr="00236418" w14:paraId="237B3381" w14:textId="77777777" w:rsidTr="0019278D">
        <w:trPr>
          <w:jc w:val="center"/>
        </w:trPr>
        <w:tc>
          <w:tcPr>
            <w:tcW w:w="5807" w:type="dxa"/>
            <w:tcBorders>
              <w:top w:val="single" w:sz="4" w:space="0" w:color="auto"/>
              <w:left w:val="single" w:sz="4" w:space="0" w:color="auto"/>
              <w:right w:val="single" w:sz="4" w:space="0" w:color="auto"/>
            </w:tcBorders>
            <w:shd w:val="clear" w:color="auto" w:fill="auto"/>
            <w:noWrap/>
            <w:vAlign w:val="bottom"/>
          </w:tcPr>
          <w:p w14:paraId="378713DA" w14:textId="77777777" w:rsidR="00761B6C" w:rsidRPr="00236418" w:rsidRDefault="00761B6C" w:rsidP="00761B6C">
            <w:pPr>
              <w:pStyle w:val="Tabletext"/>
              <w:spacing w:before="40" w:after="40"/>
              <w:rPr>
                <w:sz w:val="20"/>
                <w:lang w:eastAsia="zh-CN"/>
              </w:rPr>
            </w:pPr>
            <w:r w:rsidRPr="00236418">
              <w:rPr>
                <w:sz w:val="20"/>
                <w:lang w:eastAsia="zh-CN"/>
              </w:rPr>
              <w:t>Publications – valeur brute</w:t>
            </w:r>
          </w:p>
        </w:tc>
        <w:tc>
          <w:tcPr>
            <w:tcW w:w="1418" w:type="dxa"/>
            <w:tcBorders>
              <w:top w:val="single" w:sz="4" w:space="0" w:color="auto"/>
              <w:left w:val="nil"/>
              <w:right w:val="single" w:sz="4" w:space="0" w:color="auto"/>
            </w:tcBorders>
            <w:shd w:val="clear" w:color="auto" w:fill="auto"/>
            <w:noWrap/>
            <w:vAlign w:val="bottom"/>
          </w:tcPr>
          <w:p w14:paraId="5411678A" w14:textId="77777777" w:rsidR="00761B6C" w:rsidRPr="00064B1C" w:rsidRDefault="00761B6C" w:rsidP="00761B6C">
            <w:pPr>
              <w:pStyle w:val="Tabletext"/>
              <w:jc w:val="right"/>
              <w:rPr>
                <w:sz w:val="20"/>
                <w:lang w:eastAsia="zh-CN"/>
              </w:rPr>
            </w:pPr>
            <w:r w:rsidRPr="00064B1C">
              <w:rPr>
                <w:sz w:val="20"/>
                <w:lang w:val="en-US" w:eastAsia="zh-CN"/>
              </w:rPr>
              <w:t>345</w:t>
            </w:r>
          </w:p>
        </w:tc>
        <w:tc>
          <w:tcPr>
            <w:tcW w:w="1417" w:type="dxa"/>
            <w:tcBorders>
              <w:top w:val="single" w:sz="4" w:space="0" w:color="auto"/>
              <w:left w:val="nil"/>
              <w:right w:val="single" w:sz="4" w:space="0" w:color="auto"/>
            </w:tcBorders>
            <w:vAlign w:val="bottom"/>
          </w:tcPr>
          <w:p w14:paraId="3ABDEEB4" w14:textId="77777777" w:rsidR="00761B6C" w:rsidRPr="00064B1C" w:rsidRDefault="00761B6C" w:rsidP="00761B6C">
            <w:pPr>
              <w:pStyle w:val="Tabletext"/>
              <w:jc w:val="right"/>
              <w:rPr>
                <w:sz w:val="20"/>
                <w:lang w:eastAsia="zh-CN"/>
              </w:rPr>
            </w:pPr>
            <w:r w:rsidRPr="00064B1C">
              <w:rPr>
                <w:sz w:val="20"/>
                <w:lang w:eastAsia="zh-CN"/>
              </w:rPr>
              <w:t>355</w:t>
            </w:r>
          </w:p>
        </w:tc>
      </w:tr>
      <w:tr w:rsidR="00761B6C" w:rsidRPr="00236418" w14:paraId="7D1DDBDB" w14:textId="77777777" w:rsidTr="0019278D">
        <w:trPr>
          <w:jc w:val="center"/>
        </w:trPr>
        <w:tc>
          <w:tcPr>
            <w:tcW w:w="5807" w:type="dxa"/>
            <w:tcBorders>
              <w:left w:val="single" w:sz="4" w:space="0" w:color="auto"/>
              <w:bottom w:val="single" w:sz="4" w:space="0" w:color="auto"/>
              <w:right w:val="single" w:sz="4" w:space="0" w:color="auto"/>
            </w:tcBorders>
            <w:shd w:val="clear" w:color="auto" w:fill="auto"/>
            <w:noWrap/>
            <w:vAlign w:val="bottom"/>
          </w:tcPr>
          <w:p w14:paraId="4873939C" w14:textId="77777777" w:rsidR="00761B6C" w:rsidRPr="00236418" w:rsidRDefault="00761B6C" w:rsidP="00761B6C">
            <w:pPr>
              <w:pStyle w:val="Tabletext"/>
              <w:spacing w:before="40" w:after="40"/>
              <w:rPr>
                <w:sz w:val="20"/>
                <w:lang w:eastAsia="zh-CN"/>
              </w:rPr>
            </w:pPr>
            <w:r w:rsidRPr="00236418">
              <w:rPr>
                <w:sz w:val="20"/>
                <w:lang w:eastAsia="zh-CN"/>
              </w:rPr>
              <w:t>Dépréciation</w:t>
            </w:r>
          </w:p>
        </w:tc>
        <w:tc>
          <w:tcPr>
            <w:tcW w:w="1418" w:type="dxa"/>
            <w:tcBorders>
              <w:left w:val="nil"/>
              <w:bottom w:val="single" w:sz="4" w:space="0" w:color="auto"/>
              <w:right w:val="single" w:sz="4" w:space="0" w:color="auto"/>
            </w:tcBorders>
            <w:shd w:val="clear" w:color="auto" w:fill="auto"/>
            <w:noWrap/>
            <w:vAlign w:val="bottom"/>
          </w:tcPr>
          <w:p w14:paraId="14F2A6E9" w14:textId="77777777" w:rsidR="00761B6C" w:rsidRPr="00064B1C" w:rsidRDefault="00761B6C" w:rsidP="00761B6C">
            <w:pPr>
              <w:pStyle w:val="Tabletext"/>
              <w:jc w:val="right"/>
              <w:rPr>
                <w:sz w:val="20"/>
                <w:lang w:eastAsia="zh-CN"/>
              </w:rPr>
            </w:pPr>
            <w:r w:rsidRPr="00064B1C">
              <w:rPr>
                <w:sz w:val="20"/>
                <w:lang w:val="en-US" w:eastAsia="zh-CN"/>
              </w:rPr>
              <w:t>–217</w:t>
            </w:r>
          </w:p>
        </w:tc>
        <w:tc>
          <w:tcPr>
            <w:tcW w:w="1417" w:type="dxa"/>
            <w:tcBorders>
              <w:left w:val="nil"/>
              <w:bottom w:val="single" w:sz="4" w:space="0" w:color="auto"/>
              <w:right w:val="single" w:sz="4" w:space="0" w:color="auto"/>
            </w:tcBorders>
            <w:vAlign w:val="bottom"/>
          </w:tcPr>
          <w:p w14:paraId="3BF9E6F3" w14:textId="77777777" w:rsidR="00761B6C" w:rsidRPr="00064B1C" w:rsidRDefault="00761B6C" w:rsidP="00761B6C">
            <w:pPr>
              <w:pStyle w:val="Tabletext"/>
              <w:jc w:val="right"/>
              <w:rPr>
                <w:sz w:val="20"/>
                <w:lang w:eastAsia="zh-CN"/>
              </w:rPr>
            </w:pPr>
            <w:r w:rsidRPr="00064B1C">
              <w:rPr>
                <w:sz w:val="20"/>
                <w:lang w:eastAsia="zh-CN"/>
              </w:rPr>
              <w:t>–237</w:t>
            </w:r>
          </w:p>
        </w:tc>
      </w:tr>
      <w:tr w:rsidR="00761B6C" w:rsidRPr="00236418" w14:paraId="45A7291B" w14:textId="77777777" w:rsidTr="0019278D">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849C1" w14:textId="77777777" w:rsidR="00761B6C" w:rsidRPr="00236418" w:rsidRDefault="00761B6C" w:rsidP="00761B6C">
            <w:pPr>
              <w:pStyle w:val="Tabletext"/>
              <w:spacing w:before="40" w:after="40"/>
              <w:rPr>
                <w:b/>
                <w:bCs/>
                <w:sz w:val="20"/>
                <w:lang w:eastAsia="zh-CN"/>
              </w:rPr>
            </w:pPr>
            <w:r w:rsidRPr="00236418">
              <w:rPr>
                <w:b/>
                <w:bCs/>
                <w:sz w:val="20"/>
                <w:lang w:eastAsia="zh-CN"/>
              </w:rPr>
              <w:t>Publications – valeur nette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0827236" w14:textId="77777777" w:rsidR="00761B6C" w:rsidRPr="00064B1C" w:rsidRDefault="00761B6C" w:rsidP="00761B6C">
            <w:pPr>
              <w:pStyle w:val="Tabletext"/>
              <w:jc w:val="right"/>
              <w:rPr>
                <w:sz w:val="20"/>
                <w:lang w:eastAsia="zh-CN"/>
              </w:rPr>
            </w:pPr>
            <w:r w:rsidRPr="00064B1C">
              <w:rPr>
                <w:sz w:val="20"/>
                <w:lang w:val="en-US" w:eastAsia="zh-CN"/>
              </w:rPr>
              <w:t>127</w:t>
            </w:r>
          </w:p>
        </w:tc>
        <w:tc>
          <w:tcPr>
            <w:tcW w:w="1417" w:type="dxa"/>
            <w:tcBorders>
              <w:top w:val="single" w:sz="4" w:space="0" w:color="auto"/>
              <w:left w:val="nil"/>
              <w:bottom w:val="single" w:sz="4" w:space="0" w:color="auto"/>
              <w:right w:val="single" w:sz="4" w:space="0" w:color="auto"/>
            </w:tcBorders>
            <w:vAlign w:val="bottom"/>
          </w:tcPr>
          <w:p w14:paraId="5764809F" w14:textId="77777777" w:rsidR="00761B6C" w:rsidRPr="00064B1C" w:rsidRDefault="00761B6C" w:rsidP="00761B6C">
            <w:pPr>
              <w:pStyle w:val="Tabletext"/>
              <w:jc w:val="right"/>
              <w:rPr>
                <w:sz w:val="20"/>
                <w:lang w:eastAsia="zh-CN"/>
              </w:rPr>
            </w:pPr>
            <w:r w:rsidRPr="00064B1C">
              <w:rPr>
                <w:sz w:val="20"/>
                <w:lang w:eastAsia="zh-CN"/>
              </w:rPr>
              <w:t>117</w:t>
            </w:r>
          </w:p>
        </w:tc>
      </w:tr>
      <w:tr w:rsidR="00761B6C" w:rsidRPr="00236418" w14:paraId="23B70549" w14:textId="77777777" w:rsidTr="0019278D">
        <w:trPr>
          <w:jc w:val="center"/>
        </w:trPr>
        <w:tc>
          <w:tcPr>
            <w:tcW w:w="5807" w:type="dxa"/>
            <w:tcBorders>
              <w:top w:val="single" w:sz="4" w:space="0" w:color="auto"/>
              <w:left w:val="single" w:sz="4" w:space="0" w:color="auto"/>
              <w:right w:val="single" w:sz="4" w:space="0" w:color="auto"/>
            </w:tcBorders>
            <w:shd w:val="clear" w:color="auto" w:fill="auto"/>
            <w:noWrap/>
            <w:vAlign w:val="center"/>
          </w:tcPr>
          <w:p w14:paraId="38E0C661" w14:textId="77777777" w:rsidR="00761B6C" w:rsidRPr="00236418" w:rsidRDefault="00761B6C" w:rsidP="00761B6C">
            <w:pPr>
              <w:pStyle w:val="Tabletext"/>
              <w:spacing w:before="40" w:after="40"/>
              <w:rPr>
                <w:sz w:val="20"/>
                <w:lang w:eastAsia="zh-CN"/>
              </w:rPr>
            </w:pPr>
            <w:r w:rsidRPr="00236418">
              <w:rPr>
                <w:sz w:val="20"/>
                <w:lang w:eastAsia="zh-CN"/>
              </w:rPr>
              <w:t>Souvenirs – valeur brute</w:t>
            </w:r>
          </w:p>
        </w:tc>
        <w:tc>
          <w:tcPr>
            <w:tcW w:w="1418" w:type="dxa"/>
            <w:tcBorders>
              <w:top w:val="single" w:sz="4" w:space="0" w:color="auto"/>
              <w:left w:val="nil"/>
              <w:right w:val="single" w:sz="4" w:space="0" w:color="auto"/>
            </w:tcBorders>
            <w:shd w:val="clear" w:color="auto" w:fill="auto"/>
            <w:noWrap/>
            <w:vAlign w:val="bottom"/>
          </w:tcPr>
          <w:p w14:paraId="22273B5A" w14:textId="77777777" w:rsidR="00761B6C" w:rsidRPr="00064B1C" w:rsidRDefault="00761B6C" w:rsidP="00761B6C">
            <w:pPr>
              <w:pStyle w:val="Tabletext"/>
              <w:jc w:val="right"/>
              <w:rPr>
                <w:sz w:val="20"/>
                <w:lang w:eastAsia="zh-CN"/>
              </w:rPr>
            </w:pPr>
            <w:r w:rsidRPr="00064B1C">
              <w:rPr>
                <w:sz w:val="20"/>
                <w:lang w:val="en-US" w:eastAsia="zh-CN"/>
              </w:rPr>
              <w:t>76</w:t>
            </w:r>
          </w:p>
        </w:tc>
        <w:tc>
          <w:tcPr>
            <w:tcW w:w="1417" w:type="dxa"/>
            <w:tcBorders>
              <w:top w:val="single" w:sz="4" w:space="0" w:color="auto"/>
              <w:left w:val="nil"/>
              <w:right w:val="single" w:sz="4" w:space="0" w:color="auto"/>
            </w:tcBorders>
            <w:vAlign w:val="bottom"/>
          </w:tcPr>
          <w:p w14:paraId="561CA371" w14:textId="77777777" w:rsidR="00761B6C" w:rsidRPr="00064B1C" w:rsidRDefault="00761B6C" w:rsidP="00761B6C">
            <w:pPr>
              <w:pStyle w:val="Tabletext"/>
              <w:jc w:val="right"/>
              <w:rPr>
                <w:sz w:val="20"/>
                <w:lang w:eastAsia="zh-CN"/>
              </w:rPr>
            </w:pPr>
            <w:r w:rsidRPr="00064B1C">
              <w:rPr>
                <w:sz w:val="20"/>
                <w:lang w:eastAsia="zh-CN"/>
              </w:rPr>
              <w:t>133</w:t>
            </w:r>
          </w:p>
        </w:tc>
      </w:tr>
      <w:tr w:rsidR="00761B6C" w:rsidRPr="00236418" w14:paraId="156C8669" w14:textId="77777777" w:rsidTr="0019278D">
        <w:trPr>
          <w:jc w:val="center"/>
        </w:trPr>
        <w:tc>
          <w:tcPr>
            <w:tcW w:w="5807" w:type="dxa"/>
            <w:tcBorders>
              <w:left w:val="single" w:sz="4" w:space="0" w:color="auto"/>
              <w:bottom w:val="single" w:sz="4" w:space="0" w:color="auto"/>
              <w:right w:val="single" w:sz="4" w:space="0" w:color="auto"/>
            </w:tcBorders>
            <w:shd w:val="clear" w:color="auto" w:fill="auto"/>
            <w:noWrap/>
            <w:vAlign w:val="center"/>
          </w:tcPr>
          <w:p w14:paraId="3F529630" w14:textId="77777777" w:rsidR="00761B6C" w:rsidRPr="00236418" w:rsidRDefault="00761B6C" w:rsidP="00761B6C">
            <w:pPr>
              <w:pStyle w:val="Tabletext"/>
              <w:spacing w:before="40" w:after="40"/>
              <w:rPr>
                <w:sz w:val="20"/>
                <w:lang w:eastAsia="zh-CN"/>
              </w:rPr>
            </w:pPr>
            <w:r w:rsidRPr="00236418">
              <w:rPr>
                <w:sz w:val="20"/>
                <w:lang w:eastAsia="zh-CN"/>
              </w:rPr>
              <w:t>Dépréciation</w:t>
            </w:r>
          </w:p>
        </w:tc>
        <w:tc>
          <w:tcPr>
            <w:tcW w:w="1418" w:type="dxa"/>
            <w:tcBorders>
              <w:left w:val="nil"/>
              <w:bottom w:val="single" w:sz="4" w:space="0" w:color="auto"/>
              <w:right w:val="single" w:sz="4" w:space="0" w:color="auto"/>
            </w:tcBorders>
            <w:shd w:val="clear" w:color="auto" w:fill="auto"/>
            <w:noWrap/>
            <w:vAlign w:val="bottom"/>
          </w:tcPr>
          <w:p w14:paraId="5E589304" w14:textId="77777777" w:rsidR="00761B6C" w:rsidRPr="00064B1C" w:rsidRDefault="00761B6C" w:rsidP="00761B6C">
            <w:pPr>
              <w:pStyle w:val="Tabletext"/>
              <w:jc w:val="right"/>
              <w:rPr>
                <w:sz w:val="20"/>
                <w:lang w:eastAsia="zh-CN"/>
              </w:rPr>
            </w:pPr>
            <w:r w:rsidRPr="00064B1C">
              <w:rPr>
                <w:sz w:val="20"/>
                <w:lang w:val="en-US" w:eastAsia="zh-CN"/>
              </w:rPr>
              <w:t>–38</w:t>
            </w:r>
          </w:p>
        </w:tc>
        <w:tc>
          <w:tcPr>
            <w:tcW w:w="1417" w:type="dxa"/>
            <w:tcBorders>
              <w:left w:val="nil"/>
              <w:bottom w:val="single" w:sz="4" w:space="0" w:color="auto"/>
              <w:right w:val="single" w:sz="4" w:space="0" w:color="auto"/>
            </w:tcBorders>
            <w:vAlign w:val="bottom"/>
          </w:tcPr>
          <w:p w14:paraId="070CE9A8" w14:textId="77777777" w:rsidR="00761B6C" w:rsidRPr="00064B1C" w:rsidRDefault="00761B6C" w:rsidP="00761B6C">
            <w:pPr>
              <w:pStyle w:val="Tabletext"/>
              <w:jc w:val="right"/>
              <w:rPr>
                <w:sz w:val="20"/>
                <w:lang w:eastAsia="zh-CN"/>
              </w:rPr>
            </w:pPr>
            <w:r w:rsidRPr="00064B1C">
              <w:rPr>
                <w:sz w:val="20"/>
                <w:lang w:eastAsia="zh-CN"/>
              </w:rPr>
              <w:t>–85</w:t>
            </w:r>
          </w:p>
        </w:tc>
      </w:tr>
      <w:tr w:rsidR="00761B6C" w:rsidRPr="00236418" w14:paraId="38719421" w14:textId="77777777" w:rsidTr="0019278D">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D1C58" w14:textId="77777777" w:rsidR="00761B6C" w:rsidRPr="00236418" w:rsidRDefault="00761B6C" w:rsidP="00761B6C">
            <w:pPr>
              <w:pStyle w:val="Tabletext"/>
              <w:spacing w:before="40" w:after="40"/>
              <w:rPr>
                <w:b/>
                <w:bCs/>
                <w:sz w:val="20"/>
                <w:lang w:eastAsia="zh-CN"/>
              </w:rPr>
            </w:pPr>
            <w:r w:rsidRPr="00236418">
              <w:rPr>
                <w:b/>
                <w:bCs/>
                <w:sz w:val="20"/>
                <w:lang w:eastAsia="zh-CN"/>
              </w:rPr>
              <w:t>Souvenirs – valeur nette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7E550A3" w14:textId="77777777" w:rsidR="00761B6C" w:rsidRPr="00064B1C" w:rsidRDefault="00761B6C" w:rsidP="00761B6C">
            <w:pPr>
              <w:pStyle w:val="Tabletext"/>
              <w:jc w:val="right"/>
              <w:rPr>
                <w:sz w:val="20"/>
                <w:lang w:eastAsia="zh-CN"/>
              </w:rPr>
            </w:pPr>
            <w:r w:rsidRPr="00064B1C">
              <w:rPr>
                <w:sz w:val="20"/>
                <w:lang w:val="en-US" w:eastAsia="zh-CN"/>
              </w:rPr>
              <w:t>38</w:t>
            </w:r>
          </w:p>
        </w:tc>
        <w:tc>
          <w:tcPr>
            <w:tcW w:w="1417" w:type="dxa"/>
            <w:tcBorders>
              <w:top w:val="single" w:sz="4" w:space="0" w:color="auto"/>
              <w:left w:val="nil"/>
              <w:bottom w:val="single" w:sz="4" w:space="0" w:color="auto"/>
              <w:right w:val="single" w:sz="4" w:space="0" w:color="auto"/>
            </w:tcBorders>
            <w:vAlign w:val="bottom"/>
          </w:tcPr>
          <w:p w14:paraId="535329A5" w14:textId="77777777" w:rsidR="00761B6C" w:rsidRPr="00064B1C" w:rsidRDefault="00761B6C" w:rsidP="00761B6C">
            <w:pPr>
              <w:pStyle w:val="Tabletext"/>
              <w:jc w:val="right"/>
              <w:rPr>
                <w:sz w:val="20"/>
                <w:lang w:eastAsia="zh-CN"/>
              </w:rPr>
            </w:pPr>
            <w:r w:rsidRPr="00064B1C">
              <w:rPr>
                <w:sz w:val="20"/>
                <w:lang w:eastAsia="zh-CN"/>
              </w:rPr>
              <w:t>48</w:t>
            </w:r>
          </w:p>
        </w:tc>
      </w:tr>
      <w:tr w:rsidR="00761B6C" w:rsidRPr="00236418" w14:paraId="0CE93368" w14:textId="77777777" w:rsidTr="0019278D">
        <w:trPr>
          <w:jc w:val="center"/>
        </w:trPr>
        <w:tc>
          <w:tcPr>
            <w:tcW w:w="5807" w:type="dxa"/>
            <w:tcBorders>
              <w:top w:val="single" w:sz="4" w:space="0" w:color="auto"/>
              <w:left w:val="single" w:sz="4" w:space="0" w:color="auto"/>
              <w:right w:val="single" w:sz="4" w:space="0" w:color="auto"/>
            </w:tcBorders>
            <w:shd w:val="clear" w:color="auto" w:fill="auto"/>
            <w:noWrap/>
            <w:vAlign w:val="center"/>
          </w:tcPr>
          <w:p w14:paraId="784C931F" w14:textId="77777777" w:rsidR="00761B6C" w:rsidRPr="00236418" w:rsidRDefault="00761B6C" w:rsidP="00761B6C">
            <w:pPr>
              <w:pStyle w:val="Tabletext"/>
              <w:spacing w:before="40" w:after="40"/>
              <w:rPr>
                <w:sz w:val="20"/>
                <w:lang w:eastAsia="zh-CN"/>
              </w:rPr>
            </w:pPr>
            <w:r w:rsidRPr="00236418">
              <w:rPr>
                <w:sz w:val="20"/>
                <w:lang w:eastAsia="zh-CN"/>
              </w:rPr>
              <w:t>Fournitures – valeur brute</w:t>
            </w:r>
          </w:p>
        </w:tc>
        <w:tc>
          <w:tcPr>
            <w:tcW w:w="1418" w:type="dxa"/>
            <w:tcBorders>
              <w:top w:val="single" w:sz="4" w:space="0" w:color="auto"/>
              <w:left w:val="nil"/>
              <w:right w:val="single" w:sz="4" w:space="0" w:color="auto"/>
            </w:tcBorders>
            <w:shd w:val="clear" w:color="auto" w:fill="auto"/>
            <w:noWrap/>
            <w:vAlign w:val="bottom"/>
          </w:tcPr>
          <w:p w14:paraId="2CB50400" w14:textId="77777777" w:rsidR="00761B6C" w:rsidRPr="00064B1C" w:rsidRDefault="00761B6C" w:rsidP="00761B6C">
            <w:pPr>
              <w:pStyle w:val="Tabletext"/>
              <w:jc w:val="right"/>
              <w:rPr>
                <w:sz w:val="20"/>
                <w:lang w:eastAsia="zh-CN"/>
              </w:rPr>
            </w:pPr>
            <w:r w:rsidRPr="00064B1C">
              <w:rPr>
                <w:sz w:val="20"/>
                <w:lang w:val="en-US" w:eastAsia="zh-CN"/>
              </w:rPr>
              <w:t>293</w:t>
            </w:r>
          </w:p>
        </w:tc>
        <w:tc>
          <w:tcPr>
            <w:tcW w:w="1417" w:type="dxa"/>
            <w:tcBorders>
              <w:top w:val="single" w:sz="4" w:space="0" w:color="auto"/>
              <w:left w:val="nil"/>
              <w:right w:val="single" w:sz="4" w:space="0" w:color="auto"/>
            </w:tcBorders>
            <w:vAlign w:val="bottom"/>
          </w:tcPr>
          <w:p w14:paraId="376731AB" w14:textId="77777777" w:rsidR="00761B6C" w:rsidRPr="00064B1C" w:rsidRDefault="00761B6C" w:rsidP="00761B6C">
            <w:pPr>
              <w:pStyle w:val="Tabletext"/>
              <w:jc w:val="right"/>
              <w:rPr>
                <w:sz w:val="20"/>
                <w:lang w:eastAsia="zh-CN"/>
              </w:rPr>
            </w:pPr>
            <w:r w:rsidRPr="00064B1C">
              <w:rPr>
                <w:sz w:val="20"/>
                <w:lang w:eastAsia="zh-CN"/>
              </w:rPr>
              <w:t>373</w:t>
            </w:r>
          </w:p>
        </w:tc>
      </w:tr>
      <w:tr w:rsidR="00761B6C" w:rsidRPr="00236418" w14:paraId="2E18A43A" w14:textId="77777777" w:rsidTr="0019278D">
        <w:trPr>
          <w:jc w:val="center"/>
        </w:trPr>
        <w:tc>
          <w:tcPr>
            <w:tcW w:w="5807" w:type="dxa"/>
            <w:tcBorders>
              <w:left w:val="single" w:sz="4" w:space="0" w:color="auto"/>
              <w:bottom w:val="single" w:sz="4" w:space="0" w:color="auto"/>
              <w:right w:val="single" w:sz="4" w:space="0" w:color="auto"/>
            </w:tcBorders>
            <w:shd w:val="clear" w:color="auto" w:fill="auto"/>
            <w:noWrap/>
            <w:vAlign w:val="center"/>
          </w:tcPr>
          <w:p w14:paraId="6965DECA" w14:textId="77777777" w:rsidR="00761B6C" w:rsidRPr="00236418" w:rsidRDefault="00761B6C" w:rsidP="00761B6C">
            <w:pPr>
              <w:pStyle w:val="Tabletext"/>
              <w:spacing w:before="40" w:after="40"/>
              <w:rPr>
                <w:sz w:val="20"/>
                <w:lang w:eastAsia="zh-CN"/>
              </w:rPr>
            </w:pPr>
            <w:r w:rsidRPr="00236418">
              <w:rPr>
                <w:sz w:val="20"/>
                <w:lang w:eastAsia="zh-CN"/>
              </w:rPr>
              <w:t>Dépréciation</w:t>
            </w:r>
          </w:p>
        </w:tc>
        <w:tc>
          <w:tcPr>
            <w:tcW w:w="1418" w:type="dxa"/>
            <w:tcBorders>
              <w:left w:val="nil"/>
              <w:bottom w:val="single" w:sz="4" w:space="0" w:color="auto"/>
              <w:right w:val="single" w:sz="4" w:space="0" w:color="auto"/>
            </w:tcBorders>
            <w:shd w:val="clear" w:color="auto" w:fill="auto"/>
            <w:noWrap/>
            <w:vAlign w:val="bottom"/>
          </w:tcPr>
          <w:p w14:paraId="0420EC90" w14:textId="77777777" w:rsidR="00761B6C" w:rsidRPr="00064B1C" w:rsidRDefault="00761B6C" w:rsidP="00761B6C">
            <w:pPr>
              <w:pStyle w:val="Tabletext"/>
              <w:jc w:val="right"/>
              <w:rPr>
                <w:sz w:val="20"/>
                <w:lang w:eastAsia="zh-CN"/>
              </w:rPr>
            </w:pPr>
            <w:r w:rsidRPr="00064B1C">
              <w:rPr>
                <w:sz w:val="20"/>
                <w:lang w:val="en-US" w:eastAsia="zh-CN"/>
              </w:rPr>
              <w:t>0</w:t>
            </w:r>
          </w:p>
        </w:tc>
        <w:tc>
          <w:tcPr>
            <w:tcW w:w="1417" w:type="dxa"/>
            <w:tcBorders>
              <w:left w:val="nil"/>
              <w:bottom w:val="single" w:sz="4" w:space="0" w:color="auto"/>
              <w:right w:val="single" w:sz="4" w:space="0" w:color="auto"/>
            </w:tcBorders>
            <w:vAlign w:val="bottom"/>
          </w:tcPr>
          <w:p w14:paraId="7E20097B" w14:textId="77777777" w:rsidR="00761B6C" w:rsidRPr="00064B1C" w:rsidRDefault="00761B6C" w:rsidP="00761B6C">
            <w:pPr>
              <w:pStyle w:val="Tabletext"/>
              <w:jc w:val="right"/>
              <w:rPr>
                <w:sz w:val="20"/>
                <w:lang w:eastAsia="zh-CN"/>
              </w:rPr>
            </w:pPr>
            <w:r w:rsidRPr="00064B1C">
              <w:rPr>
                <w:sz w:val="20"/>
                <w:lang w:eastAsia="zh-CN"/>
              </w:rPr>
              <w:t>0</w:t>
            </w:r>
          </w:p>
        </w:tc>
      </w:tr>
      <w:tr w:rsidR="00761B6C" w:rsidRPr="00236418" w14:paraId="06086350" w14:textId="77777777" w:rsidTr="0019278D">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11852" w14:textId="77777777" w:rsidR="00761B6C" w:rsidRPr="00236418" w:rsidRDefault="00761B6C" w:rsidP="00761B6C">
            <w:pPr>
              <w:pStyle w:val="Tabletext"/>
              <w:spacing w:before="40" w:after="40"/>
              <w:rPr>
                <w:sz w:val="20"/>
                <w:lang w:eastAsia="zh-CN"/>
              </w:rPr>
            </w:pPr>
            <w:r w:rsidRPr="00236418">
              <w:rPr>
                <w:b/>
                <w:bCs/>
                <w:sz w:val="20"/>
                <w:lang w:eastAsia="zh-CN"/>
              </w:rPr>
              <w:t>Fournitures – valeur nette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1EEADB2" w14:textId="77777777" w:rsidR="00761B6C" w:rsidRPr="00064B1C" w:rsidRDefault="00761B6C" w:rsidP="00761B6C">
            <w:pPr>
              <w:pStyle w:val="Tabletext"/>
              <w:jc w:val="right"/>
              <w:rPr>
                <w:sz w:val="20"/>
                <w:lang w:eastAsia="zh-CN"/>
              </w:rPr>
            </w:pPr>
            <w:r w:rsidRPr="00064B1C">
              <w:rPr>
                <w:sz w:val="20"/>
                <w:lang w:val="en-US" w:eastAsia="zh-CN"/>
              </w:rPr>
              <w:t>293</w:t>
            </w:r>
          </w:p>
        </w:tc>
        <w:tc>
          <w:tcPr>
            <w:tcW w:w="1417" w:type="dxa"/>
            <w:tcBorders>
              <w:top w:val="single" w:sz="4" w:space="0" w:color="auto"/>
              <w:left w:val="nil"/>
              <w:bottom w:val="single" w:sz="4" w:space="0" w:color="auto"/>
              <w:right w:val="single" w:sz="4" w:space="0" w:color="auto"/>
            </w:tcBorders>
            <w:vAlign w:val="bottom"/>
          </w:tcPr>
          <w:p w14:paraId="1C8A7071" w14:textId="77777777" w:rsidR="00761B6C" w:rsidRPr="00064B1C" w:rsidRDefault="00761B6C" w:rsidP="00761B6C">
            <w:pPr>
              <w:pStyle w:val="Tabletext"/>
              <w:jc w:val="right"/>
              <w:rPr>
                <w:sz w:val="20"/>
                <w:lang w:eastAsia="zh-CN"/>
              </w:rPr>
            </w:pPr>
            <w:r w:rsidRPr="00064B1C">
              <w:rPr>
                <w:sz w:val="20"/>
                <w:lang w:eastAsia="zh-CN"/>
              </w:rPr>
              <w:t>373</w:t>
            </w:r>
          </w:p>
        </w:tc>
      </w:tr>
      <w:tr w:rsidR="00761B6C" w:rsidRPr="00236418" w14:paraId="6F707291" w14:textId="77777777" w:rsidTr="0019278D">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6B9C0" w14:textId="77777777" w:rsidR="00761B6C" w:rsidRPr="00236418" w:rsidRDefault="00761B6C" w:rsidP="00761B6C">
            <w:pPr>
              <w:pStyle w:val="Tablehead"/>
              <w:spacing w:before="40" w:after="40"/>
              <w:jc w:val="left"/>
              <w:rPr>
                <w:sz w:val="20"/>
                <w:lang w:eastAsia="zh-CN"/>
              </w:rPr>
            </w:pPr>
            <w:r w:rsidRPr="00236418">
              <w:rPr>
                <w:sz w:val="20"/>
                <w:lang w:eastAsia="zh-CN"/>
              </w:rPr>
              <w:t>Stocks – valeur nette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AA0AB60" w14:textId="77777777" w:rsidR="00761B6C" w:rsidRPr="00064B1C" w:rsidRDefault="00761B6C" w:rsidP="00761B6C">
            <w:pPr>
              <w:pStyle w:val="Tabletext"/>
              <w:jc w:val="right"/>
              <w:rPr>
                <w:b/>
                <w:bCs/>
                <w:sz w:val="20"/>
                <w:lang w:eastAsia="zh-CN"/>
              </w:rPr>
            </w:pPr>
            <w:r w:rsidRPr="00064B1C">
              <w:rPr>
                <w:b/>
                <w:bCs/>
                <w:sz w:val="20"/>
                <w:lang w:val="en-US" w:eastAsia="zh-CN"/>
              </w:rPr>
              <w:t>459</w:t>
            </w:r>
          </w:p>
        </w:tc>
        <w:tc>
          <w:tcPr>
            <w:tcW w:w="1417" w:type="dxa"/>
            <w:tcBorders>
              <w:top w:val="single" w:sz="4" w:space="0" w:color="auto"/>
              <w:left w:val="nil"/>
              <w:bottom w:val="single" w:sz="4" w:space="0" w:color="auto"/>
              <w:right w:val="single" w:sz="4" w:space="0" w:color="auto"/>
            </w:tcBorders>
            <w:vAlign w:val="bottom"/>
          </w:tcPr>
          <w:p w14:paraId="30DB7DA8" w14:textId="77777777" w:rsidR="00761B6C" w:rsidRPr="00064B1C" w:rsidRDefault="00761B6C" w:rsidP="00761B6C">
            <w:pPr>
              <w:pStyle w:val="Tabletext"/>
              <w:jc w:val="right"/>
              <w:rPr>
                <w:b/>
                <w:bCs/>
                <w:sz w:val="20"/>
                <w:lang w:eastAsia="zh-CN"/>
              </w:rPr>
            </w:pPr>
            <w:r w:rsidRPr="00064B1C">
              <w:rPr>
                <w:b/>
                <w:bCs/>
                <w:sz w:val="20"/>
                <w:lang w:eastAsia="zh-CN"/>
              </w:rPr>
              <w:t>539</w:t>
            </w:r>
          </w:p>
        </w:tc>
      </w:tr>
    </w:tbl>
    <w:p w14:paraId="47E80B07" w14:textId="77777777" w:rsidR="00761B6C" w:rsidRPr="00236418" w:rsidRDefault="00761B6C" w:rsidP="00761B6C">
      <w:pPr>
        <w:pStyle w:val="Heading1"/>
        <w:spacing w:after="120"/>
        <w:rPr>
          <w:sz w:val="24"/>
          <w:szCs w:val="24"/>
        </w:rPr>
      </w:pPr>
      <w:bookmarkStart w:id="1596" w:name="_Toc268007541"/>
      <w:bookmarkStart w:id="1597" w:name="_Toc329178783"/>
      <w:bookmarkStart w:id="1598" w:name="_Toc329181756"/>
      <w:bookmarkStart w:id="1599" w:name="_Toc329202577"/>
      <w:bookmarkStart w:id="1600" w:name="_Toc329205009"/>
      <w:bookmarkStart w:id="1601" w:name="_Toc329206846"/>
      <w:bookmarkStart w:id="1602" w:name="_Toc358379932"/>
      <w:bookmarkStart w:id="1603" w:name="_Toc358380472"/>
      <w:bookmarkStart w:id="1604" w:name="_Toc387166652"/>
      <w:bookmarkStart w:id="1605" w:name="_Toc395260937"/>
      <w:bookmarkStart w:id="1606" w:name="_Toc395511716"/>
      <w:bookmarkStart w:id="1607" w:name="_Toc452138626"/>
      <w:bookmarkStart w:id="1608" w:name="_Toc452139075"/>
      <w:bookmarkStart w:id="1609" w:name="_Toc452139439"/>
      <w:bookmarkStart w:id="1610" w:name="_Toc452139840"/>
      <w:bookmarkStart w:id="1611" w:name="_Toc452140714"/>
      <w:bookmarkStart w:id="1612" w:name="_Toc482801504"/>
      <w:bookmarkStart w:id="1613" w:name="_Toc511649476"/>
      <w:bookmarkStart w:id="1614" w:name="_Toc511649846"/>
      <w:bookmarkStart w:id="1615" w:name="_Toc511649962"/>
      <w:bookmarkStart w:id="1616" w:name="_Toc511651219"/>
      <w:bookmarkStart w:id="1617" w:name="_Toc511724084"/>
      <w:bookmarkStart w:id="1618" w:name="_Toc511739073"/>
      <w:bookmarkStart w:id="1619" w:name="_Toc511741242"/>
      <w:bookmarkStart w:id="1620" w:name="_Toc10450748"/>
      <w:bookmarkStart w:id="1621" w:name="_Toc41566348"/>
      <w:bookmarkStart w:id="1622" w:name="_Toc41567356"/>
      <w:bookmarkStart w:id="1623" w:name="_Toc41567859"/>
      <w:bookmarkStart w:id="1624" w:name="_Toc41814954"/>
      <w:bookmarkStart w:id="1625" w:name="_Toc73354443"/>
      <w:bookmarkStart w:id="1626" w:name="_Toc73356419"/>
      <w:r w:rsidRPr="00236418">
        <w:rPr>
          <w:sz w:val="24"/>
          <w:szCs w:val="24"/>
        </w:rPr>
        <w:lastRenderedPageBreak/>
        <w:t>Note 10</w:t>
      </w:r>
      <w:r w:rsidRPr="00236418">
        <w:rPr>
          <w:sz w:val="24"/>
          <w:szCs w:val="24"/>
        </w:rPr>
        <w:tab/>
        <w:t>Autres c</w:t>
      </w:r>
      <w:bookmarkEnd w:id="1596"/>
      <w:r w:rsidRPr="00236418">
        <w:rPr>
          <w:sz w:val="24"/>
          <w:szCs w:val="24"/>
        </w:rPr>
        <w:t>réances</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tbl>
      <w:tblPr>
        <w:tblW w:w="8478" w:type="dxa"/>
        <w:jc w:val="center"/>
        <w:tblLook w:val="04A0" w:firstRow="1" w:lastRow="0" w:firstColumn="1" w:lastColumn="0" w:noHBand="0" w:noVBand="1"/>
        <w:tblCaption w:val="E"/>
      </w:tblPr>
      <w:tblGrid>
        <w:gridCol w:w="3261"/>
        <w:gridCol w:w="2521"/>
        <w:gridCol w:w="2696"/>
      </w:tblGrid>
      <w:tr w:rsidR="00761B6C" w:rsidRPr="00236418" w14:paraId="78275390" w14:textId="77777777" w:rsidTr="0019278D">
        <w:trPr>
          <w:trHeight w:val="340"/>
          <w:tblHeader/>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BEA2E" w14:textId="77777777" w:rsidR="00761B6C" w:rsidRPr="00236418" w:rsidRDefault="00761B6C" w:rsidP="00761B6C">
            <w:pPr>
              <w:pStyle w:val="Tablehead"/>
              <w:spacing w:before="40" w:after="40"/>
              <w:jc w:val="left"/>
              <w:rPr>
                <w:sz w:val="20"/>
                <w:lang w:eastAsia="zh-CN"/>
              </w:rPr>
            </w:pPr>
            <w:r w:rsidRPr="00236418">
              <w:rPr>
                <w:sz w:val="20"/>
                <w:lang w:eastAsia="zh-CN"/>
              </w:rPr>
              <w:t>En milliers CHF</w:t>
            </w:r>
          </w:p>
        </w:tc>
        <w:tc>
          <w:tcPr>
            <w:tcW w:w="2521" w:type="dxa"/>
            <w:tcBorders>
              <w:top w:val="single" w:sz="4" w:space="0" w:color="auto"/>
              <w:left w:val="nil"/>
              <w:bottom w:val="single" w:sz="4" w:space="0" w:color="auto"/>
              <w:right w:val="single" w:sz="4" w:space="0" w:color="auto"/>
            </w:tcBorders>
            <w:shd w:val="clear" w:color="auto" w:fill="auto"/>
            <w:vAlign w:val="center"/>
          </w:tcPr>
          <w:p w14:paraId="7A53A9FE" w14:textId="77777777" w:rsidR="00761B6C" w:rsidRPr="00236418" w:rsidRDefault="00761B6C" w:rsidP="00761B6C">
            <w:pPr>
              <w:pStyle w:val="Tablehead"/>
              <w:spacing w:before="40" w:after="40"/>
              <w:rPr>
                <w:sz w:val="20"/>
                <w:lang w:eastAsia="zh-CN"/>
              </w:rPr>
            </w:pPr>
            <w:r>
              <w:rPr>
                <w:sz w:val="20"/>
                <w:lang w:eastAsia="zh-CN"/>
              </w:rPr>
              <w:t>31.12.2020</w:t>
            </w:r>
          </w:p>
        </w:tc>
        <w:tc>
          <w:tcPr>
            <w:tcW w:w="2696" w:type="dxa"/>
            <w:tcBorders>
              <w:top w:val="single" w:sz="4" w:space="0" w:color="auto"/>
              <w:left w:val="nil"/>
              <w:bottom w:val="single" w:sz="4" w:space="0" w:color="auto"/>
              <w:right w:val="single" w:sz="4" w:space="0" w:color="auto"/>
            </w:tcBorders>
            <w:vAlign w:val="center"/>
          </w:tcPr>
          <w:p w14:paraId="76AD79D2" w14:textId="77777777" w:rsidR="00761B6C" w:rsidRPr="00236418" w:rsidRDefault="00761B6C" w:rsidP="00761B6C">
            <w:pPr>
              <w:pStyle w:val="Tablehead"/>
              <w:spacing w:before="40" w:after="40"/>
              <w:rPr>
                <w:sz w:val="20"/>
                <w:lang w:eastAsia="zh-CN"/>
              </w:rPr>
            </w:pPr>
            <w:r w:rsidRPr="00236418">
              <w:rPr>
                <w:sz w:val="20"/>
                <w:lang w:eastAsia="zh-CN"/>
              </w:rPr>
              <w:t>31.12.2019</w:t>
            </w:r>
          </w:p>
        </w:tc>
      </w:tr>
      <w:tr w:rsidR="00761B6C" w:rsidRPr="00236418" w14:paraId="508208FC" w14:textId="77777777" w:rsidTr="0019278D">
        <w:trPr>
          <w:trHeight w:val="255"/>
          <w:jc w:val="center"/>
        </w:trPr>
        <w:tc>
          <w:tcPr>
            <w:tcW w:w="3261" w:type="dxa"/>
            <w:tcBorders>
              <w:left w:val="single" w:sz="4" w:space="0" w:color="auto"/>
              <w:bottom w:val="nil"/>
              <w:right w:val="single" w:sz="4" w:space="0" w:color="auto"/>
            </w:tcBorders>
            <w:shd w:val="clear" w:color="auto" w:fill="auto"/>
            <w:noWrap/>
            <w:vAlign w:val="bottom"/>
          </w:tcPr>
          <w:p w14:paraId="17BDB945" w14:textId="77777777" w:rsidR="00761B6C" w:rsidRPr="00236418" w:rsidRDefault="00761B6C" w:rsidP="00761B6C">
            <w:pPr>
              <w:pStyle w:val="Tabletext"/>
              <w:spacing w:before="30" w:after="30"/>
              <w:rPr>
                <w:sz w:val="20"/>
                <w:lang w:eastAsia="zh-CN"/>
              </w:rPr>
            </w:pPr>
            <w:r w:rsidRPr="00236418">
              <w:rPr>
                <w:sz w:val="20"/>
                <w:lang w:eastAsia="zh-CN"/>
              </w:rPr>
              <w:t>Avances au personnel</w:t>
            </w:r>
          </w:p>
        </w:tc>
        <w:tc>
          <w:tcPr>
            <w:tcW w:w="2521" w:type="dxa"/>
            <w:tcBorders>
              <w:left w:val="nil"/>
              <w:bottom w:val="nil"/>
              <w:right w:val="single" w:sz="4" w:space="0" w:color="auto"/>
            </w:tcBorders>
            <w:shd w:val="clear" w:color="auto" w:fill="auto"/>
            <w:noWrap/>
            <w:vAlign w:val="bottom"/>
          </w:tcPr>
          <w:p w14:paraId="64794C94" w14:textId="77777777" w:rsidR="00761B6C" w:rsidRPr="00895B85" w:rsidRDefault="00761B6C" w:rsidP="00761B6C">
            <w:pPr>
              <w:pStyle w:val="Tabletext"/>
              <w:spacing w:before="30" w:after="30"/>
              <w:jc w:val="right"/>
              <w:rPr>
                <w:sz w:val="20"/>
                <w:lang w:eastAsia="zh-CN"/>
              </w:rPr>
            </w:pPr>
            <w:r w:rsidRPr="00895B85">
              <w:rPr>
                <w:sz w:val="20"/>
                <w:lang w:eastAsia="zh-CN"/>
              </w:rPr>
              <w:t>1 804</w:t>
            </w:r>
          </w:p>
        </w:tc>
        <w:tc>
          <w:tcPr>
            <w:tcW w:w="2696" w:type="dxa"/>
            <w:tcBorders>
              <w:left w:val="nil"/>
              <w:bottom w:val="nil"/>
              <w:right w:val="single" w:sz="4" w:space="0" w:color="auto"/>
            </w:tcBorders>
            <w:vAlign w:val="bottom"/>
          </w:tcPr>
          <w:p w14:paraId="1C7BB2AB" w14:textId="77777777" w:rsidR="00761B6C" w:rsidRPr="00895B85" w:rsidRDefault="00761B6C" w:rsidP="00761B6C">
            <w:pPr>
              <w:pStyle w:val="Tabletext"/>
              <w:spacing w:before="30" w:after="30"/>
              <w:jc w:val="right"/>
              <w:rPr>
                <w:sz w:val="20"/>
                <w:lang w:eastAsia="zh-CN"/>
              </w:rPr>
            </w:pPr>
            <w:r w:rsidRPr="00895B85">
              <w:rPr>
                <w:rFonts w:asciiTheme="minorHAnsi" w:hAnsiTheme="minorHAnsi" w:cs="Arial"/>
                <w:color w:val="000000"/>
                <w:sz w:val="20"/>
                <w:lang w:eastAsia="zh-CN"/>
              </w:rPr>
              <w:t>1 784</w:t>
            </w:r>
          </w:p>
        </w:tc>
      </w:tr>
      <w:tr w:rsidR="00761B6C" w:rsidRPr="00236418" w14:paraId="6E9CC7B1" w14:textId="77777777" w:rsidTr="0019278D">
        <w:trPr>
          <w:trHeight w:val="20"/>
          <w:jc w:val="center"/>
        </w:trPr>
        <w:tc>
          <w:tcPr>
            <w:tcW w:w="3261" w:type="dxa"/>
            <w:tcBorders>
              <w:left w:val="single" w:sz="4" w:space="0" w:color="auto"/>
              <w:right w:val="single" w:sz="4" w:space="0" w:color="auto"/>
            </w:tcBorders>
            <w:shd w:val="clear" w:color="auto" w:fill="auto"/>
            <w:noWrap/>
            <w:vAlign w:val="center"/>
          </w:tcPr>
          <w:p w14:paraId="279F9499" w14:textId="77777777" w:rsidR="00761B6C" w:rsidRPr="00236418" w:rsidRDefault="00761B6C" w:rsidP="00761B6C">
            <w:pPr>
              <w:pStyle w:val="Tabletext"/>
              <w:spacing w:before="30" w:after="30"/>
              <w:rPr>
                <w:sz w:val="20"/>
                <w:lang w:eastAsia="zh-CN"/>
              </w:rPr>
            </w:pPr>
            <w:r w:rsidRPr="00236418">
              <w:rPr>
                <w:sz w:val="20"/>
                <w:lang w:eastAsia="zh-CN"/>
              </w:rPr>
              <w:t>Compte courant PNUD</w:t>
            </w:r>
          </w:p>
        </w:tc>
        <w:tc>
          <w:tcPr>
            <w:tcW w:w="2521" w:type="dxa"/>
            <w:tcBorders>
              <w:left w:val="nil"/>
              <w:right w:val="single" w:sz="4" w:space="0" w:color="auto"/>
            </w:tcBorders>
            <w:shd w:val="clear" w:color="auto" w:fill="auto"/>
            <w:noWrap/>
            <w:vAlign w:val="bottom"/>
          </w:tcPr>
          <w:p w14:paraId="30147E63" w14:textId="77777777" w:rsidR="00761B6C" w:rsidRPr="00895B85" w:rsidRDefault="00761B6C" w:rsidP="00761B6C">
            <w:pPr>
              <w:pStyle w:val="Tabletext"/>
              <w:spacing w:before="30" w:after="30"/>
              <w:jc w:val="right"/>
              <w:rPr>
                <w:sz w:val="20"/>
                <w:lang w:eastAsia="zh-CN"/>
              </w:rPr>
            </w:pPr>
            <w:r w:rsidRPr="00895B85">
              <w:rPr>
                <w:sz w:val="20"/>
                <w:lang w:eastAsia="zh-CN"/>
              </w:rPr>
              <w:t>466</w:t>
            </w:r>
          </w:p>
        </w:tc>
        <w:tc>
          <w:tcPr>
            <w:tcW w:w="2696" w:type="dxa"/>
            <w:tcBorders>
              <w:left w:val="nil"/>
              <w:right w:val="single" w:sz="4" w:space="0" w:color="auto"/>
            </w:tcBorders>
            <w:vAlign w:val="bottom"/>
          </w:tcPr>
          <w:p w14:paraId="1D415669" w14:textId="77777777" w:rsidR="00761B6C" w:rsidRPr="00895B85" w:rsidRDefault="00761B6C" w:rsidP="00761B6C">
            <w:pPr>
              <w:pStyle w:val="Tabletext"/>
              <w:spacing w:before="30" w:after="30"/>
              <w:jc w:val="right"/>
              <w:rPr>
                <w:sz w:val="20"/>
                <w:lang w:eastAsia="zh-CN"/>
              </w:rPr>
            </w:pPr>
            <w:r w:rsidRPr="00895B85">
              <w:rPr>
                <w:rFonts w:asciiTheme="minorHAnsi" w:hAnsiTheme="minorHAnsi" w:cs="Arial"/>
                <w:color w:val="000000"/>
                <w:sz w:val="20"/>
                <w:lang w:eastAsia="zh-CN"/>
              </w:rPr>
              <w:t>486</w:t>
            </w:r>
          </w:p>
        </w:tc>
      </w:tr>
      <w:tr w:rsidR="00761B6C" w:rsidRPr="00236418" w14:paraId="42AA9EB3" w14:textId="77777777" w:rsidTr="0019278D">
        <w:trPr>
          <w:trHeight w:val="20"/>
          <w:jc w:val="center"/>
        </w:trPr>
        <w:tc>
          <w:tcPr>
            <w:tcW w:w="3261" w:type="dxa"/>
            <w:tcBorders>
              <w:left w:val="single" w:sz="4" w:space="0" w:color="auto"/>
              <w:right w:val="single" w:sz="4" w:space="0" w:color="auto"/>
            </w:tcBorders>
            <w:shd w:val="clear" w:color="auto" w:fill="auto"/>
            <w:noWrap/>
            <w:vAlign w:val="center"/>
          </w:tcPr>
          <w:p w14:paraId="0FA5D16E" w14:textId="77777777" w:rsidR="00761B6C" w:rsidRPr="00236418" w:rsidRDefault="00761B6C" w:rsidP="00761B6C">
            <w:pPr>
              <w:pStyle w:val="Tabletext"/>
              <w:spacing w:before="30" w:after="30"/>
              <w:rPr>
                <w:sz w:val="20"/>
                <w:lang w:eastAsia="zh-CN"/>
              </w:rPr>
            </w:pPr>
            <w:r w:rsidRPr="00236418">
              <w:rPr>
                <w:sz w:val="20"/>
                <w:lang w:eastAsia="zh-CN"/>
              </w:rPr>
              <w:t>Yougoslavie</w:t>
            </w:r>
          </w:p>
        </w:tc>
        <w:tc>
          <w:tcPr>
            <w:tcW w:w="2521" w:type="dxa"/>
            <w:tcBorders>
              <w:left w:val="nil"/>
              <w:right w:val="single" w:sz="4" w:space="0" w:color="auto"/>
            </w:tcBorders>
            <w:shd w:val="clear" w:color="auto" w:fill="auto"/>
            <w:noWrap/>
            <w:vAlign w:val="bottom"/>
          </w:tcPr>
          <w:p w14:paraId="676033D0" w14:textId="77777777" w:rsidR="00761B6C" w:rsidRPr="00895B85" w:rsidRDefault="00761B6C" w:rsidP="00761B6C">
            <w:pPr>
              <w:pStyle w:val="Tabletext"/>
              <w:spacing w:before="30" w:after="30"/>
              <w:jc w:val="right"/>
              <w:rPr>
                <w:sz w:val="20"/>
                <w:lang w:eastAsia="zh-CN"/>
              </w:rPr>
            </w:pPr>
            <w:r w:rsidRPr="00895B85">
              <w:rPr>
                <w:sz w:val="20"/>
                <w:lang w:eastAsia="zh-CN"/>
              </w:rPr>
              <w:t>1 189</w:t>
            </w:r>
          </w:p>
        </w:tc>
        <w:tc>
          <w:tcPr>
            <w:tcW w:w="2696" w:type="dxa"/>
            <w:tcBorders>
              <w:left w:val="nil"/>
              <w:right w:val="single" w:sz="4" w:space="0" w:color="auto"/>
            </w:tcBorders>
            <w:vAlign w:val="bottom"/>
          </w:tcPr>
          <w:p w14:paraId="70B09E02" w14:textId="77777777" w:rsidR="00761B6C" w:rsidRPr="00895B85" w:rsidRDefault="00761B6C" w:rsidP="00761B6C">
            <w:pPr>
              <w:pStyle w:val="Tabletext"/>
              <w:spacing w:before="30" w:after="30"/>
              <w:jc w:val="right"/>
              <w:rPr>
                <w:sz w:val="20"/>
                <w:lang w:eastAsia="zh-CN"/>
              </w:rPr>
            </w:pPr>
            <w:r w:rsidRPr="00895B85">
              <w:rPr>
                <w:rFonts w:asciiTheme="minorHAnsi" w:hAnsiTheme="minorHAnsi" w:cs="Arial"/>
                <w:color w:val="000000"/>
                <w:sz w:val="20"/>
                <w:lang w:eastAsia="zh-CN"/>
              </w:rPr>
              <w:t>1 189</w:t>
            </w:r>
          </w:p>
        </w:tc>
      </w:tr>
      <w:tr w:rsidR="00761B6C" w:rsidRPr="00236418" w14:paraId="66174F93" w14:textId="77777777" w:rsidTr="0019278D">
        <w:trPr>
          <w:trHeight w:val="20"/>
          <w:jc w:val="center"/>
        </w:trPr>
        <w:tc>
          <w:tcPr>
            <w:tcW w:w="3261" w:type="dxa"/>
            <w:tcBorders>
              <w:left w:val="single" w:sz="4" w:space="0" w:color="auto"/>
              <w:right w:val="single" w:sz="4" w:space="0" w:color="auto"/>
            </w:tcBorders>
            <w:shd w:val="clear" w:color="auto" w:fill="auto"/>
            <w:noWrap/>
            <w:vAlign w:val="center"/>
          </w:tcPr>
          <w:p w14:paraId="26970921" w14:textId="77777777" w:rsidR="00761B6C" w:rsidRPr="00236418" w:rsidRDefault="00761B6C" w:rsidP="00761B6C">
            <w:pPr>
              <w:pStyle w:val="Tabletext"/>
              <w:spacing w:before="30" w:after="30"/>
              <w:rPr>
                <w:sz w:val="20"/>
                <w:lang w:eastAsia="zh-CN"/>
              </w:rPr>
            </w:pPr>
            <w:r w:rsidRPr="00236418">
              <w:rPr>
                <w:sz w:val="20"/>
                <w:lang w:eastAsia="zh-CN"/>
              </w:rPr>
              <w:t>Provision sur créance Yougoslavie</w:t>
            </w:r>
          </w:p>
        </w:tc>
        <w:tc>
          <w:tcPr>
            <w:tcW w:w="2521" w:type="dxa"/>
            <w:tcBorders>
              <w:left w:val="nil"/>
              <w:right w:val="single" w:sz="4" w:space="0" w:color="auto"/>
            </w:tcBorders>
            <w:shd w:val="clear" w:color="auto" w:fill="auto"/>
            <w:noWrap/>
            <w:vAlign w:val="bottom"/>
          </w:tcPr>
          <w:p w14:paraId="0B45F123" w14:textId="77777777" w:rsidR="00761B6C" w:rsidRPr="00895B85" w:rsidRDefault="00761B6C" w:rsidP="00761B6C">
            <w:pPr>
              <w:pStyle w:val="Tabletext"/>
              <w:spacing w:before="30" w:after="30"/>
              <w:jc w:val="right"/>
              <w:rPr>
                <w:sz w:val="20"/>
                <w:lang w:eastAsia="zh-CN"/>
              </w:rPr>
            </w:pPr>
            <w:r w:rsidRPr="00895B85">
              <w:rPr>
                <w:sz w:val="20"/>
                <w:lang w:eastAsia="zh-CN"/>
              </w:rPr>
              <w:t>–1 189</w:t>
            </w:r>
          </w:p>
        </w:tc>
        <w:tc>
          <w:tcPr>
            <w:tcW w:w="2696" w:type="dxa"/>
            <w:tcBorders>
              <w:left w:val="nil"/>
              <w:right w:val="single" w:sz="4" w:space="0" w:color="auto"/>
            </w:tcBorders>
            <w:vAlign w:val="bottom"/>
          </w:tcPr>
          <w:p w14:paraId="15407D65" w14:textId="77777777" w:rsidR="00761B6C" w:rsidRPr="00895B85" w:rsidRDefault="00761B6C" w:rsidP="00761B6C">
            <w:pPr>
              <w:pStyle w:val="Tabletext"/>
              <w:spacing w:before="30" w:after="30"/>
              <w:jc w:val="right"/>
              <w:rPr>
                <w:sz w:val="20"/>
                <w:lang w:eastAsia="zh-CN"/>
              </w:rPr>
            </w:pPr>
            <w:r w:rsidRPr="00895B85">
              <w:rPr>
                <w:rFonts w:asciiTheme="minorHAnsi" w:hAnsiTheme="minorHAnsi" w:cs="Arial"/>
                <w:color w:val="000000"/>
                <w:sz w:val="20"/>
                <w:lang w:eastAsia="zh-CN"/>
              </w:rPr>
              <w:t>–1 189</w:t>
            </w:r>
          </w:p>
        </w:tc>
      </w:tr>
      <w:tr w:rsidR="00761B6C" w:rsidRPr="00236418" w14:paraId="02316BB1" w14:textId="77777777" w:rsidTr="0019278D">
        <w:trPr>
          <w:trHeight w:val="20"/>
          <w:jc w:val="center"/>
        </w:trPr>
        <w:tc>
          <w:tcPr>
            <w:tcW w:w="3261" w:type="dxa"/>
            <w:tcBorders>
              <w:left w:val="single" w:sz="4" w:space="0" w:color="auto"/>
              <w:right w:val="single" w:sz="4" w:space="0" w:color="auto"/>
            </w:tcBorders>
            <w:shd w:val="clear" w:color="auto" w:fill="auto"/>
            <w:noWrap/>
            <w:vAlign w:val="center"/>
          </w:tcPr>
          <w:p w14:paraId="2754A9F9" w14:textId="77777777" w:rsidR="00761B6C" w:rsidRPr="00236418" w:rsidRDefault="00761B6C" w:rsidP="00761B6C">
            <w:pPr>
              <w:pStyle w:val="Tabletext"/>
              <w:spacing w:before="30" w:after="30"/>
              <w:rPr>
                <w:sz w:val="20"/>
                <w:lang w:eastAsia="zh-CN"/>
              </w:rPr>
            </w:pPr>
            <w:r w:rsidRPr="00236418">
              <w:rPr>
                <w:sz w:val="20"/>
                <w:lang w:eastAsia="zh-CN"/>
              </w:rPr>
              <w:t>Retenue à la source</w:t>
            </w:r>
          </w:p>
        </w:tc>
        <w:tc>
          <w:tcPr>
            <w:tcW w:w="2521" w:type="dxa"/>
            <w:tcBorders>
              <w:left w:val="nil"/>
              <w:right w:val="single" w:sz="4" w:space="0" w:color="auto"/>
            </w:tcBorders>
            <w:shd w:val="clear" w:color="auto" w:fill="auto"/>
            <w:noWrap/>
            <w:vAlign w:val="bottom"/>
          </w:tcPr>
          <w:p w14:paraId="76097AB0" w14:textId="77777777" w:rsidR="00761B6C" w:rsidRPr="00895B85" w:rsidRDefault="00761B6C" w:rsidP="00761B6C">
            <w:pPr>
              <w:pStyle w:val="Tabletext"/>
              <w:spacing w:before="30" w:after="30"/>
              <w:jc w:val="right"/>
              <w:rPr>
                <w:sz w:val="20"/>
                <w:lang w:eastAsia="zh-CN"/>
              </w:rPr>
            </w:pPr>
            <w:r w:rsidRPr="00895B85">
              <w:rPr>
                <w:sz w:val="20"/>
                <w:lang w:eastAsia="zh-CN"/>
              </w:rPr>
              <w:t>2 201</w:t>
            </w:r>
          </w:p>
        </w:tc>
        <w:tc>
          <w:tcPr>
            <w:tcW w:w="2696" w:type="dxa"/>
            <w:tcBorders>
              <w:left w:val="nil"/>
              <w:right w:val="single" w:sz="4" w:space="0" w:color="auto"/>
            </w:tcBorders>
            <w:vAlign w:val="bottom"/>
          </w:tcPr>
          <w:p w14:paraId="64B4ABD8" w14:textId="77777777" w:rsidR="00761B6C" w:rsidRPr="00895B85" w:rsidRDefault="00761B6C" w:rsidP="00761B6C">
            <w:pPr>
              <w:pStyle w:val="Tabletext"/>
              <w:spacing w:before="30" w:after="30"/>
              <w:jc w:val="right"/>
              <w:rPr>
                <w:sz w:val="20"/>
                <w:lang w:eastAsia="zh-CN"/>
              </w:rPr>
            </w:pPr>
            <w:r w:rsidRPr="00895B85">
              <w:rPr>
                <w:rFonts w:asciiTheme="minorHAnsi" w:hAnsiTheme="minorHAnsi" w:cs="Arial"/>
                <w:color w:val="000000"/>
                <w:sz w:val="20"/>
                <w:lang w:eastAsia="zh-CN"/>
              </w:rPr>
              <w:t>2 152</w:t>
            </w:r>
          </w:p>
        </w:tc>
      </w:tr>
      <w:tr w:rsidR="00761B6C" w:rsidRPr="00236418" w14:paraId="4C74ABDB" w14:textId="77777777" w:rsidTr="0019278D">
        <w:trPr>
          <w:trHeight w:val="20"/>
          <w:jc w:val="center"/>
        </w:trPr>
        <w:tc>
          <w:tcPr>
            <w:tcW w:w="3261" w:type="dxa"/>
            <w:tcBorders>
              <w:left w:val="single" w:sz="4" w:space="0" w:color="auto"/>
              <w:right w:val="single" w:sz="4" w:space="0" w:color="auto"/>
            </w:tcBorders>
            <w:shd w:val="clear" w:color="auto" w:fill="auto"/>
            <w:noWrap/>
            <w:vAlign w:val="center"/>
          </w:tcPr>
          <w:p w14:paraId="3CFD2032" w14:textId="77777777" w:rsidR="00761B6C" w:rsidRPr="00236418" w:rsidRDefault="00761B6C" w:rsidP="00761B6C">
            <w:pPr>
              <w:pStyle w:val="Tabletext"/>
              <w:spacing w:before="30" w:after="30"/>
              <w:rPr>
                <w:sz w:val="20"/>
                <w:lang w:eastAsia="zh-CN"/>
              </w:rPr>
            </w:pPr>
            <w:r w:rsidRPr="00236418">
              <w:rPr>
                <w:sz w:val="20"/>
                <w:lang w:eastAsia="zh-CN"/>
              </w:rPr>
              <w:t>Pensions</w:t>
            </w:r>
          </w:p>
        </w:tc>
        <w:tc>
          <w:tcPr>
            <w:tcW w:w="2521" w:type="dxa"/>
            <w:tcBorders>
              <w:left w:val="nil"/>
              <w:right w:val="single" w:sz="4" w:space="0" w:color="auto"/>
            </w:tcBorders>
            <w:shd w:val="clear" w:color="auto" w:fill="auto"/>
            <w:noWrap/>
            <w:vAlign w:val="bottom"/>
          </w:tcPr>
          <w:p w14:paraId="55C8EF2A" w14:textId="77777777" w:rsidR="00761B6C" w:rsidRPr="00895B85" w:rsidRDefault="00761B6C" w:rsidP="00761B6C">
            <w:pPr>
              <w:pStyle w:val="Tabletext"/>
              <w:spacing w:before="30" w:after="30"/>
              <w:jc w:val="right"/>
              <w:rPr>
                <w:sz w:val="20"/>
                <w:lang w:eastAsia="zh-CN"/>
              </w:rPr>
            </w:pPr>
            <w:r w:rsidRPr="00895B85">
              <w:rPr>
                <w:sz w:val="20"/>
                <w:lang w:eastAsia="zh-CN"/>
              </w:rPr>
              <w:t>174</w:t>
            </w:r>
          </w:p>
        </w:tc>
        <w:tc>
          <w:tcPr>
            <w:tcW w:w="2696" w:type="dxa"/>
            <w:tcBorders>
              <w:left w:val="nil"/>
              <w:right w:val="single" w:sz="4" w:space="0" w:color="auto"/>
            </w:tcBorders>
            <w:vAlign w:val="bottom"/>
          </w:tcPr>
          <w:p w14:paraId="188BF64D" w14:textId="77777777" w:rsidR="00761B6C" w:rsidRPr="00895B85" w:rsidRDefault="00761B6C" w:rsidP="00761B6C">
            <w:pPr>
              <w:pStyle w:val="Tabletext"/>
              <w:spacing w:before="30" w:after="30"/>
              <w:jc w:val="right"/>
              <w:rPr>
                <w:sz w:val="20"/>
                <w:lang w:eastAsia="zh-CN"/>
              </w:rPr>
            </w:pPr>
            <w:r w:rsidRPr="00895B85">
              <w:rPr>
                <w:rFonts w:asciiTheme="minorHAnsi" w:hAnsiTheme="minorHAnsi" w:cs="Arial"/>
                <w:color w:val="000000"/>
                <w:sz w:val="20"/>
                <w:lang w:eastAsia="zh-CN"/>
              </w:rPr>
              <w:t>220</w:t>
            </w:r>
          </w:p>
        </w:tc>
      </w:tr>
      <w:tr w:rsidR="00761B6C" w:rsidRPr="00236418" w14:paraId="118ABA66" w14:textId="77777777" w:rsidTr="0019278D">
        <w:trPr>
          <w:trHeight w:val="20"/>
          <w:jc w:val="center"/>
        </w:trPr>
        <w:tc>
          <w:tcPr>
            <w:tcW w:w="3261" w:type="dxa"/>
            <w:tcBorders>
              <w:left w:val="single" w:sz="4" w:space="0" w:color="auto"/>
              <w:right w:val="single" w:sz="4" w:space="0" w:color="auto"/>
            </w:tcBorders>
            <w:shd w:val="clear" w:color="auto" w:fill="auto"/>
            <w:noWrap/>
            <w:vAlign w:val="center"/>
          </w:tcPr>
          <w:p w14:paraId="32F1E021" w14:textId="77777777" w:rsidR="00761B6C" w:rsidRPr="00236418" w:rsidRDefault="00761B6C" w:rsidP="00761B6C">
            <w:pPr>
              <w:pStyle w:val="Tabletext"/>
              <w:spacing w:before="30" w:after="30"/>
              <w:rPr>
                <w:sz w:val="20"/>
                <w:lang w:eastAsia="zh-CN"/>
              </w:rPr>
            </w:pPr>
            <w:r w:rsidRPr="00236418">
              <w:rPr>
                <w:sz w:val="20"/>
                <w:lang w:eastAsia="zh-CN"/>
              </w:rPr>
              <w:t>Intérêts courus</w:t>
            </w:r>
          </w:p>
        </w:tc>
        <w:tc>
          <w:tcPr>
            <w:tcW w:w="2521" w:type="dxa"/>
            <w:tcBorders>
              <w:left w:val="nil"/>
              <w:right w:val="single" w:sz="4" w:space="0" w:color="auto"/>
            </w:tcBorders>
            <w:shd w:val="clear" w:color="auto" w:fill="auto"/>
            <w:noWrap/>
            <w:vAlign w:val="bottom"/>
          </w:tcPr>
          <w:p w14:paraId="0430173A" w14:textId="77777777" w:rsidR="00761B6C" w:rsidRPr="00895B85" w:rsidRDefault="00761B6C" w:rsidP="00761B6C">
            <w:pPr>
              <w:pStyle w:val="Tabletext"/>
              <w:spacing w:before="30" w:after="30"/>
              <w:jc w:val="right"/>
              <w:rPr>
                <w:sz w:val="20"/>
                <w:lang w:eastAsia="zh-CN"/>
              </w:rPr>
            </w:pPr>
            <w:r w:rsidRPr="00895B85">
              <w:rPr>
                <w:sz w:val="20"/>
                <w:lang w:eastAsia="zh-CN"/>
              </w:rPr>
              <w:t>1 688</w:t>
            </w:r>
          </w:p>
        </w:tc>
        <w:tc>
          <w:tcPr>
            <w:tcW w:w="2696" w:type="dxa"/>
            <w:tcBorders>
              <w:left w:val="nil"/>
              <w:right w:val="single" w:sz="4" w:space="0" w:color="auto"/>
            </w:tcBorders>
            <w:vAlign w:val="bottom"/>
          </w:tcPr>
          <w:p w14:paraId="43F7B941" w14:textId="77777777" w:rsidR="00761B6C" w:rsidRPr="00895B85" w:rsidRDefault="00761B6C" w:rsidP="00761B6C">
            <w:pPr>
              <w:pStyle w:val="Tabletext"/>
              <w:spacing w:before="30" w:after="30"/>
              <w:jc w:val="right"/>
              <w:rPr>
                <w:sz w:val="20"/>
                <w:lang w:eastAsia="zh-CN"/>
              </w:rPr>
            </w:pPr>
            <w:r w:rsidRPr="00895B85">
              <w:rPr>
                <w:rFonts w:asciiTheme="minorHAnsi" w:hAnsiTheme="minorHAnsi" w:cs="Arial"/>
                <w:color w:val="000000"/>
                <w:sz w:val="20"/>
                <w:lang w:eastAsia="zh-CN"/>
              </w:rPr>
              <w:t>1 894</w:t>
            </w:r>
          </w:p>
        </w:tc>
      </w:tr>
      <w:tr w:rsidR="00761B6C" w:rsidRPr="00236418" w14:paraId="35FD2579" w14:textId="77777777" w:rsidTr="0019278D">
        <w:trPr>
          <w:trHeight w:val="20"/>
          <w:jc w:val="center"/>
        </w:trPr>
        <w:tc>
          <w:tcPr>
            <w:tcW w:w="3261" w:type="dxa"/>
            <w:tcBorders>
              <w:left w:val="single" w:sz="4" w:space="0" w:color="auto"/>
              <w:right w:val="single" w:sz="4" w:space="0" w:color="auto"/>
            </w:tcBorders>
            <w:shd w:val="clear" w:color="auto" w:fill="auto"/>
            <w:noWrap/>
            <w:vAlign w:val="center"/>
          </w:tcPr>
          <w:p w14:paraId="121D8EFC" w14:textId="77777777" w:rsidR="00761B6C" w:rsidRPr="00236418" w:rsidRDefault="00761B6C" w:rsidP="00761B6C">
            <w:pPr>
              <w:pStyle w:val="Tabletext"/>
              <w:spacing w:before="30" w:after="30"/>
              <w:rPr>
                <w:sz w:val="20"/>
                <w:lang w:eastAsia="zh-CN"/>
              </w:rPr>
            </w:pPr>
            <w:r w:rsidRPr="00236418">
              <w:rPr>
                <w:sz w:val="20"/>
                <w:lang w:eastAsia="zh-CN"/>
              </w:rPr>
              <w:t>Actifs transitoires</w:t>
            </w:r>
          </w:p>
        </w:tc>
        <w:tc>
          <w:tcPr>
            <w:tcW w:w="2521" w:type="dxa"/>
            <w:tcBorders>
              <w:left w:val="nil"/>
              <w:right w:val="single" w:sz="4" w:space="0" w:color="auto"/>
            </w:tcBorders>
            <w:shd w:val="clear" w:color="auto" w:fill="auto"/>
            <w:noWrap/>
            <w:vAlign w:val="bottom"/>
          </w:tcPr>
          <w:p w14:paraId="1303084E" w14:textId="77777777" w:rsidR="00761B6C" w:rsidRPr="00895B85" w:rsidRDefault="00761B6C" w:rsidP="00761B6C">
            <w:pPr>
              <w:pStyle w:val="Tabletext"/>
              <w:spacing w:before="30" w:after="30"/>
              <w:jc w:val="right"/>
              <w:rPr>
                <w:sz w:val="20"/>
                <w:lang w:eastAsia="zh-CN"/>
              </w:rPr>
            </w:pPr>
            <w:r w:rsidRPr="00895B85">
              <w:rPr>
                <w:sz w:val="20"/>
                <w:lang w:eastAsia="zh-CN"/>
              </w:rPr>
              <w:t>3 105</w:t>
            </w:r>
          </w:p>
        </w:tc>
        <w:tc>
          <w:tcPr>
            <w:tcW w:w="2696" w:type="dxa"/>
            <w:tcBorders>
              <w:left w:val="nil"/>
              <w:right w:val="single" w:sz="4" w:space="0" w:color="auto"/>
            </w:tcBorders>
            <w:vAlign w:val="bottom"/>
          </w:tcPr>
          <w:p w14:paraId="766258FF" w14:textId="77777777" w:rsidR="00761B6C" w:rsidRPr="00895B85" w:rsidRDefault="00761B6C" w:rsidP="00761B6C">
            <w:pPr>
              <w:pStyle w:val="Tabletext"/>
              <w:spacing w:before="30" w:after="30"/>
              <w:jc w:val="right"/>
              <w:rPr>
                <w:sz w:val="20"/>
                <w:lang w:eastAsia="zh-CN"/>
              </w:rPr>
            </w:pPr>
            <w:r w:rsidRPr="00895B85">
              <w:rPr>
                <w:rFonts w:asciiTheme="minorHAnsi" w:hAnsiTheme="minorHAnsi" w:cs="Arial"/>
                <w:color w:val="000000"/>
                <w:sz w:val="20"/>
                <w:lang w:eastAsia="zh-CN"/>
              </w:rPr>
              <w:t>1 678</w:t>
            </w:r>
          </w:p>
        </w:tc>
      </w:tr>
      <w:tr w:rsidR="00761B6C" w:rsidRPr="00236418" w14:paraId="4A4F8495" w14:textId="77777777" w:rsidTr="0019278D">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37018" w14:textId="77777777" w:rsidR="00761B6C" w:rsidRPr="00236418" w:rsidRDefault="00761B6C" w:rsidP="00761B6C">
            <w:pPr>
              <w:pStyle w:val="Tablehead"/>
              <w:spacing w:before="30" w:after="30"/>
              <w:jc w:val="left"/>
              <w:rPr>
                <w:sz w:val="20"/>
                <w:lang w:eastAsia="zh-CN"/>
              </w:rPr>
            </w:pPr>
            <w:r w:rsidRPr="00236418">
              <w:rPr>
                <w:sz w:val="20"/>
                <w:lang w:eastAsia="zh-CN"/>
              </w:rPr>
              <w:t>Autres créances</w:t>
            </w:r>
          </w:p>
        </w:tc>
        <w:tc>
          <w:tcPr>
            <w:tcW w:w="2521" w:type="dxa"/>
            <w:tcBorders>
              <w:top w:val="single" w:sz="4" w:space="0" w:color="auto"/>
              <w:left w:val="nil"/>
              <w:bottom w:val="single" w:sz="4" w:space="0" w:color="auto"/>
              <w:right w:val="single" w:sz="4" w:space="0" w:color="auto"/>
            </w:tcBorders>
            <w:shd w:val="clear" w:color="auto" w:fill="auto"/>
            <w:noWrap/>
            <w:vAlign w:val="center"/>
          </w:tcPr>
          <w:p w14:paraId="72401A17" w14:textId="77777777" w:rsidR="00761B6C" w:rsidRPr="00895B85" w:rsidRDefault="00761B6C" w:rsidP="00761B6C">
            <w:pPr>
              <w:pStyle w:val="Tabletext"/>
              <w:jc w:val="right"/>
              <w:rPr>
                <w:b/>
                <w:bCs/>
                <w:sz w:val="20"/>
                <w:lang w:eastAsia="zh-CN"/>
              </w:rPr>
            </w:pPr>
            <w:r w:rsidRPr="00895B85">
              <w:rPr>
                <w:b/>
                <w:bCs/>
                <w:sz w:val="20"/>
                <w:lang w:eastAsia="zh-CN"/>
              </w:rPr>
              <w:t>9 439</w:t>
            </w:r>
          </w:p>
        </w:tc>
        <w:tc>
          <w:tcPr>
            <w:tcW w:w="2696" w:type="dxa"/>
            <w:tcBorders>
              <w:top w:val="single" w:sz="4" w:space="0" w:color="auto"/>
              <w:left w:val="nil"/>
              <w:bottom w:val="single" w:sz="4" w:space="0" w:color="auto"/>
              <w:right w:val="single" w:sz="4" w:space="0" w:color="auto"/>
            </w:tcBorders>
            <w:vAlign w:val="bottom"/>
          </w:tcPr>
          <w:p w14:paraId="2035C83D" w14:textId="77777777" w:rsidR="00761B6C" w:rsidRPr="00895B85" w:rsidRDefault="00761B6C" w:rsidP="00761B6C">
            <w:pPr>
              <w:pStyle w:val="Tablehead"/>
              <w:spacing w:before="40" w:after="40"/>
              <w:jc w:val="right"/>
              <w:rPr>
                <w:sz w:val="20"/>
                <w:lang w:eastAsia="zh-CN"/>
              </w:rPr>
            </w:pPr>
            <w:r w:rsidRPr="00895B85">
              <w:rPr>
                <w:rFonts w:asciiTheme="minorHAnsi" w:hAnsiTheme="minorHAnsi" w:cs="Arial"/>
                <w:color w:val="000000"/>
                <w:sz w:val="20"/>
                <w:lang w:eastAsia="zh-CN"/>
              </w:rPr>
              <w:t xml:space="preserve">8 </w:t>
            </w:r>
            <w:r>
              <w:rPr>
                <w:rFonts w:asciiTheme="minorHAnsi" w:hAnsiTheme="minorHAnsi" w:cs="Arial"/>
                <w:color w:val="000000"/>
                <w:sz w:val="20"/>
                <w:lang w:eastAsia="zh-CN"/>
              </w:rPr>
              <w:t>534</w:t>
            </w:r>
          </w:p>
        </w:tc>
      </w:tr>
    </w:tbl>
    <w:p w14:paraId="679E1959" w14:textId="77777777" w:rsidR="00761B6C" w:rsidRPr="00236418" w:rsidRDefault="00761B6C" w:rsidP="0019278D">
      <w:pPr>
        <w:spacing w:before="240"/>
      </w:pPr>
      <w:r w:rsidRPr="00236418">
        <w:t>Le compte Avances au personnel comprenait principalement le versement de 9</w:t>
      </w:r>
      <w:r>
        <w:t>6</w:t>
      </w:r>
      <w:r w:rsidRPr="00236418">
        <w:t>% des frais d</w:t>
      </w:r>
      <w:r>
        <w:t>'</w:t>
      </w:r>
      <w:r w:rsidRPr="00236418">
        <w:t>étude des enfants de fonctionnaires.</w:t>
      </w:r>
    </w:p>
    <w:p w14:paraId="373F67A4" w14:textId="77777777" w:rsidR="00761B6C" w:rsidRPr="00236418" w:rsidRDefault="00761B6C" w:rsidP="00761B6C">
      <w:r w:rsidRPr="00236418">
        <w:t>Les impôts à la source comprennent les impôts anticipés remboursables par l</w:t>
      </w:r>
      <w:r>
        <w:t>'</w:t>
      </w:r>
      <w:r w:rsidRPr="00236418">
        <w:t>Administration fédérale des contributions de la Confédération suisse ainsi que les impôts sur revenus à récupérer auprès du gouvernement des États-Unis d</w:t>
      </w:r>
      <w:r>
        <w:t>'</w:t>
      </w:r>
      <w:r w:rsidRPr="00236418">
        <w:t>Amérique. Le solde à récupérer auprès de cette administration atteint 2,1 millions CHF à la fin de l</w:t>
      </w:r>
      <w:r>
        <w:t>'</w:t>
      </w:r>
      <w:r w:rsidRPr="00236418">
        <w:t>exercice 20</w:t>
      </w:r>
      <w:r>
        <w:t>20</w:t>
      </w:r>
      <w:r w:rsidRPr="00236418">
        <w:t>.</w:t>
      </w:r>
    </w:p>
    <w:p w14:paraId="1677BF2B" w14:textId="77777777" w:rsidR="00761B6C" w:rsidRPr="00236418" w:rsidRDefault="00761B6C" w:rsidP="00761B6C">
      <w:r w:rsidRPr="00236418">
        <w:t>La dette de l</w:t>
      </w:r>
      <w:r>
        <w:t>'</w:t>
      </w:r>
      <w:r w:rsidRPr="00236418">
        <w:t>ex-République fédérale de Yougoslavie a été provisionnée à 100%. Les montants dus n</w:t>
      </w:r>
      <w:r>
        <w:t>'</w:t>
      </w:r>
      <w:r w:rsidRPr="00236418">
        <w:t>ont pas été régularisés à ce jour. L</w:t>
      </w:r>
      <w:r>
        <w:t>'</w:t>
      </w:r>
      <w:r w:rsidRPr="00236418">
        <w:t>Union est en attente d</w:t>
      </w:r>
      <w:r>
        <w:t>'</w:t>
      </w:r>
      <w:r w:rsidRPr="00236418">
        <w:t>une décision de l</w:t>
      </w:r>
      <w:r>
        <w:t>'</w:t>
      </w:r>
      <w:r w:rsidRPr="00236418">
        <w:t>Assemblée Générale des Nations Unies concernant le traitement de cette dette.</w:t>
      </w:r>
    </w:p>
    <w:p w14:paraId="0AED9E21" w14:textId="77777777" w:rsidR="00761B6C" w:rsidRDefault="00761B6C" w:rsidP="00761B6C">
      <w:r w:rsidRPr="00236418">
        <w:t>Les actifs transitoires représentaient principalement les charges payées à l</w:t>
      </w:r>
      <w:r>
        <w:t>'</w:t>
      </w:r>
      <w:r w:rsidRPr="00236418">
        <w:t>avance concernant le budget 20</w:t>
      </w:r>
      <w:r>
        <w:t>20</w:t>
      </w:r>
      <w:r w:rsidRPr="00236418">
        <w:t>.</w:t>
      </w:r>
    </w:p>
    <w:p w14:paraId="58D812BB" w14:textId="77777777" w:rsidR="00761B6C" w:rsidRPr="0044662E" w:rsidRDefault="00761B6C" w:rsidP="00761B6C">
      <w:r w:rsidRPr="006E2DBF">
        <w:t>L</w:t>
      </w:r>
      <w:r>
        <w:t>'</w:t>
      </w:r>
      <w:r w:rsidRPr="006E2DBF">
        <w:t>augmentation notable est due à</w:t>
      </w:r>
      <w:r>
        <w:t xml:space="preserve"> la provision effectuée en ce qui concerne le congé dans les foyers. En raison de la pandémie et des restrictions de voyage, les membres du personnel de l'UIT n'ont pas été en mesure de prendre leur congé dans les foyers initialement budgétisé pour cette année. </w:t>
      </w:r>
      <w:r w:rsidRPr="006E2DBF">
        <w:t xml:space="preserve">En conséquence, le budget correspondant a été </w:t>
      </w:r>
      <w:r>
        <w:t>reporté à</w:t>
      </w:r>
      <w:r w:rsidRPr="006E2DBF">
        <w:t xml:space="preserve"> 2021</w:t>
      </w:r>
      <w:r w:rsidRPr="0044662E">
        <w:t>.</w:t>
      </w:r>
    </w:p>
    <w:p w14:paraId="7453795B" w14:textId="77777777" w:rsidR="00761B6C" w:rsidRPr="0044662E" w:rsidRDefault="00761B6C" w:rsidP="00144C9E">
      <w:pPr>
        <w:pStyle w:val="Heading1"/>
        <w:spacing w:before="240"/>
        <w:rPr>
          <w:sz w:val="24"/>
          <w:szCs w:val="24"/>
        </w:rPr>
      </w:pPr>
      <w:bookmarkStart w:id="1627" w:name="_Toc268007545"/>
      <w:bookmarkStart w:id="1628" w:name="_Toc329178784"/>
      <w:bookmarkStart w:id="1629" w:name="_Toc329181757"/>
      <w:bookmarkStart w:id="1630" w:name="_Toc329202578"/>
      <w:bookmarkStart w:id="1631" w:name="_Toc329205010"/>
      <w:bookmarkStart w:id="1632" w:name="_Toc329206847"/>
      <w:bookmarkStart w:id="1633" w:name="_Toc358379933"/>
      <w:bookmarkStart w:id="1634" w:name="_Toc358380473"/>
      <w:bookmarkStart w:id="1635" w:name="_Toc387166653"/>
      <w:bookmarkStart w:id="1636" w:name="_Toc395260938"/>
      <w:bookmarkStart w:id="1637" w:name="_Toc395511717"/>
      <w:bookmarkStart w:id="1638" w:name="_Toc452138627"/>
      <w:bookmarkStart w:id="1639" w:name="_Toc452139076"/>
      <w:bookmarkStart w:id="1640" w:name="_Toc452139440"/>
      <w:bookmarkStart w:id="1641" w:name="_Toc452139841"/>
      <w:bookmarkStart w:id="1642" w:name="_Toc452140715"/>
      <w:bookmarkStart w:id="1643" w:name="_Toc482801505"/>
      <w:bookmarkStart w:id="1644" w:name="_Toc511649477"/>
      <w:bookmarkStart w:id="1645" w:name="_Toc511649847"/>
      <w:bookmarkStart w:id="1646" w:name="_Toc511649963"/>
      <w:bookmarkStart w:id="1647" w:name="_Toc511651220"/>
      <w:bookmarkStart w:id="1648" w:name="_Toc511724085"/>
      <w:bookmarkStart w:id="1649" w:name="_Toc511739074"/>
      <w:bookmarkStart w:id="1650" w:name="_Toc511741243"/>
      <w:bookmarkStart w:id="1651" w:name="_Toc10450749"/>
      <w:bookmarkStart w:id="1652" w:name="_Toc41566349"/>
      <w:bookmarkStart w:id="1653" w:name="_Toc41567357"/>
      <w:bookmarkStart w:id="1654" w:name="_Toc41567860"/>
      <w:bookmarkStart w:id="1655" w:name="_Toc41814955"/>
      <w:bookmarkStart w:id="1656" w:name="_Toc73354444"/>
      <w:bookmarkStart w:id="1657" w:name="_Toc73356420"/>
      <w:r w:rsidRPr="0044662E">
        <w:rPr>
          <w:sz w:val="24"/>
          <w:szCs w:val="24"/>
        </w:rPr>
        <w:t>Note 11</w:t>
      </w:r>
      <w:r w:rsidRPr="0044662E">
        <w:rPr>
          <w:sz w:val="24"/>
          <w:szCs w:val="24"/>
        </w:rPr>
        <w:tab/>
        <w:t>Immobilisations corporelles</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14:paraId="416387B4" w14:textId="77777777" w:rsidR="00761B6C" w:rsidRPr="00236418" w:rsidRDefault="00761B6C" w:rsidP="00761B6C">
      <w:pPr>
        <w:keepNext/>
        <w:keepLines/>
      </w:pPr>
      <w:r w:rsidRPr="00236418">
        <w:t>Les bâtiments de l</w:t>
      </w:r>
      <w:r>
        <w:t>'</w:t>
      </w:r>
      <w:r w:rsidRPr="00236418">
        <w:t>UIT se composent:</w:t>
      </w:r>
    </w:p>
    <w:p w14:paraId="2259D0BF" w14:textId="77777777" w:rsidR="00761B6C" w:rsidRPr="00236418" w:rsidRDefault="00761B6C" w:rsidP="00761B6C">
      <w:pPr>
        <w:pStyle w:val="enumlev1"/>
        <w:keepNext/>
        <w:keepLines/>
      </w:pPr>
      <w:r w:rsidRPr="00236418">
        <w:t>–</w:t>
      </w:r>
      <w:r w:rsidRPr="00236418">
        <w:tab/>
        <w:t>de la Tour, rue de Varembé à Genève;</w:t>
      </w:r>
    </w:p>
    <w:p w14:paraId="6AA9E662" w14:textId="77777777" w:rsidR="00761B6C" w:rsidRPr="00236418" w:rsidRDefault="00761B6C" w:rsidP="00761B6C">
      <w:pPr>
        <w:pStyle w:val="enumlev1"/>
        <w:keepNext/>
        <w:keepLines/>
      </w:pPr>
      <w:r w:rsidRPr="00236418">
        <w:t>–</w:t>
      </w:r>
      <w:r w:rsidRPr="00236418">
        <w:tab/>
        <w:t>du Bâtiment Varembé, rue de Varembé à Genève;</w:t>
      </w:r>
    </w:p>
    <w:p w14:paraId="12F823E2" w14:textId="77777777" w:rsidR="00761B6C" w:rsidRPr="00236418" w:rsidRDefault="00761B6C" w:rsidP="00761B6C">
      <w:pPr>
        <w:pStyle w:val="enumlev1"/>
      </w:pPr>
      <w:r w:rsidRPr="00236418">
        <w:t>–</w:t>
      </w:r>
      <w:r w:rsidRPr="00236418">
        <w:tab/>
        <w:t>de l</w:t>
      </w:r>
      <w:r>
        <w:t>'</w:t>
      </w:r>
      <w:r w:rsidRPr="00236418">
        <w:t>Extension C et de la Cafétéria, rue de Varembé à Genève;</w:t>
      </w:r>
    </w:p>
    <w:p w14:paraId="54854641" w14:textId="77777777" w:rsidR="00761B6C" w:rsidRPr="00236418" w:rsidRDefault="00761B6C" w:rsidP="00761B6C">
      <w:pPr>
        <w:pStyle w:val="enumlev1"/>
      </w:pPr>
      <w:r w:rsidRPr="00236418">
        <w:t>–</w:t>
      </w:r>
      <w:r w:rsidRPr="00236418">
        <w:tab/>
        <w:t>du Bâtiment Montbrillant, rue de Varembé à Genève.</w:t>
      </w:r>
    </w:p>
    <w:p w14:paraId="17E50B73" w14:textId="77777777" w:rsidR="00761B6C" w:rsidRPr="00236418" w:rsidRDefault="00761B6C" w:rsidP="00761B6C">
      <w:r w:rsidRPr="00236418">
        <w:t>La valeur de ces bâtiments a fait l</w:t>
      </w:r>
      <w:r>
        <w:t>'</w:t>
      </w:r>
      <w:r w:rsidRPr="00236418">
        <w:t>objet d</w:t>
      </w:r>
      <w:r>
        <w:t>'</w:t>
      </w:r>
      <w:r w:rsidRPr="00236418">
        <w:t>une estimation indépendante, réalisée par un cabinet externe dans le cadre de la préparation des premiers états financiers établis selon les normes IPSAS, en 2010. Elle correspond à la valeur estimée des bâtiments au moment de leur achèvement à laquelle s</w:t>
      </w:r>
      <w:r>
        <w:t>'</w:t>
      </w:r>
      <w:r w:rsidRPr="00236418">
        <w:t>ajoute la valeur estimée des travaux de rénovation et de réfection effectués depuis que les bâtiments sont occupés, déduction faite du montant cumulé des amortissements.</w:t>
      </w:r>
    </w:p>
    <w:p w14:paraId="48F4FA77" w14:textId="77777777" w:rsidR="00761B6C" w:rsidRPr="00236418" w:rsidRDefault="00761B6C" w:rsidP="00761B6C">
      <w:r w:rsidRPr="00236418">
        <w:t>Les variations de la valeur nette comptable des immobilisations corporelles, y compris les actifs de faible valeur, durant l</w:t>
      </w:r>
      <w:r>
        <w:t>'</w:t>
      </w:r>
      <w:r w:rsidRPr="00236418">
        <w:t>exercice 20</w:t>
      </w:r>
      <w:r>
        <w:t>20</w:t>
      </w:r>
      <w:r w:rsidRPr="00236418">
        <w:t xml:space="preserve"> sont expliquées ci-dessous.</w:t>
      </w:r>
    </w:p>
    <w:p w14:paraId="79399034" w14:textId="77777777" w:rsidR="00761B6C" w:rsidRDefault="00761B6C" w:rsidP="00761B6C">
      <w:pPr>
        <w:snapToGrid w:val="0"/>
        <w:jc w:val="both"/>
        <w:rPr>
          <w:color w:val="000000"/>
        </w:rPr>
      </w:pPr>
      <w:r w:rsidRPr="00236418">
        <w:rPr>
          <w:color w:val="000000"/>
        </w:rPr>
        <w:lastRenderedPageBreak/>
        <w:t>Au 31 décembre 20</w:t>
      </w:r>
      <w:r>
        <w:rPr>
          <w:color w:val="000000"/>
        </w:rPr>
        <w:t>20</w:t>
      </w:r>
      <w:r w:rsidRPr="00236418">
        <w:rPr>
          <w:color w:val="000000"/>
        </w:rPr>
        <w:t>, aucune immobilisation corporelle n</w:t>
      </w:r>
      <w:r>
        <w:rPr>
          <w:color w:val="000000"/>
        </w:rPr>
        <w:t>'</w:t>
      </w:r>
      <w:r w:rsidRPr="00236418">
        <w:rPr>
          <w:color w:val="000000"/>
        </w:rPr>
        <w:t>a été donnée en garantie de dette.</w:t>
      </w:r>
    </w:p>
    <w:p w14:paraId="305E0717" w14:textId="77777777" w:rsidR="00761B6C" w:rsidRPr="00236418" w:rsidRDefault="00761B6C" w:rsidP="00761B6C">
      <w:pPr>
        <w:tabs>
          <w:tab w:val="left" w:pos="5956"/>
        </w:tabs>
        <w:snapToGrid w:val="0"/>
        <w:rPr>
          <w:color w:val="000000"/>
        </w:rPr>
      </w:pPr>
      <w:r w:rsidRPr="00184C05">
        <w:rPr>
          <w:color w:val="000000"/>
        </w:rPr>
        <w:t>Au 1e</w:t>
      </w:r>
      <w:r>
        <w:rPr>
          <w:color w:val="000000"/>
        </w:rPr>
        <w:t>r</w:t>
      </w:r>
      <w:r w:rsidRPr="00184C05">
        <w:rPr>
          <w:color w:val="000000"/>
        </w:rPr>
        <w:t xml:space="preserve"> janvier 2020, un amortissement a</w:t>
      </w:r>
      <w:r>
        <w:rPr>
          <w:color w:val="000000"/>
        </w:rPr>
        <w:t xml:space="preserve">ccéléré a été appliqué au bâtiment Varembé, avec une durée d'utilité restante de trois ans. </w:t>
      </w:r>
      <w:r w:rsidRPr="00184C05">
        <w:rPr>
          <w:color w:val="000000"/>
        </w:rPr>
        <w:t>À la fin de 2022, la valeur comptable nette du b</w:t>
      </w:r>
      <w:r>
        <w:rPr>
          <w:color w:val="000000"/>
        </w:rPr>
        <w:t xml:space="preserve">âtiment Varembé sera égale à zéro. </w:t>
      </w:r>
      <w:r w:rsidRPr="0044662E">
        <w:rPr>
          <w:color w:val="000000"/>
        </w:rPr>
        <w:t>La démolition du bâtiment Varembé est prévue en 2023</w:t>
      </w:r>
      <w:r w:rsidRPr="00443BC5">
        <w:rPr>
          <w:color w:val="000000"/>
        </w:rPr>
        <w:t>.</w:t>
      </w:r>
    </w:p>
    <w:p w14:paraId="2242BBEC" w14:textId="77777777" w:rsidR="00761B6C" w:rsidRPr="00236418" w:rsidRDefault="00761B6C" w:rsidP="00761B6C">
      <w:pPr>
        <w:snapToGrid w:val="0"/>
        <w:jc w:val="both"/>
      </w:pPr>
      <w:r w:rsidRPr="00236418">
        <w:t>Il convient de noter que, petit à petit, de plus en plus d</w:t>
      </w:r>
      <w:r>
        <w:t>'</w:t>
      </w:r>
      <w:r w:rsidRPr="00236418">
        <w:t>équipements sont de type mobile et qu</w:t>
      </w:r>
      <w:r>
        <w:t>'</w:t>
      </w:r>
      <w:r w:rsidRPr="00236418">
        <w:t>il est fréquent que les fonctionnaires travaillent à distance. Le suivi de ces équipements nécessite des ressources humaines et du temps et n</w:t>
      </w:r>
      <w:r>
        <w:t>'</w:t>
      </w:r>
      <w:r w:rsidRPr="00236418">
        <w:t>a donc pas pu être effectué dans le délai imparti.</w:t>
      </w:r>
    </w:p>
    <w:p w14:paraId="753019E8" w14:textId="77777777" w:rsidR="00761B6C" w:rsidRPr="00236418" w:rsidRDefault="00761B6C" w:rsidP="00761B6C">
      <w:pPr>
        <w:snapToGrid w:val="0"/>
        <w:spacing w:before="0"/>
        <w:jc w:val="both"/>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C"/>
      </w:tblPr>
      <w:tblGrid>
        <w:gridCol w:w="2977"/>
        <w:gridCol w:w="998"/>
        <w:gridCol w:w="845"/>
        <w:gridCol w:w="992"/>
        <w:gridCol w:w="851"/>
        <w:gridCol w:w="992"/>
        <w:gridCol w:w="992"/>
        <w:gridCol w:w="993"/>
      </w:tblGrid>
      <w:tr w:rsidR="00761B6C" w:rsidRPr="000C047C" w14:paraId="5C558CEC" w14:textId="77777777" w:rsidTr="00761B6C">
        <w:trPr>
          <w:tblHeader/>
          <w:jc w:val="center"/>
        </w:trPr>
        <w:tc>
          <w:tcPr>
            <w:tcW w:w="2977" w:type="dxa"/>
            <w:tcBorders>
              <w:bottom w:val="single" w:sz="4" w:space="0" w:color="auto"/>
            </w:tcBorders>
            <w:tcMar>
              <w:left w:w="57" w:type="dxa"/>
              <w:right w:w="57" w:type="dxa"/>
            </w:tcMar>
          </w:tcPr>
          <w:p w14:paraId="515EDCEE" w14:textId="77777777" w:rsidR="00761B6C" w:rsidRPr="000C047C" w:rsidRDefault="00761B6C" w:rsidP="00761B6C">
            <w:pPr>
              <w:pStyle w:val="Tablehead"/>
              <w:rPr>
                <w:rFonts w:asciiTheme="minorHAnsi" w:hAnsiTheme="minorHAnsi"/>
                <w:sz w:val="20"/>
              </w:rPr>
            </w:pPr>
            <w:r w:rsidRPr="000C047C">
              <w:rPr>
                <w:rFonts w:asciiTheme="minorHAnsi" w:hAnsiTheme="minorHAnsi"/>
                <w:sz w:val="20"/>
              </w:rPr>
              <w:t>Catégories d'actifs</w:t>
            </w:r>
          </w:p>
        </w:tc>
        <w:tc>
          <w:tcPr>
            <w:tcW w:w="998" w:type="dxa"/>
            <w:tcBorders>
              <w:bottom w:val="single" w:sz="4" w:space="0" w:color="auto"/>
            </w:tcBorders>
            <w:tcMar>
              <w:left w:w="57" w:type="dxa"/>
              <w:right w:w="57" w:type="dxa"/>
            </w:tcMar>
          </w:tcPr>
          <w:p w14:paraId="3F4E75D8" w14:textId="77777777" w:rsidR="00761B6C" w:rsidRPr="000C047C" w:rsidRDefault="00761B6C" w:rsidP="00761B6C">
            <w:pPr>
              <w:pStyle w:val="Tablehead"/>
              <w:rPr>
                <w:rFonts w:asciiTheme="minorHAnsi" w:hAnsiTheme="minorHAnsi"/>
                <w:sz w:val="20"/>
              </w:rPr>
            </w:pPr>
            <w:r w:rsidRPr="000C047C">
              <w:rPr>
                <w:rFonts w:asciiTheme="minorHAnsi" w:hAnsiTheme="minorHAnsi"/>
                <w:sz w:val="20"/>
              </w:rPr>
              <w:t>Bâtiments</w:t>
            </w:r>
          </w:p>
        </w:tc>
        <w:tc>
          <w:tcPr>
            <w:tcW w:w="845" w:type="dxa"/>
            <w:tcBorders>
              <w:bottom w:val="single" w:sz="4" w:space="0" w:color="auto"/>
            </w:tcBorders>
            <w:tcMar>
              <w:left w:w="57" w:type="dxa"/>
              <w:right w:w="57" w:type="dxa"/>
            </w:tcMar>
          </w:tcPr>
          <w:p w14:paraId="400BC213" w14:textId="77777777" w:rsidR="00761B6C" w:rsidRPr="000C047C" w:rsidRDefault="00761B6C" w:rsidP="00761B6C">
            <w:pPr>
              <w:pStyle w:val="Tablehead"/>
              <w:rPr>
                <w:rFonts w:asciiTheme="minorHAnsi" w:hAnsiTheme="minorHAnsi"/>
                <w:sz w:val="20"/>
              </w:rPr>
            </w:pPr>
            <w:r w:rsidRPr="000C047C">
              <w:rPr>
                <w:rFonts w:asciiTheme="minorHAnsi" w:hAnsiTheme="minorHAnsi"/>
                <w:sz w:val="20"/>
              </w:rPr>
              <w:t>Mach.</w:t>
            </w:r>
            <w:r w:rsidRPr="000C047C">
              <w:rPr>
                <w:rFonts w:asciiTheme="minorHAnsi" w:hAnsiTheme="minorHAnsi"/>
                <w:sz w:val="20"/>
              </w:rPr>
              <w:br/>
              <w:t>&amp;</w:t>
            </w:r>
            <w:r w:rsidRPr="000C047C">
              <w:rPr>
                <w:rFonts w:asciiTheme="minorHAnsi" w:hAnsiTheme="minorHAnsi"/>
                <w:sz w:val="20"/>
              </w:rPr>
              <w:br/>
            </w:r>
            <w:proofErr w:type="spellStart"/>
            <w:r w:rsidRPr="000C047C">
              <w:rPr>
                <w:rFonts w:asciiTheme="minorHAnsi" w:hAnsiTheme="minorHAnsi"/>
                <w:sz w:val="20"/>
              </w:rPr>
              <w:t>équip</w:t>
            </w:r>
            <w:proofErr w:type="spellEnd"/>
            <w:r w:rsidRPr="000C047C">
              <w:rPr>
                <w:rFonts w:asciiTheme="minorHAnsi" w:hAnsiTheme="minorHAnsi"/>
                <w:sz w:val="20"/>
              </w:rPr>
              <w:t>.</w:t>
            </w:r>
          </w:p>
        </w:tc>
        <w:tc>
          <w:tcPr>
            <w:tcW w:w="992" w:type="dxa"/>
            <w:tcBorders>
              <w:bottom w:val="single" w:sz="4" w:space="0" w:color="auto"/>
            </w:tcBorders>
            <w:tcMar>
              <w:left w:w="57" w:type="dxa"/>
              <w:right w:w="57" w:type="dxa"/>
            </w:tcMar>
          </w:tcPr>
          <w:p w14:paraId="1E212E3E" w14:textId="77777777" w:rsidR="00761B6C" w:rsidRPr="000C047C" w:rsidRDefault="00761B6C" w:rsidP="00761B6C">
            <w:pPr>
              <w:pStyle w:val="Tablehead"/>
              <w:rPr>
                <w:rFonts w:asciiTheme="minorHAnsi" w:hAnsiTheme="minorHAnsi"/>
                <w:sz w:val="20"/>
              </w:rPr>
            </w:pPr>
            <w:r w:rsidRPr="000C047C">
              <w:rPr>
                <w:rFonts w:asciiTheme="minorHAnsi" w:hAnsiTheme="minorHAnsi"/>
                <w:sz w:val="20"/>
              </w:rPr>
              <w:t>Mobilier</w:t>
            </w:r>
            <w:r w:rsidRPr="000C047C">
              <w:rPr>
                <w:rFonts w:asciiTheme="minorHAnsi" w:hAnsiTheme="minorHAnsi"/>
                <w:sz w:val="20"/>
              </w:rPr>
              <w:br/>
              <w:t>&amp;</w:t>
            </w:r>
            <w:r w:rsidRPr="000C047C">
              <w:rPr>
                <w:rFonts w:asciiTheme="minorHAnsi" w:hAnsiTheme="minorHAnsi"/>
                <w:sz w:val="20"/>
              </w:rPr>
              <w:br/>
            </w:r>
            <w:proofErr w:type="spellStart"/>
            <w:r w:rsidRPr="000C047C">
              <w:rPr>
                <w:rFonts w:asciiTheme="minorHAnsi" w:hAnsiTheme="minorHAnsi"/>
                <w:sz w:val="20"/>
              </w:rPr>
              <w:t>agenc</w:t>
            </w:r>
            <w:proofErr w:type="spellEnd"/>
            <w:r w:rsidRPr="000C047C">
              <w:rPr>
                <w:rFonts w:asciiTheme="minorHAnsi" w:hAnsiTheme="minorHAnsi"/>
                <w:sz w:val="20"/>
              </w:rPr>
              <w:t>.</w:t>
            </w:r>
          </w:p>
        </w:tc>
        <w:tc>
          <w:tcPr>
            <w:tcW w:w="851" w:type="dxa"/>
            <w:tcBorders>
              <w:bottom w:val="single" w:sz="4" w:space="0" w:color="auto"/>
            </w:tcBorders>
            <w:tcMar>
              <w:left w:w="57" w:type="dxa"/>
              <w:right w:w="57" w:type="dxa"/>
            </w:tcMar>
          </w:tcPr>
          <w:p w14:paraId="79F7C41B" w14:textId="77777777" w:rsidR="00761B6C" w:rsidRPr="000C047C" w:rsidRDefault="00761B6C" w:rsidP="00761B6C">
            <w:pPr>
              <w:pStyle w:val="Tablehead"/>
              <w:rPr>
                <w:rFonts w:asciiTheme="minorHAnsi" w:hAnsiTheme="minorHAnsi"/>
                <w:sz w:val="20"/>
              </w:rPr>
            </w:pPr>
            <w:r w:rsidRPr="000C047C">
              <w:rPr>
                <w:rFonts w:asciiTheme="minorHAnsi" w:hAnsiTheme="minorHAnsi"/>
                <w:sz w:val="20"/>
              </w:rPr>
              <w:t xml:space="preserve">Matériel </w:t>
            </w:r>
            <w:proofErr w:type="spellStart"/>
            <w:r w:rsidRPr="000C047C">
              <w:rPr>
                <w:rFonts w:asciiTheme="minorHAnsi" w:hAnsiTheme="minorHAnsi"/>
                <w:sz w:val="20"/>
              </w:rPr>
              <w:t>inform</w:t>
            </w:r>
            <w:proofErr w:type="spellEnd"/>
            <w:r w:rsidRPr="000C047C">
              <w:rPr>
                <w:rFonts w:asciiTheme="minorHAnsi" w:hAnsiTheme="minorHAnsi"/>
                <w:sz w:val="20"/>
              </w:rPr>
              <w:t>.</w:t>
            </w:r>
          </w:p>
        </w:tc>
        <w:tc>
          <w:tcPr>
            <w:tcW w:w="992" w:type="dxa"/>
            <w:tcBorders>
              <w:bottom w:val="single" w:sz="4" w:space="0" w:color="auto"/>
            </w:tcBorders>
            <w:tcMar>
              <w:left w:w="57" w:type="dxa"/>
              <w:right w:w="57" w:type="dxa"/>
            </w:tcMar>
          </w:tcPr>
          <w:p w14:paraId="312B39DE" w14:textId="77777777" w:rsidR="00761B6C" w:rsidRPr="000C047C" w:rsidRDefault="00761B6C" w:rsidP="00761B6C">
            <w:pPr>
              <w:pStyle w:val="Tablehead"/>
              <w:rPr>
                <w:rFonts w:asciiTheme="minorHAnsi" w:hAnsiTheme="minorHAnsi"/>
                <w:sz w:val="20"/>
              </w:rPr>
            </w:pPr>
            <w:r w:rsidRPr="000C047C">
              <w:rPr>
                <w:rFonts w:asciiTheme="minorHAnsi" w:hAnsiTheme="minorHAnsi"/>
                <w:sz w:val="20"/>
              </w:rPr>
              <w:t>Véhicules</w:t>
            </w:r>
          </w:p>
        </w:tc>
        <w:tc>
          <w:tcPr>
            <w:tcW w:w="992" w:type="dxa"/>
            <w:tcBorders>
              <w:bottom w:val="single" w:sz="4" w:space="0" w:color="auto"/>
              <w:right w:val="single" w:sz="4" w:space="0" w:color="auto"/>
            </w:tcBorders>
          </w:tcPr>
          <w:p w14:paraId="6257CF71" w14:textId="77777777" w:rsidR="00761B6C" w:rsidRPr="000C047C" w:rsidRDefault="00761B6C" w:rsidP="00761B6C">
            <w:pPr>
              <w:pStyle w:val="Tablehead"/>
              <w:rPr>
                <w:rFonts w:asciiTheme="minorHAnsi" w:hAnsiTheme="minorHAnsi"/>
                <w:sz w:val="20"/>
              </w:rPr>
            </w:pPr>
            <w:r w:rsidRPr="000C047C">
              <w:rPr>
                <w:rFonts w:asciiTheme="minorHAnsi" w:hAnsiTheme="minorHAnsi"/>
                <w:sz w:val="20"/>
              </w:rPr>
              <w:t>Actifs de faible valeur</w:t>
            </w:r>
          </w:p>
        </w:tc>
        <w:tc>
          <w:tcPr>
            <w:tcW w:w="993" w:type="dxa"/>
            <w:tcBorders>
              <w:left w:val="single" w:sz="4" w:space="0" w:color="auto"/>
              <w:bottom w:val="single" w:sz="4" w:space="0" w:color="auto"/>
              <w:right w:val="single" w:sz="4" w:space="0" w:color="auto"/>
            </w:tcBorders>
            <w:tcMar>
              <w:left w:w="57" w:type="dxa"/>
              <w:right w:w="57" w:type="dxa"/>
            </w:tcMar>
          </w:tcPr>
          <w:p w14:paraId="5DBDFB10" w14:textId="77777777" w:rsidR="00761B6C" w:rsidRPr="000C047C" w:rsidRDefault="00761B6C" w:rsidP="00761B6C">
            <w:pPr>
              <w:pStyle w:val="Tablehead"/>
              <w:rPr>
                <w:rFonts w:asciiTheme="minorHAnsi" w:hAnsiTheme="minorHAnsi"/>
                <w:sz w:val="20"/>
              </w:rPr>
            </w:pPr>
            <w:r w:rsidRPr="000C047C">
              <w:rPr>
                <w:rFonts w:asciiTheme="minorHAnsi" w:hAnsiTheme="minorHAnsi"/>
                <w:sz w:val="20"/>
              </w:rPr>
              <w:t>Total</w:t>
            </w:r>
          </w:p>
        </w:tc>
      </w:tr>
      <w:tr w:rsidR="00761B6C" w:rsidRPr="000C047C" w14:paraId="701A9E2C" w14:textId="77777777" w:rsidTr="00761B6C">
        <w:trPr>
          <w:jc w:val="center"/>
        </w:trPr>
        <w:tc>
          <w:tcPr>
            <w:tcW w:w="2977" w:type="dxa"/>
            <w:tcBorders>
              <w:bottom w:val="single" w:sz="4" w:space="0" w:color="auto"/>
              <w:right w:val="single" w:sz="4" w:space="0" w:color="auto"/>
            </w:tcBorders>
          </w:tcPr>
          <w:p w14:paraId="590C1A17" w14:textId="77777777" w:rsidR="00761B6C" w:rsidRPr="000C047C" w:rsidRDefault="00761B6C" w:rsidP="00761B6C">
            <w:pPr>
              <w:pStyle w:val="Tabletext"/>
              <w:rPr>
                <w:rFonts w:asciiTheme="minorHAnsi" w:hAnsiTheme="minorHAnsi" w:cstheme="minorHAnsi"/>
                <w:b/>
                <w:bCs/>
                <w:sz w:val="20"/>
                <w:lang w:eastAsia="fr-FR"/>
              </w:rPr>
            </w:pPr>
            <w:r w:rsidRPr="000C047C">
              <w:rPr>
                <w:rFonts w:asciiTheme="minorHAnsi" w:hAnsiTheme="minorHAnsi" w:cstheme="minorHAnsi"/>
                <w:b/>
                <w:bCs/>
                <w:sz w:val="20"/>
              </w:rPr>
              <w:t xml:space="preserve">Coût au 1er janvier </w:t>
            </w:r>
          </w:p>
        </w:tc>
        <w:tc>
          <w:tcPr>
            <w:tcW w:w="998" w:type="dxa"/>
            <w:tcBorders>
              <w:left w:val="single" w:sz="4" w:space="0" w:color="auto"/>
              <w:bottom w:val="single" w:sz="4" w:space="0" w:color="auto"/>
              <w:right w:val="single" w:sz="4" w:space="0" w:color="auto"/>
            </w:tcBorders>
            <w:vAlign w:val="center"/>
          </w:tcPr>
          <w:p w14:paraId="4051D4D3"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125 000</w:t>
            </w:r>
          </w:p>
        </w:tc>
        <w:tc>
          <w:tcPr>
            <w:tcW w:w="845" w:type="dxa"/>
            <w:tcBorders>
              <w:left w:val="single" w:sz="4" w:space="0" w:color="auto"/>
              <w:bottom w:val="single" w:sz="4" w:space="0" w:color="auto"/>
              <w:right w:val="single" w:sz="4" w:space="0" w:color="auto"/>
            </w:tcBorders>
            <w:vAlign w:val="center"/>
          </w:tcPr>
          <w:p w14:paraId="1E5E6EC8"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2 046</w:t>
            </w:r>
          </w:p>
        </w:tc>
        <w:tc>
          <w:tcPr>
            <w:tcW w:w="992" w:type="dxa"/>
            <w:tcBorders>
              <w:left w:val="single" w:sz="4" w:space="0" w:color="auto"/>
              <w:bottom w:val="single" w:sz="4" w:space="0" w:color="auto"/>
              <w:right w:val="single" w:sz="4" w:space="0" w:color="auto"/>
            </w:tcBorders>
            <w:vAlign w:val="center"/>
          </w:tcPr>
          <w:p w14:paraId="27CCB71D"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1 707</w:t>
            </w:r>
          </w:p>
        </w:tc>
        <w:tc>
          <w:tcPr>
            <w:tcW w:w="851" w:type="dxa"/>
            <w:tcBorders>
              <w:left w:val="single" w:sz="4" w:space="0" w:color="auto"/>
              <w:bottom w:val="single" w:sz="4" w:space="0" w:color="auto"/>
              <w:right w:val="single" w:sz="4" w:space="0" w:color="auto"/>
            </w:tcBorders>
            <w:vAlign w:val="center"/>
          </w:tcPr>
          <w:p w14:paraId="73999FCF"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8 981</w:t>
            </w:r>
          </w:p>
        </w:tc>
        <w:tc>
          <w:tcPr>
            <w:tcW w:w="992" w:type="dxa"/>
            <w:tcBorders>
              <w:left w:val="single" w:sz="4" w:space="0" w:color="auto"/>
              <w:bottom w:val="single" w:sz="4" w:space="0" w:color="auto"/>
              <w:right w:val="single" w:sz="4" w:space="0" w:color="auto"/>
            </w:tcBorders>
            <w:vAlign w:val="center"/>
          </w:tcPr>
          <w:p w14:paraId="6794C4F4"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296</w:t>
            </w:r>
          </w:p>
        </w:tc>
        <w:tc>
          <w:tcPr>
            <w:tcW w:w="992" w:type="dxa"/>
            <w:tcBorders>
              <w:left w:val="single" w:sz="4" w:space="0" w:color="auto"/>
              <w:bottom w:val="single" w:sz="4" w:space="0" w:color="auto"/>
              <w:right w:val="single" w:sz="4" w:space="0" w:color="auto"/>
            </w:tcBorders>
            <w:vAlign w:val="center"/>
          </w:tcPr>
          <w:p w14:paraId="5154AF1D"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15 488</w:t>
            </w:r>
          </w:p>
        </w:tc>
        <w:tc>
          <w:tcPr>
            <w:tcW w:w="993" w:type="dxa"/>
            <w:tcBorders>
              <w:left w:val="single" w:sz="4" w:space="0" w:color="auto"/>
              <w:bottom w:val="single" w:sz="4" w:space="0" w:color="auto"/>
              <w:right w:val="single" w:sz="4" w:space="0" w:color="auto"/>
            </w:tcBorders>
            <w:vAlign w:val="center"/>
          </w:tcPr>
          <w:p w14:paraId="38CEC9A5"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153 518</w:t>
            </w:r>
          </w:p>
        </w:tc>
      </w:tr>
      <w:tr w:rsidR="00761B6C" w:rsidRPr="000C047C" w14:paraId="105A8A69" w14:textId="77777777" w:rsidTr="00761B6C">
        <w:trPr>
          <w:jc w:val="center"/>
        </w:trPr>
        <w:tc>
          <w:tcPr>
            <w:tcW w:w="2977" w:type="dxa"/>
            <w:tcBorders>
              <w:bottom w:val="nil"/>
              <w:right w:val="single" w:sz="4" w:space="0" w:color="auto"/>
            </w:tcBorders>
          </w:tcPr>
          <w:p w14:paraId="4832F904" w14:textId="77777777" w:rsidR="00761B6C" w:rsidRPr="000C047C" w:rsidRDefault="00761B6C" w:rsidP="00761B6C">
            <w:pPr>
              <w:pStyle w:val="Tabletext"/>
              <w:spacing w:before="40" w:after="40"/>
              <w:rPr>
                <w:rFonts w:asciiTheme="minorHAnsi" w:hAnsiTheme="minorHAnsi"/>
                <w:sz w:val="20"/>
                <w:lang w:eastAsia="zh-CN"/>
              </w:rPr>
            </w:pPr>
            <w:r w:rsidRPr="000C047C">
              <w:rPr>
                <w:rFonts w:asciiTheme="minorHAnsi" w:hAnsiTheme="minorHAnsi"/>
                <w:sz w:val="20"/>
                <w:lang w:eastAsia="zh-CN"/>
              </w:rPr>
              <w:t>Adjonctions</w:t>
            </w:r>
          </w:p>
        </w:tc>
        <w:tc>
          <w:tcPr>
            <w:tcW w:w="998" w:type="dxa"/>
            <w:tcBorders>
              <w:left w:val="single" w:sz="4" w:space="0" w:color="auto"/>
              <w:bottom w:val="nil"/>
              <w:right w:val="single" w:sz="4" w:space="0" w:color="auto"/>
            </w:tcBorders>
          </w:tcPr>
          <w:p w14:paraId="6687F22E"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69</w:t>
            </w:r>
          </w:p>
        </w:tc>
        <w:tc>
          <w:tcPr>
            <w:tcW w:w="845" w:type="dxa"/>
            <w:tcBorders>
              <w:left w:val="single" w:sz="4" w:space="0" w:color="auto"/>
              <w:bottom w:val="nil"/>
              <w:right w:val="single" w:sz="4" w:space="0" w:color="auto"/>
            </w:tcBorders>
          </w:tcPr>
          <w:p w14:paraId="0862C5DA"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121</w:t>
            </w:r>
          </w:p>
        </w:tc>
        <w:tc>
          <w:tcPr>
            <w:tcW w:w="992" w:type="dxa"/>
            <w:tcBorders>
              <w:left w:val="single" w:sz="4" w:space="0" w:color="auto"/>
              <w:bottom w:val="nil"/>
              <w:right w:val="single" w:sz="4" w:space="0" w:color="auto"/>
            </w:tcBorders>
          </w:tcPr>
          <w:p w14:paraId="504CE854"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7</w:t>
            </w:r>
          </w:p>
        </w:tc>
        <w:tc>
          <w:tcPr>
            <w:tcW w:w="851" w:type="dxa"/>
            <w:tcBorders>
              <w:left w:val="single" w:sz="4" w:space="0" w:color="auto"/>
              <w:bottom w:val="nil"/>
              <w:right w:val="single" w:sz="4" w:space="0" w:color="auto"/>
            </w:tcBorders>
          </w:tcPr>
          <w:p w14:paraId="3179B7D5"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540</w:t>
            </w:r>
          </w:p>
        </w:tc>
        <w:tc>
          <w:tcPr>
            <w:tcW w:w="992" w:type="dxa"/>
            <w:tcBorders>
              <w:left w:val="single" w:sz="4" w:space="0" w:color="auto"/>
              <w:bottom w:val="nil"/>
              <w:right w:val="single" w:sz="4" w:space="0" w:color="auto"/>
            </w:tcBorders>
            <w:vAlign w:val="bottom"/>
          </w:tcPr>
          <w:p w14:paraId="258E2DA3"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60</w:t>
            </w:r>
          </w:p>
        </w:tc>
        <w:tc>
          <w:tcPr>
            <w:tcW w:w="992" w:type="dxa"/>
            <w:tcBorders>
              <w:left w:val="single" w:sz="4" w:space="0" w:color="auto"/>
              <w:bottom w:val="nil"/>
              <w:right w:val="single" w:sz="4" w:space="0" w:color="auto"/>
            </w:tcBorders>
            <w:vAlign w:val="center"/>
          </w:tcPr>
          <w:p w14:paraId="5A799616"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1 061</w:t>
            </w:r>
          </w:p>
        </w:tc>
        <w:tc>
          <w:tcPr>
            <w:tcW w:w="993" w:type="dxa"/>
            <w:tcBorders>
              <w:left w:val="single" w:sz="4" w:space="0" w:color="auto"/>
              <w:bottom w:val="nil"/>
              <w:right w:val="single" w:sz="4" w:space="0" w:color="auto"/>
            </w:tcBorders>
            <w:vAlign w:val="center"/>
          </w:tcPr>
          <w:p w14:paraId="057FBBF6"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1 859</w:t>
            </w:r>
          </w:p>
        </w:tc>
      </w:tr>
      <w:tr w:rsidR="00761B6C" w:rsidRPr="000C047C" w14:paraId="14B8207D" w14:textId="77777777" w:rsidTr="00761B6C">
        <w:trPr>
          <w:jc w:val="center"/>
        </w:trPr>
        <w:tc>
          <w:tcPr>
            <w:tcW w:w="2977" w:type="dxa"/>
            <w:tcBorders>
              <w:top w:val="nil"/>
              <w:bottom w:val="nil"/>
              <w:right w:val="single" w:sz="4" w:space="0" w:color="auto"/>
            </w:tcBorders>
          </w:tcPr>
          <w:p w14:paraId="7C7CA0E7" w14:textId="77777777" w:rsidR="00761B6C" w:rsidRPr="000C047C" w:rsidRDefault="00761B6C" w:rsidP="00761B6C">
            <w:pPr>
              <w:pStyle w:val="Tabletext"/>
              <w:spacing w:before="40" w:after="40"/>
              <w:rPr>
                <w:rFonts w:asciiTheme="minorHAnsi" w:hAnsiTheme="minorHAnsi"/>
                <w:sz w:val="20"/>
                <w:lang w:eastAsia="zh-CN"/>
              </w:rPr>
            </w:pPr>
            <w:r w:rsidRPr="000C047C">
              <w:rPr>
                <w:rFonts w:asciiTheme="minorHAnsi" w:hAnsiTheme="minorHAnsi"/>
                <w:sz w:val="20"/>
                <w:lang w:eastAsia="zh-CN"/>
              </w:rPr>
              <w:t>Dons</w:t>
            </w:r>
          </w:p>
        </w:tc>
        <w:tc>
          <w:tcPr>
            <w:tcW w:w="998" w:type="dxa"/>
            <w:tcBorders>
              <w:top w:val="nil"/>
              <w:left w:val="single" w:sz="4" w:space="0" w:color="auto"/>
              <w:bottom w:val="nil"/>
              <w:right w:val="single" w:sz="4" w:space="0" w:color="auto"/>
            </w:tcBorders>
          </w:tcPr>
          <w:p w14:paraId="5435B80D"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45" w:type="dxa"/>
            <w:tcBorders>
              <w:top w:val="nil"/>
              <w:left w:val="single" w:sz="4" w:space="0" w:color="auto"/>
              <w:bottom w:val="nil"/>
              <w:right w:val="single" w:sz="4" w:space="0" w:color="auto"/>
            </w:tcBorders>
          </w:tcPr>
          <w:p w14:paraId="2BE2A78F"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tcPr>
          <w:p w14:paraId="3142F4D0"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51" w:type="dxa"/>
            <w:tcBorders>
              <w:top w:val="nil"/>
              <w:left w:val="single" w:sz="4" w:space="0" w:color="auto"/>
              <w:bottom w:val="nil"/>
              <w:right w:val="single" w:sz="4" w:space="0" w:color="auto"/>
            </w:tcBorders>
          </w:tcPr>
          <w:p w14:paraId="70B69D8F"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vAlign w:val="bottom"/>
          </w:tcPr>
          <w:p w14:paraId="28C77A86"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vAlign w:val="bottom"/>
          </w:tcPr>
          <w:p w14:paraId="07B43F06"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3" w:type="dxa"/>
            <w:tcBorders>
              <w:top w:val="nil"/>
              <w:left w:val="single" w:sz="4" w:space="0" w:color="auto"/>
              <w:bottom w:val="nil"/>
              <w:right w:val="single" w:sz="4" w:space="0" w:color="auto"/>
            </w:tcBorders>
            <w:vAlign w:val="bottom"/>
          </w:tcPr>
          <w:p w14:paraId="28E28294"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r>
      <w:tr w:rsidR="00761B6C" w:rsidRPr="000C047C" w14:paraId="4D893276" w14:textId="77777777" w:rsidTr="00761B6C">
        <w:trPr>
          <w:jc w:val="center"/>
        </w:trPr>
        <w:tc>
          <w:tcPr>
            <w:tcW w:w="2977" w:type="dxa"/>
            <w:tcBorders>
              <w:top w:val="nil"/>
              <w:bottom w:val="nil"/>
              <w:right w:val="single" w:sz="4" w:space="0" w:color="auto"/>
            </w:tcBorders>
          </w:tcPr>
          <w:p w14:paraId="76C32224" w14:textId="77777777" w:rsidR="00761B6C" w:rsidRPr="000C047C" w:rsidRDefault="00761B6C" w:rsidP="00761B6C">
            <w:pPr>
              <w:pStyle w:val="Tabletext"/>
              <w:spacing w:before="40" w:after="40"/>
              <w:rPr>
                <w:rFonts w:asciiTheme="minorHAnsi" w:hAnsiTheme="minorHAnsi"/>
                <w:sz w:val="20"/>
                <w:lang w:eastAsia="zh-CN"/>
              </w:rPr>
            </w:pPr>
            <w:r w:rsidRPr="000C047C">
              <w:rPr>
                <w:rFonts w:asciiTheme="minorHAnsi" w:hAnsiTheme="minorHAnsi"/>
                <w:sz w:val="20"/>
                <w:lang w:eastAsia="zh-CN"/>
              </w:rPr>
              <w:t>Cessions</w:t>
            </w:r>
          </w:p>
        </w:tc>
        <w:tc>
          <w:tcPr>
            <w:tcW w:w="998" w:type="dxa"/>
            <w:tcBorders>
              <w:top w:val="nil"/>
              <w:left w:val="single" w:sz="4" w:space="0" w:color="auto"/>
              <w:bottom w:val="nil"/>
              <w:right w:val="single" w:sz="4" w:space="0" w:color="auto"/>
            </w:tcBorders>
          </w:tcPr>
          <w:p w14:paraId="3701AAE7"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45" w:type="dxa"/>
            <w:tcBorders>
              <w:top w:val="nil"/>
              <w:left w:val="single" w:sz="4" w:space="0" w:color="auto"/>
              <w:bottom w:val="nil"/>
              <w:right w:val="single" w:sz="4" w:space="0" w:color="auto"/>
            </w:tcBorders>
          </w:tcPr>
          <w:p w14:paraId="56062214"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–46</w:t>
            </w:r>
          </w:p>
        </w:tc>
        <w:tc>
          <w:tcPr>
            <w:tcW w:w="992" w:type="dxa"/>
            <w:tcBorders>
              <w:top w:val="nil"/>
              <w:left w:val="single" w:sz="4" w:space="0" w:color="auto"/>
              <w:bottom w:val="nil"/>
              <w:right w:val="single" w:sz="4" w:space="0" w:color="auto"/>
            </w:tcBorders>
          </w:tcPr>
          <w:p w14:paraId="44564204"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–208</w:t>
            </w:r>
          </w:p>
        </w:tc>
        <w:tc>
          <w:tcPr>
            <w:tcW w:w="851" w:type="dxa"/>
            <w:tcBorders>
              <w:top w:val="nil"/>
              <w:left w:val="single" w:sz="4" w:space="0" w:color="auto"/>
              <w:bottom w:val="nil"/>
              <w:right w:val="single" w:sz="4" w:space="0" w:color="auto"/>
            </w:tcBorders>
          </w:tcPr>
          <w:p w14:paraId="3C2F6ABF"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–168</w:t>
            </w:r>
          </w:p>
        </w:tc>
        <w:tc>
          <w:tcPr>
            <w:tcW w:w="992" w:type="dxa"/>
            <w:tcBorders>
              <w:top w:val="nil"/>
              <w:left w:val="single" w:sz="4" w:space="0" w:color="auto"/>
              <w:bottom w:val="nil"/>
              <w:right w:val="single" w:sz="4" w:space="0" w:color="auto"/>
            </w:tcBorders>
            <w:vAlign w:val="bottom"/>
          </w:tcPr>
          <w:p w14:paraId="021EEC52"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–60</w:t>
            </w:r>
          </w:p>
        </w:tc>
        <w:tc>
          <w:tcPr>
            <w:tcW w:w="992" w:type="dxa"/>
            <w:tcBorders>
              <w:top w:val="nil"/>
              <w:left w:val="single" w:sz="4" w:space="0" w:color="auto"/>
              <w:bottom w:val="nil"/>
              <w:right w:val="single" w:sz="4" w:space="0" w:color="auto"/>
            </w:tcBorders>
            <w:vAlign w:val="bottom"/>
          </w:tcPr>
          <w:p w14:paraId="775CAB7A"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–396</w:t>
            </w:r>
          </w:p>
        </w:tc>
        <w:tc>
          <w:tcPr>
            <w:tcW w:w="993" w:type="dxa"/>
            <w:tcBorders>
              <w:top w:val="nil"/>
              <w:left w:val="single" w:sz="4" w:space="0" w:color="auto"/>
              <w:bottom w:val="nil"/>
              <w:right w:val="single" w:sz="4" w:space="0" w:color="auto"/>
            </w:tcBorders>
            <w:vAlign w:val="bottom"/>
          </w:tcPr>
          <w:p w14:paraId="392B4F2D"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–878</w:t>
            </w:r>
          </w:p>
        </w:tc>
      </w:tr>
      <w:tr w:rsidR="00761B6C" w:rsidRPr="000C047C" w14:paraId="2399E5EF" w14:textId="77777777" w:rsidTr="00761B6C">
        <w:trPr>
          <w:jc w:val="center"/>
        </w:trPr>
        <w:tc>
          <w:tcPr>
            <w:tcW w:w="2977" w:type="dxa"/>
            <w:tcBorders>
              <w:top w:val="nil"/>
              <w:bottom w:val="nil"/>
              <w:right w:val="single" w:sz="4" w:space="0" w:color="auto"/>
            </w:tcBorders>
          </w:tcPr>
          <w:p w14:paraId="2361ACCA" w14:textId="77777777" w:rsidR="00761B6C" w:rsidRPr="000C047C" w:rsidRDefault="00761B6C" w:rsidP="00761B6C">
            <w:pPr>
              <w:pStyle w:val="Tabletext"/>
              <w:spacing w:before="40" w:after="40"/>
              <w:rPr>
                <w:rFonts w:asciiTheme="minorHAnsi" w:hAnsiTheme="minorHAnsi"/>
                <w:sz w:val="20"/>
                <w:lang w:eastAsia="zh-CN"/>
              </w:rPr>
            </w:pPr>
            <w:r w:rsidRPr="000C047C">
              <w:rPr>
                <w:rFonts w:asciiTheme="minorHAnsi" w:hAnsiTheme="minorHAnsi"/>
                <w:sz w:val="20"/>
                <w:lang w:eastAsia="zh-CN"/>
              </w:rPr>
              <w:t>Pertes de valeur</w:t>
            </w:r>
          </w:p>
        </w:tc>
        <w:tc>
          <w:tcPr>
            <w:tcW w:w="998" w:type="dxa"/>
            <w:tcBorders>
              <w:top w:val="nil"/>
              <w:left w:val="single" w:sz="4" w:space="0" w:color="auto"/>
              <w:bottom w:val="nil"/>
              <w:right w:val="single" w:sz="4" w:space="0" w:color="auto"/>
            </w:tcBorders>
          </w:tcPr>
          <w:p w14:paraId="752E85A4"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45" w:type="dxa"/>
            <w:tcBorders>
              <w:top w:val="nil"/>
              <w:left w:val="single" w:sz="4" w:space="0" w:color="auto"/>
              <w:bottom w:val="nil"/>
              <w:right w:val="single" w:sz="4" w:space="0" w:color="auto"/>
            </w:tcBorders>
          </w:tcPr>
          <w:p w14:paraId="14C9D0A1"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tcPr>
          <w:p w14:paraId="1D556145"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51" w:type="dxa"/>
            <w:tcBorders>
              <w:top w:val="nil"/>
              <w:left w:val="single" w:sz="4" w:space="0" w:color="auto"/>
              <w:bottom w:val="nil"/>
              <w:right w:val="single" w:sz="4" w:space="0" w:color="auto"/>
            </w:tcBorders>
          </w:tcPr>
          <w:p w14:paraId="6F81510E"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vAlign w:val="bottom"/>
          </w:tcPr>
          <w:p w14:paraId="4F0F80BE"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vAlign w:val="bottom"/>
          </w:tcPr>
          <w:p w14:paraId="20CAE034"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3" w:type="dxa"/>
            <w:tcBorders>
              <w:top w:val="nil"/>
              <w:left w:val="single" w:sz="4" w:space="0" w:color="auto"/>
              <w:bottom w:val="nil"/>
              <w:right w:val="single" w:sz="4" w:space="0" w:color="auto"/>
            </w:tcBorders>
            <w:vAlign w:val="bottom"/>
          </w:tcPr>
          <w:p w14:paraId="2207E2F0"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r>
      <w:tr w:rsidR="00761B6C" w:rsidRPr="000C047C" w14:paraId="619DC622" w14:textId="77777777" w:rsidTr="00761B6C">
        <w:trPr>
          <w:jc w:val="center"/>
        </w:trPr>
        <w:tc>
          <w:tcPr>
            <w:tcW w:w="2977" w:type="dxa"/>
            <w:tcBorders>
              <w:top w:val="nil"/>
              <w:bottom w:val="nil"/>
              <w:right w:val="single" w:sz="4" w:space="0" w:color="auto"/>
            </w:tcBorders>
          </w:tcPr>
          <w:p w14:paraId="6216C602" w14:textId="77777777" w:rsidR="00761B6C" w:rsidRPr="000C047C" w:rsidRDefault="00761B6C" w:rsidP="00761B6C">
            <w:pPr>
              <w:pStyle w:val="Tabletext"/>
              <w:spacing w:before="40" w:after="40"/>
              <w:rPr>
                <w:rFonts w:asciiTheme="minorHAnsi" w:hAnsiTheme="minorHAnsi"/>
                <w:sz w:val="20"/>
                <w:lang w:eastAsia="zh-CN"/>
              </w:rPr>
            </w:pPr>
            <w:r w:rsidRPr="000C047C">
              <w:rPr>
                <w:rFonts w:asciiTheme="minorHAnsi" w:hAnsiTheme="minorHAnsi"/>
                <w:sz w:val="20"/>
                <w:lang w:eastAsia="zh-CN"/>
              </w:rPr>
              <w:t>Reclassements et corrections</w:t>
            </w:r>
          </w:p>
        </w:tc>
        <w:tc>
          <w:tcPr>
            <w:tcW w:w="998" w:type="dxa"/>
            <w:tcBorders>
              <w:top w:val="nil"/>
              <w:left w:val="single" w:sz="4" w:space="0" w:color="auto"/>
              <w:bottom w:val="nil"/>
              <w:right w:val="single" w:sz="4" w:space="0" w:color="auto"/>
            </w:tcBorders>
            <w:vAlign w:val="center"/>
          </w:tcPr>
          <w:p w14:paraId="1EB71FCF"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45" w:type="dxa"/>
            <w:tcBorders>
              <w:top w:val="nil"/>
              <w:left w:val="single" w:sz="4" w:space="0" w:color="auto"/>
              <w:bottom w:val="nil"/>
              <w:right w:val="single" w:sz="4" w:space="0" w:color="auto"/>
            </w:tcBorders>
            <w:vAlign w:val="center"/>
          </w:tcPr>
          <w:p w14:paraId="724BFCF2"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vAlign w:val="center"/>
          </w:tcPr>
          <w:p w14:paraId="6833CB52"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51" w:type="dxa"/>
            <w:tcBorders>
              <w:top w:val="nil"/>
              <w:left w:val="single" w:sz="4" w:space="0" w:color="auto"/>
              <w:bottom w:val="nil"/>
              <w:right w:val="single" w:sz="4" w:space="0" w:color="auto"/>
            </w:tcBorders>
            <w:vAlign w:val="center"/>
          </w:tcPr>
          <w:p w14:paraId="260BE8ED"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vAlign w:val="center"/>
          </w:tcPr>
          <w:p w14:paraId="31F3814C"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vAlign w:val="center"/>
          </w:tcPr>
          <w:p w14:paraId="65B41919"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2</w:t>
            </w:r>
          </w:p>
        </w:tc>
        <w:tc>
          <w:tcPr>
            <w:tcW w:w="993" w:type="dxa"/>
            <w:tcBorders>
              <w:top w:val="nil"/>
              <w:left w:val="single" w:sz="4" w:space="0" w:color="auto"/>
              <w:bottom w:val="nil"/>
              <w:right w:val="single" w:sz="4" w:space="0" w:color="auto"/>
            </w:tcBorders>
            <w:vAlign w:val="center"/>
          </w:tcPr>
          <w:p w14:paraId="4933C1C7"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2</w:t>
            </w:r>
          </w:p>
        </w:tc>
      </w:tr>
      <w:tr w:rsidR="00761B6C" w:rsidRPr="000C047C" w14:paraId="40AECA52" w14:textId="77777777" w:rsidTr="00761B6C">
        <w:trPr>
          <w:jc w:val="center"/>
        </w:trPr>
        <w:tc>
          <w:tcPr>
            <w:tcW w:w="2977" w:type="dxa"/>
            <w:tcBorders>
              <w:top w:val="nil"/>
              <w:bottom w:val="single" w:sz="4" w:space="0" w:color="auto"/>
              <w:right w:val="single" w:sz="4" w:space="0" w:color="auto"/>
            </w:tcBorders>
          </w:tcPr>
          <w:p w14:paraId="7CC6F431" w14:textId="77777777" w:rsidR="00761B6C" w:rsidRPr="000C047C" w:rsidRDefault="00761B6C" w:rsidP="00761B6C">
            <w:pPr>
              <w:pStyle w:val="Tabletext"/>
              <w:spacing w:before="40" w:after="40"/>
              <w:rPr>
                <w:rFonts w:asciiTheme="minorHAnsi" w:hAnsiTheme="minorHAnsi"/>
                <w:sz w:val="20"/>
                <w:lang w:eastAsia="zh-CN"/>
              </w:rPr>
            </w:pPr>
            <w:r w:rsidRPr="000C047C">
              <w:rPr>
                <w:rFonts w:asciiTheme="minorHAnsi" w:hAnsiTheme="minorHAnsi"/>
                <w:sz w:val="20"/>
                <w:lang w:eastAsia="zh-CN"/>
              </w:rPr>
              <w:t>Réévaluations</w:t>
            </w:r>
          </w:p>
        </w:tc>
        <w:tc>
          <w:tcPr>
            <w:tcW w:w="998" w:type="dxa"/>
            <w:tcBorders>
              <w:top w:val="nil"/>
              <w:left w:val="single" w:sz="4" w:space="0" w:color="auto"/>
              <w:bottom w:val="single" w:sz="4" w:space="0" w:color="auto"/>
              <w:right w:val="single" w:sz="4" w:space="0" w:color="auto"/>
            </w:tcBorders>
          </w:tcPr>
          <w:p w14:paraId="779306F1"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45" w:type="dxa"/>
            <w:tcBorders>
              <w:top w:val="nil"/>
              <w:left w:val="single" w:sz="4" w:space="0" w:color="auto"/>
              <w:bottom w:val="single" w:sz="4" w:space="0" w:color="auto"/>
              <w:right w:val="single" w:sz="4" w:space="0" w:color="auto"/>
            </w:tcBorders>
          </w:tcPr>
          <w:p w14:paraId="5E7E313A"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single" w:sz="4" w:space="0" w:color="auto"/>
              <w:right w:val="single" w:sz="4" w:space="0" w:color="auto"/>
            </w:tcBorders>
          </w:tcPr>
          <w:p w14:paraId="2A336AA5"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51" w:type="dxa"/>
            <w:tcBorders>
              <w:top w:val="nil"/>
              <w:left w:val="single" w:sz="4" w:space="0" w:color="auto"/>
              <w:bottom w:val="single" w:sz="4" w:space="0" w:color="auto"/>
              <w:right w:val="single" w:sz="4" w:space="0" w:color="auto"/>
            </w:tcBorders>
          </w:tcPr>
          <w:p w14:paraId="118EF6FD"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single" w:sz="4" w:space="0" w:color="auto"/>
              <w:right w:val="single" w:sz="4" w:space="0" w:color="auto"/>
            </w:tcBorders>
            <w:vAlign w:val="bottom"/>
          </w:tcPr>
          <w:p w14:paraId="34A6007B"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single" w:sz="4" w:space="0" w:color="auto"/>
              <w:right w:val="single" w:sz="4" w:space="0" w:color="auto"/>
            </w:tcBorders>
            <w:vAlign w:val="bottom"/>
          </w:tcPr>
          <w:p w14:paraId="5F6D4DD7"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3" w:type="dxa"/>
            <w:tcBorders>
              <w:top w:val="nil"/>
              <w:left w:val="single" w:sz="4" w:space="0" w:color="auto"/>
              <w:bottom w:val="single" w:sz="4" w:space="0" w:color="auto"/>
              <w:right w:val="single" w:sz="4" w:space="0" w:color="auto"/>
            </w:tcBorders>
            <w:vAlign w:val="bottom"/>
          </w:tcPr>
          <w:p w14:paraId="7F50252A"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r>
      <w:tr w:rsidR="00761B6C" w:rsidRPr="000C047C" w14:paraId="014C022E" w14:textId="77777777" w:rsidTr="00761B6C">
        <w:trPr>
          <w:jc w:val="center"/>
        </w:trPr>
        <w:tc>
          <w:tcPr>
            <w:tcW w:w="2977" w:type="dxa"/>
            <w:tcBorders>
              <w:right w:val="single" w:sz="4" w:space="0" w:color="auto"/>
            </w:tcBorders>
          </w:tcPr>
          <w:p w14:paraId="0C94949E" w14:textId="77777777" w:rsidR="00761B6C" w:rsidRPr="000C047C" w:rsidRDefault="00761B6C" w:rsidP="00761B6C">
            <w:pPr>
              <w:pStyle w:val="Tabletext"/>
              <w:spacing w:before="40" w:after="40"/>
              <w:rPr>
                <w:rFonts w:asciiTheme="minorHAnsi" w:hAnsiTheme="minorHAnsi"/>
                <w:b/>
                <w:bCs/>
                <w:sz w:val="20"/>
                <w:lang w:eastAsia="zh-CN"/>
              </w:rPr>
            </w:pPr>
            <w:r w:rsidRPr="000C047C">
              <w:rPr>
                <w:rFonts w:asciiTheme="minorHAnsi" w:hAnsiTheme="minorHAnsi"/>
                <w:b/>
                <w:bCs/>
                <w:sz w:val="20"/>
                <w:lang w:eastAsia="zh-CN"/>
              </w:rPr>
              <w:t>Coût au 31 décembre</w:t>
            </w:r>
          </w:p>
        </w:tc>
        <w:tc>
          <w:tcPr>
            <w:tcW w:w="998" w:type="dxa"/>
            <w:tcBorders>
              <w:left w:val="single" w:sz="4" w:space="0" w:color="auto"/>
              <w:right w:val="single" w:sz="4" w:space="0" w:color="auto"/>
            </w:tcBorders>
            <w:vAlign w:val="center"/>
          </w:tcPr>
          <w:p w14:paraId="3B16294C"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125 070</w:t>
            </w:r>
          </w:p>
        </w:tc>
        <w:tc>
          <w:tcPr>
            <w:tcW w:w="845" w:type="dxa"/>
            <w:tcBorders>
              <w:left w:val="single" w:sz="4" w:space="0" w:color="auto"/>
              <w:right w:val="single" w:sz="4" w:space="0" w:color="auto"/>
            </w:tcBorders>
            <w:vAlign w:val="center"/>
          </w:tcPr>
          <w:p w14:paraId="5C3B0F6A"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2 121</w:t>
            </w:r>
          </w:p>
        </w:tc>
        <w:tc>
          <w:tcPr>
            <w:tcW w:w="992" w:type="dxa"/>
            <w:tcBorders>
              <w:left w:val="single" w:sz="4" w:space="0" w:color="auto"/>
              <w:right w:val="single" w:sz="4" w:space="0" w:color="auto"/>
            </w:tcBorders>
            <w:vAlign w:val="center"/>
          </w:tcPr>
          <w:p w14:paraId="60CB484C"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1 506</w:t>
            </w:r>
          </w:p>
        </w:tc>
        <w:tc>
          <w:tcPr>
            <w:tcW w:w="851" w:type="dxa"/>
            <w:tcBorders>
              <w:left w:val="single" w:sz="4" w:space="0" w:color="auto"/>
              <w:right w:val="single" w:sz="4" w:space="0" w:color="auto"/>
            </w:tcBorders>
            <w:vAlign w:val="center"/>
          </w:tcPr>
          <w:p w14:paraId="71A16FF0"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9 354</w:t>
            </w:r>
          </w:p>
        </w:tc>
        <w:tc>
          <w:tcPr>
            <w:tcW w:w="992" w:type="dxa"/>
            <w:tcBorders>
              <w:left w:val="single" w:sz="4" w:space="0" w:color="auto"/>
              <w:right w:val="single" w:sz="4" w:space="0" w:color="auto"/>
            </w:tcBorders>
            <w:vAlign w:val="center"/>
          </w:tcPr>
          <w:p w14:paraId="59502C58"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296</w:t>
            </w:r>
          </w:p>
        </w:tc>
        <w:tc>
          <w:tcPr>
            <w:tcW w:w="992" w:type="dxa"/>
            <w:tcBorders>
              <w:left w:val="single" w:sz="4" w:space="0" w:color="auto"/>
              <w:right w:val="single" w:sz="4" w:space="0" w:color="auto"/>
            </w:tcBorders>
            <w:vAlign w:val="center"/>
          </w:tcPr>
          <w:p w14:paraId="73C20402"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16 154</w:t>
            </w:r>
          </w:p>
        </w:tc>
        <w:tc>
          <w:tcPr>
            <w:tcW w:w="993" w:type="dxa"/>
            <w:tcBorders>
              <w:left w:val="single" w:sz="4" w:space="0" w:color="auto"/>
              <w:right w:val="single" w:sz="4" w:space="0" w:color="auto"/>
            </w:tcBorders>
            <w:vAlign w:val="center"/>
          </w:tcPr>
          <w:p w14:paraId="7520AAF9"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154 500</w:t>
            </w:r>
          </w:p>
        </w:tc>
      </w:tr>
      <w:tr w:rsidR="00761B6C" w:rsidRPr="000C047C" w14:paraId="500753D9" w14:textId="77777777" w:rsidTr="00761B6C">
        <w:trPr>
          <w:jc w:val="center"/>
        </w:trPr>
        <w:tc>
          <w:tcPr>
            <w:tcW w:w="2977" w:type="dxa"/>
            <w:tcBorders>
              <w:bottom w:val="single" w:sz="4" w:space="0" w:color="auto"/>
              <w:right w:val="single" w:sz="4" w:space="0" w:color="auto"/>
            </w:tcBorders>
          </w:tcPr>
          <w:p w14:paraId="5BFC4B97" w14:textId="77777777" w:rsidR="00761B6C" w:rsidRPr="000C047C" w:rsidRDefault="00761B6C" w:rsidP="00761B6C">
            <w:pPr>
              <w:pStyle w:val="Tabletext"/>
              <w:spacing w:before="40" w:after="40"/>
              <w:rPr>
                <w:rFonts w:asciiTheme="minorHAnsi" w:hAnsiTheme="minorHAnsi"/>
                <w:b/>
                <w:bCs/>
                <w:sz w:val="20"/>
                <w:lang w:eastAsia="zh-CN"/>
              </w:rPr>
            </w:pPr>
            <w:r w:rsidRPr="000C047C">
              <w:rPr>
                <w:rFonts w:asciiTheme="minorHAnsi" w:hAnsiTheme="minorHAnsi"/>
                <w:b/>
                <w:bCs/>
                <w:sz w:val="20"/>
                <w:lang w:eastAsia="zh-CN"/>
              </w:rPr>
              <w:t xml:space="preserve">Amortissement au 1er janvier </w:t>
            </w:r>
          </w:p>
        </w:tc>
        <w:tc>
          <w:tcPr>
            <w:tcW w:w="998" w:type="dxa"/>
            <w:tcBorders>
              <w:left w:val="single" w:sz="4" w:space="0" w:color="auto"/>
              <w:bottom w:val="single" w:sz="4" w:space="0" w:color="auto"/>
              <w:right w:val="single" w:sz="4" w:space="0" w:color="auto"/>
            </w:tcBorders>
            <w:vAlign w:val="center"/>
          </w:tcPr>
          <w:p w14:paraId="78ECD87D"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33 286</w:t>
            </w:r>
          </w:p>
        </w:tc>
        <w:tc>
          <w:tcPr>
            <w:tcW w:w="845" w:type="dxa"/>
            <w:tcBorders>
              <w:left w:val="single" w:sz="4" w:space="0" w:color="auto"/>
              <w:bottom w:val="single" w:sz="4" w:space="0" w:color="auto"/>
              <w:right w:val="single" w:sz="4" w:space="0" w:color="auto"/>
            </w:tcBorders>
            <w:vAlign w:val="center"/>
          </w:tcPr>
          <w:p w14:paraId="313A29A6"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2 005</w:t>
            </w:r>
          </w:p>
        </w:tc>
        <w:tc>
          <w:tcPr>
            <w:tcW w:w="992" w:type="dxa"/>
            <w:tcBorders>
              <w:left w:val="single" w:sz="4" w:space="0" w:color="auto"/>
              <w:bottom w:val="single" w:sz="4" w:space="0" w:color="auto"/>
              <w:right w:val="single" w:sz="4" w:space="0" w:color="auto"/>
            </w:tcBorders>
            <w:vAlign w:val="center"/>
          </w:tcPr>
          <w:p w14:paraId="1F5C910F"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1 631</w:t>
            </w:r>
          </w:p>
        </w:tc>
        <w:tc>
          <w:tcPr>
            <w:tcW w:w="851" w:type="dxa"/>
            <w:tcBorders>
              <w:left w:val="single" w:sz="4" w:space="0" w:color="auto"/>
              <w:bottom w:val="single" w:sz="4" w:space="0" w:color="auto"/>
              <w:right w:val="single" w:sz="4" w:space="0" w:color="auto"/>
            </w:tcBorders>
            <w:vAlign w:val="center"/>
          </w:tcPr>
          <w:p w14:paraId="3D35B86D"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8 205</w:t>
            </w:r>
          </w:p>
        </w:tc>
        <w:tc>
          <w:tcPr>
            <w:tcW w:w="992" w:type="dxa"/>
            <w:tcBorders>
              <w:left w:val="single" w:sz="4" w:space="0" w:color="auto"/>
              <w:bottom w:val="single" w:sz="4" w:space="0" w:color="auto"/>
              <w:right w:val="single" w:sz="4" w:space="0" w:color="auto"/>
            </w:tcBorders>
            <w:vAlign w:val="center"/>
          </w:tcPr>
          <w:p w14:paraId="50F10E7B"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229</w:t>
            </w:r>
          </w:p>
        </w:tc>
        <w:tc>
          <w:tcPr>
            <w:tcW w:w="992" w:type="dxa"/>
            <w:tcBorders>
              <w:left w:val="single" w:sz="4" w:space="0" w:color="auto"/>
              <w:bottom w:val="single" w:sz="4" w:space="0" w:color="auto"/>
              <w:right w:val="single" w:sz="4" w:space="0" w:color="auto"/>
            </w:tcBorders>
            <w:vAlign w:val="center"/>
          </w:tcPr>
          <w:p w14:paraId="4AC55934"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15 488</w:t>
            </w:r>
          </w:p>
        </w:tc>
        <w:tc>
          <w:tcPr>
            <w:tcW w:w="993" w:type="dxa"/>
            <w:tcBorders>
              <w:left w:val="single" w:sz="4" w:space="0" w:color="auto"/>
              <w:bottom w:val="single" w:sz="4" w:space="0" w:color="auto"/>
              <w:right w:val="single" w:sz="4" w:space="0" w:color="auto"/>
            </w:tcBorders>
            <w:vAlign w:val="center"/>
          </w:tcPr>
          <w:p w14:paraId="0FFBF589"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60 843</w:t>
            </w:r>
          </w:p>
        </w:tc>
      </w:tr>
      <w:tr w:rsidR="00761B6C" w:rsidRPr="000C047C" w14:paraId="79D5C130" w14:textId="77777777" w:rsidTr="00761B6C">
        <w:trPr>
          <w:jc w:val="center"/>
        </w:trPr>
        <w:tc>
          <w:tcPr>
            <w:tcW w:w="2977" w:type="dxa"/>
            <w:tcBorders>
              <w:bottom w:val="nil"/>
              <w:right w:val="single" w:sz="4" w:space="0" w:color="auto"/>
            </w:tcBorders>
          </w:tcPr>
          <w:p w14:paraId="442885D2" w14:textId="77777777" w:rsidR="00761B6C" w:rsidRPr="000C047C" w:rsidRDefault="00761B6C" w:rsidP="00761B6C">
            <w:pPr>
              <w:pStyle w:val="Tabletext"/>
              <w:spacing w:before="40" w:after="40"/>
              <w:rPr>
                <w:rFonts w:asciiTheme="minorHAnsi" w:hAnsiTheme="minorHAnsi"/>
                <w:sz w:val="20"/>
                <w:lang w:eastAsia="zh-CN"/>
              </w:rPr>
            </w:pPr>
            <w:r w:rsidRPr="000C047C">
              <w:rPr>
                <w:rFonts w:asciiTheme="minorHAnsi" w:hAnsiTheme="minorHAnsi"/>
                <w:sz w:val="20"/>
                <w:lang w:eastAsia="zh-CN"/>
              </w:rPr>
              <w:t>Imputés au cours de l'année</w:t>
            </w:r>
          </w:p>
        </w:tc>
        <w:tc>
          <w:tcPr>
            <w:tcW w:w="998" w:type="dxa"/>
            <w:tcBorders>
              <w:left w:val="single" w:sz="4" w:space="0" w:color="auto"/>
              <w:bottom w:val="nil"/>
              <w:right w:val="single" w:sz="4" w:space="0" w:color="auto"/>
            </w:tcBorders>
            <w:vAlign w:val="center"/>
          </w:tcPr>
          <w:p w14:paraId="61A2A8E5"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14 798</w:t>
            </w:r>
          </w:p>
        </w:tc>
        <w:tc>
          <w:tcPr>
            <w:tcW w:w="845" w:type="dxa"/>
            <w:tcBorders>
              <w:left w:val="single" w:sz="4" w:space="0" w:color="auto"/>
              <w:bottom w:val="nil"/>
              <w:right w:val="single" w:sz="4" w:space="0" w:color="auto"/>
            </w:tcBorders>
            <w:vAlign w:val="center"/>
          </w:tcPr>
          <w:p w14:paraId="383650B4"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31</w:t>
            </w:r>
          </w:p>
        </w:tc>
        <w:tc>
          <w:tcPr>
            <w:tcW w:w="992" w:type="dxa"/>
            <w:tcBorders>
              <w:left w:val="single" w:sz="4" w:space="0" w:color="auto"/>
              <w:bottom w:val="nil"/>
              <w:right w:val="single" w:sz="4" w:space="0" w:color="auto"/>
            </w:tcBorders>
            <w:vAlign w:val="center"/>
          </w:tcPr>
          <w:p w14:paraId="16C2D85E"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25</w:t>
            </w:r>
          </w:p>
        </w:tc>
        <w:tc>
          <w:tcPr>
            <w:tcW w:w="851" w:type="dxa"/>
            <w:tcBorders>
              <w:left w:val="single" w:sz="4" w:space="0" w:color="auto"/>
              <w:bottom w:val="nil"/>
              <w:right w:val="single" w:sz="4" w:space="0" w:color="auto"/>
            </w:tcBorders>
            <w:vAlign w:val="center"/>
          </w:tcPr>
          <w:p w14:paraId="4BF352DB"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544</w:t>
            </w:r>
          </w:p>
        </w:tc>
        <w:tc>
          <w:tcPr>
            <w:tcW w:w="992" w:type="dxa"/>
            <w:tcBorders>
              <w:left w:val="single" w:sz="4" w:space="0" w:color="auto"/>
              <w:bottom w:val="nil"/>
              <w:right w:val="single" w:sz="4" w:space="0" w:color="auto"/>
            </w:tcBorders>
            <w:vAlign w:val="center"/>
          </w:tcPr>
          <w:p w14:paraId="50BE8B0D"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34</w:t>
            </w:r>
          </w:p>
        </w:tc>
        <w:tc>
          <w:tcPr>
            <w:tcW w:w="992" w:type="dxa"/>
            <w:tcBorders>
              <w:left w:val="single" w:sz="4" w:space="0" w:color="auto"/>
              <w:bottom w:val="nil"/>
              <w:right w:val="single" w:sz="4" w:space="0" w:color="auto"/>
            </w:tcBorders>
            <w:vAlign w:val="center"/>
          </w:tcPr>
          <w:p w14:paraId="38E9565A"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1 062</w:t>
            </w:r>
          </w:p>
        </w:tc>
        <w:tc>
          <w:tcPr>
            <w:tcW w:w="993" w:type="dxa"/>
            <w:tcBorders>
              <w:left w:val="single" w:sz="4" w:space="0" w:color="auto"/>
              <w:bottom w:val="nil"/>
              <w:right w:val="single" w:sz="4" w:space="0" w:color="auto"/>
            </w:tcBorders>
            <w:vAlign w:val="center"/>
          </w:tcPr>
          <w:p w14:paraId="6AA2925C"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16 496</w:t>
            </w:r>
          </w:p>
        </w:tc>
      </w:tr>
      <w:tr w:rsidR="00761B6C" w:rsidRPr="000C047C" w14:paraId="1BDCEC98" w14:textId="77777777" w:rsidTr="00761B6C">
        <w:trPr>
          <w:jc w:val="center"/>
        </w:trPr>
        <w:tc>
          <w:tcPr>
            <w:tcW w:w="2977" w:type="dxa"/>
            <w:tcBorders>
              <w:top w:val="nil"/>
              <w:bottom w:val="nil"/>
              <w:right w:val="single" w:sz="4" w:space="0" w:color="auto"/>
            </w:tcBorders>
          </w:tcPr>
          <w:p w14:paraId="1861529D" w14:textId="77777777" w:rsidR="00761B6C" w:rsidRPr="000C047C" w:rsidRDefault="00761B6C" w:rsidP="00761B6C">
            <w:pPr>
              <w:pStyle w:val="Tabletext"/>
              <w:spacing w:before="40" w:after="40"/>
              <w:rPr>
                <w:rFonts w:asciiTheme="minorHAnsi" w:hAnsiTheme="minorHAnsi"/>
                <w:sz w:val="20"/>
                <w:lang w:eastAsia="zh-CN"/>
              </w:rPr>
            </w:pPr>
            <w:r w:rsidRPr="000C047C">
              <w:rPr>
                <w:rFonts w:asciiTheme="minorHAnsi" w:hAnsiTheme="minorHAnsi"/>
                <w:sz w:val="20"/>
                <w:lang w:eastAsia="zh-CN"/>
              </w:rPr>
              <w:t>Cessions</w:t>
            </w:r>
          </w:p>
        </w:tc>
        <w:tc>
          <w:tcPr>
            <w:tcW w:w="998" w:type="dxa"/>
            <w:tcBorders>
              <w:top w:val="nil"/>
              <w:left w:val="single" w:sz="4" w:space="0" w:color="auto"/>
              <w:bottom w:val="nil"/>
              <w:right w:val="single" w:sz="4" w:space="0" w:color="auto"/>
            </w:tcBorders>
            <w:vAlign w:val="center"/>
          </w:tcPr>
          <w:p w14:paraId="68AB1465"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45" w:type="dxa"/>
            <w:tcBorders>
              <w:top w:val="nil"/>
              <w:left w:val="single" w:sz="4" w:space="0" w:color="auto"/>
              <w:bottom w:val="nil"/>
              <w:right w:val="single" w:sz="4" w:space="0" w:color="auto"/>
            </w:tcBorders>
            <w:vAlign w:val="center"/>
          </w:tcPr>
          <w:p w14:paraId="063A4BD9"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–46</w:t>
            </w:r>
          </w:p>
        </w:tc>
        <w:tc>
          <w:tcPr>
            <w:tcW w:w="992" w:type="dxa"/>
            <w:tcBorders>
              <w:top w:val="nil"/>
              <w:left w:val="single" w:sz="4" w:space="0" w:color="auto"/>
              <w:bottom w:val="nil"/>
              <w:right w:val="single" w:sz="4" w:space="0" w:color="auto"/>
            </w:tcBorders>
            <w:vAlign w:val="center"/>
          </w:tcPr>
          <w:p w14:paraId="057C7F8E"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–207</w:t>
            </w:r>
          </w:p>
        </w:tc>
        <w:tc>
          <w:tcPr>
            <w:tcW w:w="851" w:type="dxa"/>
            <w:tcBorders>
              <w:top w:val="nil"/>
              <w:left w:val="single" w:sz="4" w:space="0" w:color="auto"/>
              <w:bottom w:val="nil"/>
              <w:right w:val="single" w:sz="4" w:space="0" w:color="auto"/>
            </w:tcBorders>
            <w:vAlign w:val="center"/>
          </w:tcPr>
          <w:p w14:paraId="14361526"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–168</w:t>
            </w:r>
          </w:p>
        </w:tc>
        <w:tc>
          <w:tcPr>
            <w:tcW w:w="992" w:type="dxa"/>
            <w:tcBorders>
              <w:top w:val="nil"/>
              <w:left w:val="single" w:sz="4" w:space="0" w:color="auto"/>
              <w:bottom w:val="nil"/>
              <w:right w:val="single" w:sz="4" w:space="0" w:color="auto"/>
            </w:tcBorders>
            <w:vAlign w:val="center"/>
          </w:tcPr>
          <w:p w14:paraId="79D60CDF"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–60</w:t>
            </w:r>
          </w:p>
        </w:tc>
        <w:tc>
          <w:tcPr>
            <w:tcW w:w="992" w:type="dxa"/>
            <w:tcBorders>
              <w:top w:val="nil"/>
              <w:left w:val="single" w:sz="4" w:space="0" w:color="auto"/>
              <w:bottom w:val="nil"/>
              <w:right w:val="single" w:sz="4" w:space="0" w:color="auto"/>
            </w:tcBorders>
            <w:vAlign w:val="center"/>
          </w:tcPr>
          <w:p w14:paraId="23B8BE73"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–396</w:t>
            </w:r>
          </w:p>
        </w:tc>
        <w:tc>
          <w:tcPr>
            <w:tcW w:w="993" w:type="dxa"/>
            <w:tcBorders>
              <w:top w:val="nil"/>
              <w:left w:val="single" w:sz="4" w:space="0" w:color="auto"/>
              <w:bottom w:val="nil"/>
              <w:right w:val="single" w:sz="4" w:space="0" w:color="auto"/>
            </w:tcBorders>
            <w:vAlign w:val="center"/>
          </w:tcPr>
          <w:p w14:paraId="016F09F0"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–878</w:t>
            </w:r>
          </w:p>
        </w:tc>
      </w:tr>
      <w:tr w:rsidR="00761B6C" w:rsidRPr="000C047C" w14:paraId="04FFDC58" w14:textId="77777777" w:rsidTr="00761B6C">
        <w:trPr>
          <w:jc w:val="center"/>
        </w:trPr>
        <w:tc>
          <w:tcPr>
            <w:tcW w:w="2977" w:type="dxa"/>
            <w:tcBorders>
              <w:top w:val="nil"/>
              <w:bottom w:val="nil"/>
              <w:right w:val="single" w:sz="4" w:space="0" w:color="auto"/>
            </w:tcBorders>
          </w:tcPr>
          <w:p w14:paraId="056D43BD" w14:textId="77777777" w:rsidR="00761B6C" w:rsidRPr="000C047C" w:rsidRDefault="00761B6C" w:rsidP="00761B6C">
            <w:pPr>
              <w:pStyle w:val="Tabletext"/>
              <w:spacing w:before="40" w:after="40"/>
              <w:rPr>
                <w:rFonts w:asciiTheme="minorHAnsi" w:hAnsiTheme="minorHAnsi"/>
                <w:sz w:val="20"/>
                <w:lang w:eastAsia="zh-CN"/>
              </w:rPr>
            </w:pPr>
            <w:r w:rsidRPr="000C047C">
              <w:rPr>
                <w:rFonts w:asciiTheme="minorHAnsi" w:hAnsiTheme="minorHAnsi"/>
                <w:sz w:val="20"/>
                <w:lang w:eastAsia="zh-CN"/>
              </w:rPr>
              <w:t>Pertes de valeur</w:t>
            </w:r>
          </w:p>
        </w:tc>
        <w:tc>
          <w:tcPr>
            <w:tcW w:w="998" w:type="dxa"/>
            <w:tcBorders>
              <w:top w:val="nil"/>
              <w:left w:val="single" w:sz="4" w:space="0" w:color="auto"/>
              <w:bottom w:val="nil"/>
              <w:right w:val="single" w:sz="4" w:space="0" w:color="auto"/>
            </w:tcBorders>
          </w:tcPr>
          <w:p w14:paraId="4BCC5156"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45" w:type="dxa"/>
            <w:tcBorders>
              <w:top w:val="nil"/>
              <w:left w:val="single" w:sz="4" w:space="0" w:color="auto"/>
              <w:bottom w:val="nil"/>
              <w:right w:val="single" w:sz="4" w:space="0" w:color="auto"/>
            </w:tcBorders>
          </w:tcPr>
          <w:p w14:paraId="78591DC1"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tcPr>
          <w:p w14:paraId="0DD75E9E"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51" w:type="dxa"/>
            <w:tcBorders>
              <w:top w:val="nil"/>
              <w:left w:val="single" w:sz="4" w:space="0" w:color="auto"/>
              <w:bottom w:val="nil"/>
              <w:right w:val="single" w:sz="4" w:space="0" w:color="auto"/>
            </w:tcBorders>
          </w:tcPr>
          <w:p w14:paraId="1A557D49"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 xml:space="preserve">– </w:t>
            </w:r>
          </w:p>
        </w:tc>
        <w:tc>
          <w:tcPr>
            <w:tcW w:w="992" w:type="dxa"/>
            <w:tcBorders>
              <w:top w:val="nil"/>
              <w:left w:val="single" w:sz="4" w:space="0" w:color="auto"/>
              <w:bottom w:val="nil"/>
              <w:right w:val="single" w:sz="4" w:space="0" w:color="auto"/>
            </w:tcBorders>
            <w:vAlign w:val="bottom"/>
          </w:tcPr>
          <w:p w14:paraId="5CB42199"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vAlign w:val="bottom"/>
          </w:tcPr>
          <w:p w14:paraId="0579E0BF"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3" w:type="dxa"/>
            <w:tcBorders>
              <w:top w:val="nil"/>
              <w:left w:val="single" w:sz="4" w:space="0" w:color="auto"/>
              <w:bottom w:val="nil"/>
              <w:right w:val="single" w:sz="4" w:space="0" w:color="auto"/>
            </w:tcBorders>
            <w:vAlign w:val="bottom"/>
          </w:tcPr>
          <w:p w14:paraId="2FAFC406"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r>
      <w:tr w:rsidR="00761B6C" w:rsidRPr="000C047C" w14:paraId="78406D08" w14:textId="77777777" w:rsidTr="00761B6C">
        <w:trPr>
          <w:jc w:val="center"/>
        </w:trPr>
        <w:tc>
          <w:tcPr>
            <w:tcW w:w="2977" w:type="dxa"/>
            <w:tcBorders>
              <w:top w:val="nil"/>
              <w:bottom w:val="nil"/>
              <w:right w:val="single" w:sz="4" w:space="0" w:color="auto"/>
            </w:tcBorders>
          </w:tcPr>
          <w:p w14:paraId="66B4DE5A" w14:textId="77777777" w:rsidR="00761B6C" w:rsidRPr="000C047C" w:rsidRDefault="00761B6C" w:rsidP="00761B6C">
            <w:pPr>
              <w:pStyle w:val="Tabletext"/>
              <w:spacing w:before="40" w:after="40"/>
              <w:rPr>
                <w:rFonts w:asciiTheme="minorHAnsi" w:hAnsiTheme="minorHAnsi"/>
                <w:sz w:val="20"/>
                <w:lang w:eastAsia="zh-CN"/>
              </w:rPr>
            </w:pPr>
            <w:r w:rsidRPr="000C047C">
              <w:rPr>
                <w:rFonts w:asciiTheme="minorHAnsi" w:hAnsiTheme="minorHAnsi"/>
                <w:sz w:val="20"/>
                <w:lang w:eastAsia="zh-CN"/>
              </w:rPr>
              <w:t>Reclassements et corrections</w:t>
            </w:r>
          </w:p>
        </w:tc>
        <w:tc>
          <w:tcPr>
            <w:tcW w:w="998" w:type="dxa"/>
            <w:tcBorders>
              <w:top w:val="nil"/>
              <w:left w:val="single" w:sz="4" w:space="0" w:color="auto"/>
              <w:bottom w:val="nil"/>
              <w:right w:val="single" w:sz="4" w:space="0" w:color="auto"/>
            </w:tcBorders>
            <w:vAlign w:val="center"/>
          </w:tcPr>
          <w:p w14:paraId="43C3205A"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45" w:type="dxa"/>
            <w:tcBorders>
              <w:top w:val="nil"/>
              <w:left w:val="single" w:sz="4" w:space="0" w:color="auto"/>
              <w:bottom w:val="nil"/>
              <w:right w:val="single" w:sz="4" w:space="0" w:color="auto"/>
            </w:tcBorders>
            <w:vAlign w:val="center"/>
          </w:tcPr>
          <w:p w14:paraId="2FBCE7A0"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vAlign w:val="center"/>
          </w:tcPr>
          <w:p w14:paraId="7D0EB12C"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51" w:type="dxa"/>
            <w:tcBorders>
              <w:top w:val="nil"/>
              <w:left w:val="single" w:sz="4" w:space="0" w:color="auto"/>
              <w:bottom w:val="nil"/>
              <w:right w:val="single" w:sz="4" w:space="0" w:color="auto"/>
            </w:tcBorders>
            <w:vAlign w:val="center"/>
          </w:tcPr>
          <w:p w14:paraId="37AFF333"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vAlign w:val="center"/>
          </w:tcPr>
          <w:p w14:paraId="7411BC13"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nil"/>
              <w:right w:val="single" w:sz="4" w:space="0" w:color="auto"/>
            </w:tcBorders>
            <w:vAlign w:val="center"/>
          </w:tcPr>
          <w:p w14:paraId="676908DB"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3" w:type="dxa"/>
            <w:tcBorders>
              <w:top w:val="nil"/>
              <w:left w:val="single" w:sz="4" w:space="0" w:color="auto"/>
              <w:bottom w:val="nil"/>
              <w:right w:val="single" w:sz="4" w:space="0" w:color="auto"/>
            </w:tcBorders>
            <w:vAlign w:val="center"/>
          </w:tcPr>
          <w:p w14:paraId="43859F63"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r>
      <w:tr w:rsidR="00761B6C" w:rsidRPr="000C047C" w14:paraId="130DDF95" w14:textId="77777777" w:rsidTr="00761B6C">
        <w:trPr>
          <w:jc w:val="center"/>
        </w:trPr>
        <w:tc>
          <w:tcPr>
            <w:tcW w:w="2977" w:type="dxa"/>
            <w:tcBorders>
              <w:top w:val="nil"/>
              <w:bottom w:val="single" w:sz="4" w:space="0" w:color="auto"/>
              <w:right w:val="single" w:sz="4" w:space="0" w:color="auto"/>
            </w:tcBorders>
          </w:tcPr>
          <w:p w14:paraId="5AA3C477" w14:textId="77777777" w:rsidR="00761B6C" w:rsidRPr="000C047C" w:rsidRDefault="00761B6C" w:rsidP="00761B6C">
            <w:pPr>
              <w:pStyle w:val="Tabletext"/>
              <w:spacing w:before="40" w:after="40"/>
              <w:rPr>
                <w:rFonts w:asciiTheme="minorHAnsi" w:hAnsiTheme="minorHAnsi"/>
                <w:sz w:val="20"/>
                <w:lang w:eastAsia="zh-CN"/>
              </w:rPr>
            </w:pPr>
            <w:r w:rsidRPr="000C047C">
              <w:rPr>
                <w:rFonts w:asciiTheme="minorHAnsi" w:hAnsiTheme="minorHAnsi"/>
                <w:sz w:val="20"/>
                <w:lang w:eastAsia="zh-CN"/>
              </w:rPr>
              <w:t>Réévaluations</w:t>
            </w:r>
          </w:p>
        </w:tc>
        <w:tc>
          <w:tcPr>
            <w:tcW w:w="998" w:type="dxa"/>
            <w:tcBorders>
              <w:top w:val="nil"/>
              <w:left w:val="single" w:sz="4" w:space="0" w:color="auto"/>
              <w:bottom w:val="single" w:sz="4" w:space="0" w:color="auto"/>
              <w:right w:val="single" w:sz="4" w:space="0" w:color="auto"/>
            </w:tcBorders>
          </w:tcPr>
          <w:p w14:paraId="57B4ED1C"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45" w:type="dxa"/>
            <w:tcBorders>
              <w:top w:val="nil"/>
              <w:left w:val="single" w:sz="4" w:space="0" w:color="auto"/>
              <w:bottom w:val="single" w:sz="4" w:space="0" w:color="auto"/>
              <w:right w:val="single" w:sz="4" w:space="0" w:color="auto"/>
            </w:tcBorders>
          </w:tcPr>
          <w:p w14:paraId="52F929E1"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single" w:sz="4" w:space="0" w:color="auto"/>
              <w:right w:val="single" w:sz="4" w:space="0" w:color="auto"/>
            </w:tcBorders>
          </w:tcPr>
          <w:p w14:paraId="3BC88D5B"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851" w:type="dxa"/>
            <w:tcBorders>
              <w:top w:val="nil"/>
              <w:left w:val="single" w:sz="4" w:space="0" w:color="auto"/>
              <w:bottom w:val="single" w:sz="4" w:space="0" w:color="auto"/>
              <w:right w:val="single" w:sz="4" w:space="0" w:color="auto"/>
            </w:tcBorders>
          </w:tcPr>
          <w:p w14:paraId="17E3B620"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single" w:sz="4" w:space="0" w:color="auto"/>
              <w:right w:val="single" w:sz="4" w:space="0" w:color="auto"/>
            </w:tcBorders>
            <w:vAlign w:val="bottom"/>
          </w:tcPr>
          <w:p w14:paraId="15CEA9D7"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2" w:type="dxa"/>
            <w:tcBorders>
              <w:top w:val="nil"/>
              <w:left w:val="single" w:sz="4" w:space="0" w:color="auto"/>
              <w:bottom w:val="single" w:sz="4" w:space="0" w:color="auto"/>
              <w:right w:val="single" w:sz="4" w:space="0" w:color="auto"/>
            </w:tcBorders>
            <w:vAlign w:val="bottom"/>
          </w:tcPr>
          <w:p w14:paraId="34566A22"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c>
          <w:tcPr>
            <w:tcW w:w="993" w:type="dxa"/>
            <w:tcBorders>
              <w:top w:val="nil"/>
              <w:left w:val="single" w:sz="4" w:space="0" w:color="auto"/>
              <w:bottom w:val="single" w:sz="4" w:space="0" w:color="auto"/>
              <w:right w:val="single" w:sz="4" w:space="0" w:color="auto"/>
            </w:tcBorders>
            <w:vAlign w:val="bottom"/>
          </w:tcPr>
          <w:p w14:paraId="723269B3" w14:textId="77777777" w:rsidR="00761B6C" w:rsidRPr="000C047C" w:rsidRDefault="00761B6C" w:rsidP="00761B6C">
            <w:pPr>
              <w:pStyle w:val="Tabletext"/>
              <w:jc w:val="right"/>
              <w:rPr>
                <w:rFonts w:asciiTheme="minorHAnsi" w:hAnsiTheme="minorHAnsi"/>
                <w:sz w:val="20"/>
              </w:rPr>
            </w:pPr>
            <w:r w:rsidRPr="000C047C">
              <w:rPr>
                <w:rFonts w:asciiTheme="minorHAnsi" w:hAnsiTheme="minorHAnsi"/>
                <w:sz w:val="20"/>
              </w:rPr>
              <w:t>–</w:t>
            </w:r>
          </w:p>
        </w:tc>
      </w:tr>
      <w:tr w:rsidR="00761B6C" w:rsidRPr="000C047C" w14:paraId="4DEF4EC3" w14:textId="77777777" w:rsidTr="00761B6C">
        <w:trPr>
          <w:jc w:val="center"/>
        </w:trPr>
        <w:tc>
          <w:tcPr>
            <w:tcW w:w="2977" w:type="dxa"/>
            <w:tcBorders>
              <w:right w:val="single" w:sz="4" w:space="0" w:color="auto"/>
            </w:tcBorders>
          </w:tcPr>
          <w:p w14:paraId="16470BCE" w14:textId="77777777" w:rsidR="00761B6C" w:rsidRPr="000C047C" w:rsidRDefault="00761B6C" w:rsidP="00761B6C">
            <w:pPr>
              <w:pStyle w:val="Tabletext"/>
              <w:spacing w:before="40" w:after="40"/>
              <w:rPr>
                <w:rFonts w:asciiTheme="minorHAnsi" w:hAnsiTheme="minorHAnsi"/>
                <w:b/>
                <w:bCs/>
                <w:sz w:val="20"/>
                <w:lang w:eastAsia="zh-CN"/>
              </w:rPr>
            </w:pPr>
            <w:r w:rsidRPr="000C047C">
              <w:rPr>
                <w:rFonts w:asciiTheme="minorHAnsi" w:hAnsiTheme="minorHAnsi"/>
                <w:b/>
                <w:bCs/>
                <w:sz w:val="20"/>
                <w:lang w:eastAsia="zh-CN"/>
              </w:rPr>
              <w:t xml:space="preserve">Amortissement au 31 décembre </w:t>
            </w:r>
          </w:p>
        </w:tc>
        <w:tc>
          <w:tcPr>
            <w:tcW w:w="998" w:type="dxa"/>
            <w:tcBorders>
              <w:left w:val="single" w:sz="4" w:space="0" w:color="auto"/>
              <w:right w:val="single" w:sz="4" w:space="0" w:color="auto"/>
            </w:tcBorders>
            <w:vAlign w:val="center"/>
          </w:tcPr>
          <w:p w14:paraId="3E9CABE9"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48 084</w:t>
            </w:r>
          </w:p>
        </w:tc>
        <w:tc>
          <w:tcPr>
            <w:tcW w:w="845" w:type="dxa"/>
            <w:tcBorders>
              <w:left w:val="single" w:sz="4" w:space="0" w:color="auto"/>
              <w:right w:val="single" w:sz="4" w:space="0" w:color="auto"/>
            </w:tcBorders>
            <w:vAlign w:val="center"/>
          </w:tcPr>
          <w:p w14:paraId="1B7BEDD4"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1 989</w:t>
            </w:r>
          </w:p>
        </w:tc>
        <w:tc>
          <w:tcPr>
            <w:tcW w:w="992" w:type="dxa"/>
            <w:tcBorders>
              <w:left w:val="single" w:sz="4" w:space="0" w:color="auto"/>
              <w:right w:val="single" w:sz="4" w:space="0" w:color="auto"/>
            </w:tcBorders>
            <w:vAlign w:val="center"/>
          </w:tcPr>
          <w:p w14:paraId="7C5F8BDE"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1 449</w:t>
            </w:r>
          </w:p>
        </w:tc>
        <w:tc>
          <w:tcPr>
            <w:tcW w:w="851" w:type="dxa"/>
            <w:tcBorders>
              <w:left w:val="single" w:sz="4" w:space="0" w:color="auto"/>
              <w:right w:val="single" w:sz="4" w:space="0" w:color="auto"/>
            </w:tcBorders>
            <w:vAlign w:val="center"/>
          </w:tcPr>
          <w:p w14:paraId="7885CA24"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8 582</w:t>
            </w:r>
          </w:p>
        </w:tc>
        <w:tc>
          <w:tcPr>
            <w:tcW w:w="992" w:type="dxa"/>
            <w:tcBorders>
              <w:left w:val="single" w:sz="4" w:space="0" w:color="auto"/>
              <w:right w:val="single" w:sz="4" w:space="0" w:color="auto"/>
            </w:tcBorders>
            <w:vAlign w:val="center"/>
          </w:tcPr>
          <w:p w14:paraId="3FA8C914"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203</w:t>
            </w:r>
          </w:p>
        </w:tc>
        <w:tc>
          <w:tcPr>
            <w:tcW w:w="992" w:type="dxa"/>
            <w:tcBorders>
              <w:left w:val="single" w:sz="4" w:space="0" w:color="auto"/>
              <w:right w:val="single" w:sz="4" w:space="0" w:color="auto"/>
            </w:tcBorders>
            <w:vAlign w:val="center"/>
          </w:tcPr>
          <w:p w14:paraId="4936E3CD"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16 154</w:t>
            </w:r>
          </w:p>
        </w:tc>
        <w:tc>
          <w:tcPr>
            <w:tcW w:w="993" w:type="dxa"/>
            <w:tcBorders>
              <w:left w:val="single" w:sz="4" w:space="0" w:color="auto"/>
              <w:right w:val="single" w:sz="4" w:space="0" w:color="auto"/>
            </w:tcBorders>
            <w:vAlign w:val="center"/>
          </w:tcPr>
          <w:p w14:paraId="59CDF9A7"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76 461</w:t>
            </w:r>
          </w:p>
        </w:tc>
      </w:tr>
      <w:tr w:rsidR="00761B6C" w:rsidRPr="000C047C" w14:paraId="76A530E7" w14:textId="77777777" w:rsidTr="00761B6C">
        <w:trPr>
          <w:jc w:val="center"/>
        </w:trPr>
        <w:tc>
          <w:tcPr>
            <w:tcW w:w="2977" w:type="dxa"/>
            <w:tcBorders>
              <w:right w:val="single" w:sz="4" w:space="0" w:color="auto"/>
            </w:tcBorders>
          </w:tcPr>
          <w:p w14:paraId="70AD7989" w14:textId="77777777" w:rsidR="00761B6C" w:rsidRPr="000C047C" w:rsidRDefault="00761B6C" w:rsidP="00761B6C">
            <w:pPr>
              <w:pStyle w:val="Tabletext"/>
              <w:spacing w:before="40" w:after="40"/>
              <w:rPr>
                <w:rFonts w:asciiTheme="minorHAnsi" w:hAnsiTheme="minorHAnsi"/>
                <w:b/>
                <w:bCs/>
                <w:sz w:val="20"/>
                <w:lang w:eastAsia="zh-CN"/>
              </w:rPr>
            </w:pPr>
            <w:r w:rsidRPr="000C047C">
              <w:rPr>
                <w:rFonts w:asciiTheme="minorHAnsi" w:hAnsiTheme="minorHAnsi"/>
                <w:b/>
                <w:bCs/>
                <w:sz w:val="20"/>
                <w:lang w:eastAsia="zh-CN"/>
              </w:rPr>
              <w:t xml:space="preserve">Valeur comptable nette au 1er janvier </w:t>
            </w:r>
          </w:p>
        </w:tc>
        <w:tc>
          <w:tcPr>
            <w:tcW w:w="998" w:type="dxa"/>
            <w:tcBorders>
              <w:left w:val="single" w:sz="4" w:space="0" w:color="auto"/>
              <w:right w:val="single" w:sz="4" w:space="0" w:color="auto"/>
            </w:tcBorders>
            <w:vAlign w:val="center"/>
          </w:tcPr>
          <w:p w14:paraId="4A1C6FC9"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91 714</w:t>
            </w:r>
          </w:p>
        </w:tc>
        <w:tc>
          <w:tcPr>
            <w:tcW w:w="845" w:type="dxa"/>
            <w:tcBorders>
              <w:left w:val="single" w:sz="4" w:space="0" w:color="auto"/>
              <w:right w:val="single" w:sz="4" w:space="0" w:color="auto"/>
            </w:tcBorders>
            <w:vAlign w:val="center"/>
          </w:tcPr>
          <w:p w14:paraId="3FF944F7"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41</w:t>
            </w:r>
          </w:p>
        </w:tc>
        <w:tc>
          <w:tcPr>
            <w:tcW w:w="992" w:type="dxa"/>
            <w:tcBorders>
              <w:left w:val="single" w:sz="4" w:space="0" w:color="auto"/>
              <w:right w:val="single" w:sz="4" w:space="0" w:color="auto"/>
            </w:tcBorders>
            <w:vAlign w:val="center"/>
          </w:tcPr>
          <w:p w14:paraId="58D7947E"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76</w:t>
            </w:r>
          </w:p>
        </w:tc>
        <w:tc>
          <w:tcPr>
            <w:tcW w:w="851" w:type="dxa"/>
            <w:tcBorders>
              <w:left w:val="single" w:sz="4" w:space="0" w:color="auto"/>
              <w:right w:val="single" w:sz="4" w:space="0" w:color="auto"/>
            </w:tcBorders>
            <w:vAlign w:val="center"/>
          </w:tcPr>
          <w:p w14:paraId="61687AAA"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776</w:t>
            </w:r>
          </w:p>
        </w:tc>
        <w:tc>
          <w:tcPr>
            <w:tcW w:w="992" w:type="dxa"/>
            <w:tcBorders>
              <w:left w:val="single" w:sz="4" w:space="0" w:color="auto"/>
              <w:right w:val="single" w:sz="4" w:space="0" w:color="auto"/>
            </w:tcBorders>
            <w:vAlign w:val="center"/>
          </w:tcPr>
          <w:p w14:paraId="0036C43F"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67</w:t>
            </w:r>
          </w:p>
        </w:tc>
        <w:tc>
          <w:tcPr>
            <w:tcW w:w="992" w:type="dxa"/>
            <w:tcBorders>
              <w:left w:val="single" w:sz="4" w:space="0" w:color="auto"/>
              <w:right w:val="single" w:sz="4" w:space="0" w:color="auto"/>
            </w:tcBorders>
            <w:vAlign w:val="center"/>
          </w:tcPr>
          <w:p w14:paraId="50135B5C"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w:t>
            </w:r>
          </w:p>
        </w:tc>
        <w:tc>
          <w:tcPr>
            <w:tcW w:w="993" w:type="dxa"/>
            <w:tcBorders>
              <w:left w:val="single" w:sz="4" w:space="0" w:color="auto"/>
              <w:right w:val="single" w:sz="4" w:space="0" w:color="auto"/>
            </w:tcBorders>
            <w:vAlign w:val="center"/>
          </w:tcPr>
          <w:p w14:paraId="11A4B44A"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92 675</w:t>
            </w:r>
          </w:p>
        </w:tc>
      </w:tr>
      <w:tr w:rsidR="00761B6C" w:rsidRPr="000C047C" w14:paraId="381D5005" w14:textId="77777777" w:rsidTr="00761B6C">
        <w:trPr>
          <w:jc w:val="center"/>
        </w:trPr>
        <w:tc>
          <w:tcPr>
            <w:tcW w:w="2977" w:type="dxa"/>
            <w:tcBorders>
              <w:right w:val="single" w:sz="4" w:space="0" w:color="auto"/>
            </w:tcBorders>
          </w:tcPr>
          <w:p w14:paraId="3A520CB3" w14:textId="77777777" w:rsidR="00761B6C" w:rsidRPr="000C047C" w:rsidRDefault="00761B6C" w:rsidP="00761B6C">
            <w:pPr>
              <w:pStyle w:val="Tabletext"/>
              <w:spacing w:before="40" w:after="40"/>
              <w:rPr>
                <w:rFonts w:asciiTheme="minorHAnsi" w:hAnsiTheme="minorHAnsi"/>
                <w:b/>
                <w:bCs/>
                <w:sz w:val="20"/>
                <w:lang w:eastAsia="zh-CN"/>
              </w:rPr>
            </w:pPr>
            <w:r w:rsidRPr="000C047C">
              <w:rPr>
                <w:rFonts w:asciiTheme="minorHAnsi" w:hAnsiTheme="minorHAnsi"/>
                <w:b/>
                <w:bCs/>
                <w:sz w:val="20"/>
                <w:lang w:eastAsia="zh-CN"/>
              </w:rPr>
              <w:t xml:space="preserve">Valeur comptable nette au 31 décembre </w:t>
            </w:r>
          </w:p>
        </w:tc>
        <w:tc>
          <w:tcPr>
            <w:tcW w:w="998" w:type="dxa"/>
            <w:tcBorders>
              <w:left w:val="single" w:sz="4" w:space="0" w:color="auto"/>
              <w:right w:val="single" w:sz="4" w:space="0" w:color="auto"/>
            </w:tcBorders>
            <w:vAlign w:val="center"/>
          </w:tcPr>
          <w:p w14:paraId="78BDEF63"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76 985</w:t>
            </w:r>
          </w:p>
        </w:tc>
        <w:tc>
          <w:tcPr>
            <w:tcW w:w="845" w:type="dxa"/>
            <w:tcBorders>
              <w:left w:val="single" w:sz="4" w:space="0" w:color="auto"/>
              <w:right w:val="single" w:sz="4" w:space="0" w:color="auto"/>
            </w:tcBorders>
            <w:vAlign w:val="center"/>
          </w:tcPr>
          <w:p w14:paraId="2995AA4B"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132</w:t>
            </w:r>
          </w:p>
        </w:tc>
        <w:tc>
          <w:tcPr>
            <w:tcW w:w="992" w:type="dxa"/>
            <w:tcBorders>
              <w:left w:val="single" w:sz="4" w:space="0" w:color="auto"/>
              <w:right w:val="single" w:sz="4" w:space="0" w:color="auto"/>
            </w:tcBorders>
            <w:vAlign w:val="center"/>
          </w:tcPr>
          <w:p w14:paraId="6DB2C680"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57</w:t>
            </w:r>
          </w:p>
        </w:tc>
        <w:tc>
          <w:tcPr>
            <w:tcW w:w="851" w:type="dxa"/>
            <w:tcBorders>
              <w:left w:val="single" w:sz="4" w:space="0" w:color="auto"/>
              <w:right w:val="single" w:sz="4" w:space="0" w:color="auto"/>
            </w:tcBorders>
            <w:vAlign w:val="center"/>
          </w:tcPr>
          <w:p w14:paraId="7E7612BC"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772</w:t>
            </w:r>
          </w:p>
        </w:tc>
        <w:tc>
          <w:tcPr>
            <w:tcW w:w="992" w:type="dxa"/>
            <w:tcBorders>
              <w:left w:val="single" w:sz="4" w:space="0" w:color="auto"/>
              <w:right w:val="single" w:sz="4" w:space="0" w:color="auto"/>
            </w:tcBorders>
            <w:vAlign w:val="center"/>
          </w:tcPr>
          <w:p w14:paraId="12B9A86A"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93</w:t>
            </w:r>
          </w:p>
        </w:tc>
        <w:tc>
          <w:tcPr>
            <w:tcW w:w="992" w:type="dxa"/>
            <w:tcBorders>
              <w:left w:val="single" w:sz="4" w:space="0" w:color="auto"/>
              <w:right w:val="single" w:sz="4" w:space="0" w:color="auto"/>
            </w:tcBorders>
            <w:vAlign w:val="center"/>
          </w:tcPr>
          <w:p w14:paraId="777EB68F"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w:t>
            </w:r>
          </w:p>
        </w:tc>
        <w:tc>
          <w:tcPr>
            <w:tcW w:w="993" w:type="dxa"/>
            <w:tcBorders>
              <w:left w:val="single" w:sz="4" w:space="0" w:color="auto"/>
              <w:right w:val="single" w:sz="4" w:space="0" w:color="auto"/>
            </w:tcBorders>
            <w:vAlign w:val="center"/>
          </w:tcPr>
          <w:p w14:paraId="532E73CD" w14:textId="77777777" w:rsidR="00761B6C" w:rsidRPr="000C047C" w:rsidRDefault="00761B6C" w:rsidP="00761B6C">
            <w:pPr>
              <w:pStyle w:val="Tabletext"/>
              <w:jc w:val="right"/>
              <w:rPr>
                <w:rFonts w:asciiTheme="minorHAnsi" w:hAnsiTheme="minorHAnsi"/>
                <w:b/>
                <w:bCs/>
                <w:sz w:val="20"/>
              </w:rPr>
            </w:pPr>
            <w:r w:rsidRPr="000C047C">
              <w:rPr>
                <w:rFonts w:asciiTheme="minorHAnsi" w:hAnsiTheme="minorHAnsi"/>
                <w:b/>
                <w:bCs/>
                <w:sz w:val="20"/>
              </w:rPr>
              <w:t>78 040</w:t>
            </w:r>
          </w:p>
        </w:tc>
      </w:tr>
    </w:tbl>
    <w:p w14:paraId="09303946" w14:textId="77777777" w:rsidR="000C047C" w:rsidRDefault="000C047C" w:rsidP="00761B6C">
      <w:pPr>
        <w:pStyle w:val="Heading1"/>
        <w:spacing w:before="240" w:after="120"/>
        <w:rPr>
          <w:sz w:val="24"/>
          <w:szCs w:val="24"/>
        </w:rPr>
      </w:pPr>
      <w:bookmarkStart w:id="1658" w:name="_MON_1395746645"/>
      <w:bookmarkStart w:id="1659" w:name="_MON_1395746659"/>
      <w:bookmarkStart w:id="1660" w:name="_MON_1395746618"/>
      <w:bookmarkStart w:id="1661" w:name="_MON_1401092855"/>
      <w:bookmarkStart w:id="1662" w:name="_Toc329202579"/>
      <w:bookmarkStart w:id="1663" w:name="_Toc329205011"/>
      <w:bookmarkStart w:id="1664" w:name="_Toc329206848"/>
      <w:bookmarkStart w:id="1665" w:name="_Toc358379934"/>
      <w:bookmarkStart w:id="1666" w:name="_Toc358380474"/>
      <w:bookmarkStart w:id="1667" w:name="_Toc387166654"/>
      <w:bookmarkStart w:id="1668" w:name="_Toc395260939"/>
      <w:bookmarkStart w:id="1669" w:name="_Toc395511718"/>
      <w:bookmarkStart w:id="1670" w:name="_Toc452138628"/>
      <w:bookmarkStart w:id="1671" w:name="_Toc452139077"/>
      <w:bookmarkStart w:id="1672" w:name="_Toc452139441"/>
      <w:bookmarkStart w:id="1673" w:name="_Toc452139842"/>
      <w:bookmarkStart w:id="1674" w:name="_Toc452140716"/>
      <w:bookmarkStart w:id="1675" w:name="_Toc482801506"/>
      <w:bookmarkStart w:id="1676" w:name="_Toc511649478"/>
      <w:bookmarkStart w:id="1677" w:name="_Toc511649848"/>
      <w:bookmarkStart w:id="1678" w:name="_Toc511649964"/>
      <w:bookmarkStart w:id="1679" w:name="_Toc511651221"/>
      <w:bookmarkStart w:id="1680" w:name="_Toc511724086"/>
      <w:bookmarkStart w:id="1681" w:name="_Toc511739075"/>
      <w:bookmarkStart w:id="1682" w:name="_Toc511741244"/>
      <w:bookmarkStart w:id="1683" w:name="_Toc10450750"/>
      <w:bookmarkStart w:id="1684" w:name="_Toc41566350"/>
      <w:bookmarkStart w:id="1685" w:name="_Toc41567358"/>
      <w:bookmarkStart w:id="1686" w:name="_Toc41567861"/>
      <w:bookmarkStart w:id="1687" w:name="_Toc41814956"/>
      <w:bookmarkEnd w:id="1658"/>
      <w:bookmarkEnd w:id="1659"/>
      <w:bookmarkEnd w:id="1660"/>
      <w:bookmarkEnd w:id="1661"/>
      <w:r>
        <w:rPr>
          <w:sz w:val="24"/>
          <w:szCs w:val="24"/>
        </w:rPr>
        <w:br w:type="page"/>
      </w:r>
    </w:p>
    <w:p w14:paraId="5793B3C5" w14:textId="65159CE0" w:rsidR="00761B6C" w:rsidRPr="00236418" w:rsidRDefault="00761B6C" w:rsidP="00144C9E">
      <w:pPr>
        <w:pStyle w:val="Heading1"/>
        <w:spacing w:before="240" w:after="240"/>
        <w:rPr>
          <w:sz w:val="24"/>
          <w:szCs w:val="24"/>
        </w:rPr>
      </w:pPr>
      <w:bookmarkStart w:id="1688" w:name="_Toc73354445"/>
      <w:bookmarkStart w:id="1689" w:name="_Toc73356421"/>
      <w:r w:rsidRPr="00236418">
        <w:rPr>
          <w:sz w:val="24"/>
          <w:szCs w:val="24"/>
        </w:rPr>
        <w:lastRenderedPageBreak/>
        <w:t>Note 12</w:t>
      </w:r>
      <w:r w:rsidRPr="00236418">
        <w:rPr>
          <w:sz w:val="24"/>
          <w:szCs w:val="24"/>
        </w:rPr>
        <w:tab/>
      </w:r>
      <w:bookmarkStart w:id="1690" w:name="_Toc268007546"/>
      <w:bookmarkStart w:id="1691" w:name="_Toc329178785"/>
      <w:bookmarkStart w:id="1692" w:name="_Toc329181758"/>
      <w:r w:rsidRPr="00236418">
        <w:rPr>
          <w:sz w:val="24"/>
          <w:szCs w:val="24"/>
        </w:rPr>
        <w:t>Immobilisations incorporelles</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
      </w:tblPr>
      <w:tblGrid>
        <w:gridCol w:w="4117"/>
        <w:gridCol w:w="1568"/>
        <w:gridCol w:w="1276"/>
        <w:gridCol w:w="1545"/>
        <w:gridCol w:w="1064"/>
      </w:tblGrid>
      <w:tr w:rsidR="00761B6C" w:rsidRPr="00236418" w14:paraId="1F506E81" w14:textId="77777777" w:rsidTr="0019278D">
        <w:trPr>
          <w:trHeight w:val="554"/>
          <w:jc w:val="center"/>
        </w:trPr>
        <w:tc>
          <w:tcPr>
            <w:tcW w:w="4117" w:type="dxa"/>
            <w:vAlign w:val="center"/>
          </w:tcPr>
          <w:p w14:paraId="5864723E" w14:textId="77777777" w:rsidR="00761B6C" w:rsidRPr="00236418" w:rsidRDefault="00761B6C" w:rsidP="00761B6C">
            <w:pPr>
              <w:pStyle w:val="Tablehead"/>
              <w:spacing w:before="0" w:after="0"/>
              <w:rPr>
                <w:rFonts w:asciiTheme="minorHAnsi" w:hAnsiTheme="minorHAnsi"/>
                <w:sz w:val="20"/>
              </w:rPr>
            </w:pPr>
            <w:r w:rsidRPr="00236418">
              <w:rPr>
                <w:rFonts w:asciiTheme="minorHAnsi" w:hAnsiTheme="minorHAnsi"/>
                <w:sz w:val="20"/>
              </w:rPr>
              <w:t>Catégorie d</w:t>
            </w:r>
            <w:r>
              <w:rPr>
                <w:rFonts w:asciiTheme="minorHAnsi" w:hAnsiTheme="minorHAnsi"/>
                <w:sz w:val="20"/>
              </w:rPr>
              <w:t>'</w:t>
            </w:r>
            <w:r w:rsidRPr="00236418">
              <w:rPr>
                <w:rFonts w:asciiTheme="minorHAnsi" w:hAnsiTheme="minorHAnsi"/>
                <w:sz w:val="20"/>
              </w:rPr>
              <w:t>actifs</w:t>
            </w:r>
          </w:p>
        </w:tc>
        <w:tc>
          <w:tcPr>
            <w:tcW w:w="1568" w:type="dxa"/>
            <w:tcMar>
              <w:left w:w="57" w:type="dxa"/>
              <w:right w:w="57" w:type="dxa"/>
            </w:tcMar>
          </w:tcPr>
          <w:p w14:paraId="207FA106" w14:textId="77777777" w:rsidR="00761B6C" w:rsidRPr="00236418" w:rsidRDefault="00761B6C" w:rsidP="00761B6C">
            <w:pPr>
              <w:pStyle w:val="Tablehead"/>
              <w:spacing w:before="0" w:after="0"/>
              <w:rPr>
                <w:rFonts w:asciiTheme="minorHAnsi" w:hAnsiTheme="minorHAnsi"/>
                <w:sz w:val="20"/>
              </w:rPr>
            </w:pPr>
            <w:r w:rsidRPr="00236418">
              <w:rPr>
                <w:rFonts w:asciiTheme="minorHAnsi" w:hAnsiTheme="minorHAnsi"/>
                <w:sz w:val="20"/>
              </w:rPr>
              <w:t>Développements internes</w:t>
            </w:r>
          </w:p>
        </w:tc>
        <w:tc>
          <w:tcPr>
            <w:tcW w:w="1276" w:type="dxa"/>
          </w:tcPr>
          <w:p w14:paraId="5B511741" w14:textId="77777777" w:rsidR="00761B6C" w:rsidRPr="00236418" w:rsidRDefault="00761B6C" w:rsidP="00761B6C">
            <w:pPr>
              <w:pStyle w:val="Tablehead"/>
              <w:spacing w:before="0" w:after="0"/>
              <w:rPr>
                <w:rFonts w:asciiTheme="minorHAnsi" w:hAnsiTheme="minorHAnsi"/>
                <w:sz w:val="20"/>
              </w:rPr>
            </w:pPr>
            <w:r w:rsidRPr="00236418">
              <w:rPr>
                <w:rFonts w:asciiTheme="minorHAnsi" w:hAnsiTheme="minorHAnsi"/>
                <w:sz w:val="20"/>
              </w:rPr>
              <w:t>Logiciels</w:t>
            </w:r>
          </w:p>
        </w:tc>
        <w:tc>
          <w:tcPr>
            <w:tcW w:w="1545" w:type="dxa"/>
          </w:tcPr>
          <w:p w14:paraId="50F5FBAB" w14:textId="77777777" w:rsidR="00761B6C" w:rsidRPr="00236418" w:rsidRDefault="00761B6C" w:rsidP="00761B6C">
            <w:pPr>
              <w:pStyle w:val="Tablehead"/>
              <w:spacing w:before="0" w:after="0"/>
              <w:rPr>
                <w:rFonts w:asciiTheme="minorHAnsi" w:hAnsiTheme="minorHAnsi"/>
                <w:sz w:val="20"/>
              </w:rPr>
            </w:pPr>
            <w:r w:rsidRPr="00236418">
              <w:rPr>
                <w:rFonts w:asciiTheme="minorHAnsi" w:hAnsiTheme="minorHAnsi"/>
                <w:sz w:val="20"/>
              </w:rPr>
              <w:t>Logiciels – Actif de faible valeur</w:t>
            </w:r>
          </w:p>
        </w:tc>
        <w:tc>
          <w:tcPr>
            <w:tcW w:w="1064" w:type="dxa"/>
          </w:tcPr>
          <w:p w14:paraId="07C4ADE9" w14:textId="77777777" w:rsidR="00761B6C" w:rsidRPr="00236418" w:rsidRDefault="00761B6C" w:rsidP="00761B6C">
            <w:pPr>
              <w:pStyle w:val="Tablehead"/>
              <w:spacing w:before="0" w:after="0"/>
              <w:rPr>
                <w:rFonts w:asciiTheme="minorHAnsi" w:hAnsiTheme="minorHAnsi"/>
                <w:sz w:val="20"/>
              </w:rPr>
            </w:pPr>
            <w:r w:rsidRPr="00236418">
              <w:rPr>
                <w:rFonts w:asciiTheme="minorHAnsi" w:hAnsiTheme="minorHAnsi"/>
                <w:sz w:val="20"/>
              </w:rPr>
              <w:t>Total</w:t>
            </w:r>
          </w:p>
        </w:tc>
      </w:tr>
      <w:tr w:rsidR="00761B6C" w:rsidRPr="00236418" w14:paraId="6EDEE8BB" w14:textId="77777777" w:rsidTr="00761B6C">
        <w:trPr>
          <w:trHeight w:val="282"/>
          <w:jc w:val="center"/>
        </w:trPr>
        <w:tc>
          <w:tcPr>
            <w:tcW w:w="4117" w:type="dxa"/>
            <w:tcBorders>
              <w:bottom w:val="single" w:sz="4" w:space="0" w:color="auto"/>
            </w:tcBorders>
          </w:tcPr>
          <w:p w14:paraId="6BAC20CE" w14:textId="77777777" w:rsidR="00761B6C" w:rsidRPr="00236418" w:rsidRDefault="00761B6C" w:rsidP="00761B6C">
            <w:pPr>
              <w:pStyle w:val="Tabletext"/>
              <w:spacing w:before="0" w:after="0"/>
              <w:rPr>
                <w:rFonts w:asciiTheme="minorHAnsi" w:hAnsiTheme="minorHAnsi"/>
                <w:b/>
                <w:bCs/>
                <w:sz w:val="20"/>
                <w:lang w:eastAsia="fr-FR"/>
              </w:rPr>
            </w:pPr>
          </w:p>
        </w:tc>
        <w:tc>
          <w:tcPr>
            <w:tcW w:w="1568" w:type="dxa"/>
            <w:tcBorders>
              <w:bottom w:val="single" w:sz="4" w:space="0" w:color="auto"/>
            </w:tcBorders>
            <w:vAlign w:val="center"/>
          </w:tcPr>
          <w:p w14:paraId="457365CA" w14:textId="77777777" w:rsidR="00761B6C" w:rsidRPr="00236418" w:rsidRDefault="00761B6C" w:rsidP="00761B6C">
            <w:pPr>
              <w:pStyle w:val="Tabletext"/>
              <w:spacing w:before="0" w:after="0"/>
              <w:jc w:val="center"/>
              <w:rPr>
                <w:rFonts w:asciiTheme="minorHAnsi" w:hAnsiTheme="minorHAnsi" w:cstheme="minorHAnsi"/>
                <w:b/>
                <w:bCs/>
                <w:sz w:val="20"/>
              </w:rPr>
            </w:pPr>
            <w:r w:rsidRPr="00236418">
              <w:rPr>
                <w:rFonts w:asciiTheme="minorHAnsi" w:hAnsiTheme="minorHAnsi" w:cstheme="minorHAnsi"/>
                <w:b/>
                <w:bCs/>
                <w:sz w:val="20"/>
              </w:rPr>
              <w:t>20</w:t>
            </w:r>
            <w:r>
              <w:rPr>
                <w:rFonts w:asciiTheme="minorHAnsi" w:hAnsiTheme="minorHAnsi" w:cstheme="minorHAnsi"/>
                <w:b/>
                <w:bCs/>
                <w:sz w:val="20"/>
              </w:rPr>
              <w:t>20</w:t>
            </w:r>
          </w:p>
        </w:tc>
        <w:tc>
          <w:tcPr>
            <w:tcW w:w="1276" w:type="dxa"/>
            <w:tcBorders>
              <w:bottom w:val="single" w:sz="4" w:space="0" w:color="auto"/>
            </w:tcBorders>
            <w:vAlign w:val="center"/>
          </w:tcPr>
          <w:p w14:paraId="7714C009" w14:textId="77777777" w:rsidR="00761B6C" w:rsidRPr="00236418" w:rsidRDefault="00761B6C" w:rsidP="00761B6C">
            <w:pPr>
              <w:pStyle w:val="Tabletext"/>
              <w:spacing w:before="0" w:after="0"/>
              <w:jc w:val="center"/>
              <w:rPr>
                <w:rFonts w:asciiTheme="minorHAnsi" w:hAnsiTheme="minorHAnsi" w:cstheme="minorHAnsi"/>
                <w:b/>
                <w:bCs/>
                <w:sz w:val="20"/>
              </w:rPr>
            </w:pPr>
            <w:r w:rsidRPr="00236418">
              <w:rPr>
                <w:rFonts w:asciiTheme="minorHAnsi" w:hAnsiTheme="minorHAnsi" w:cstheme="minorHAnsi"/>
                <w:b/>
                <w:bCs/>
                <w:sz w:val="20"/>
              </w:rPr>
              <w:t>20</w:t>
            </w:r>
            <w:r>
              <w:rPr>
                <w:rFonts w:asciiTheme="minorHAnsi" w:hAnsiTheme="minorHAnsi" w:cstheme="minorHAnsi"/>
                <w:b/>
                <w:bCs/>
                <w:sz w:val="20"/>
              </w:rPr>
              <w:t>20</w:t>
            </w:r>
          </w:p>
        </w:tc>
        <w:tc>
          <w:tcPr>
            <w:tcW w:w="1545" w:type="dxa"/>
            <w:tcBorders>
              <w:bottom w:val="single" w:sz="4" w:space="0" w:color="auto"/>
            </w:tcBorders>
          </w:tcPr>
          <w:p w14:paraId="7218084F" w14:textId="77777777" w:rsidR="00761B6C" w:rsidRPr="00236418" w:rsidRDefault="00761B6C" w:rsidP="00761B6C">
            <w:pPr>
              <w:pStyle w:val="Tabletext"/>
              <w:spacing w:before="0" w:after="0"/>
              <w:jc w:val="right"/>
              <w:rPr>
                <w:rFonts w:asciiTheme="minorHAnsi" w:hAnsiTheme="minorHAnsi" w:cstheme="minorHAnsi"/>
                <w:b/>
                <w:bCs/>
                <w:sz w:val="20"/>
              </w:rPr>
            </w:pPr>
            <w:r w:rsidRPr="00236418">
              <w:rPr>
                <w:rFonts w:asciiTheme="minorHAnsi" w:hAnsiTheme="minorHAnsi" w:cstheme="minorHAnsi"/>
                <w:b/>
                <w:bCs/>
                <w:sz w:val="20"/>
              </w:rPr>
              <w:t>20</w:t>
            </w:r>
            <w:r>
              <w:rPr>
                <w:rFonts w:asciiTheme="minorHAnsi" w:hAnsiTheme="minorHAnsi" w:cstheme="minorHAnsi"/>
                <w:b/>
                <w:bCs/>
                <w:sz w:val="20"/>
              </w:rPr>
              <w:t>20</w:t>
            </w:r>
          </w:p>
        </w:tc>
        <w:tc>
          <w:tcPr>
            <w:tcW w:w="1064" w:type="dxa"/>
            <w:tcBorders>
              <w:bottom w:val="single" w:sz="4" w:space="0" w:color="auto"/>
            </w:tcBorders>
            <w:vAlign w:val="center"/>
          </w:tcPr>
          <w:p w14:paraId="1F03C666" w14:textId="77777777" w:rsidR="00761B6C" w:rsidRPr="00236418" w:rsidRDefault="00761B6C" w:rsidP="00761B6C">
            <w:pPr>
              <w:pStyle w:val="Tabletext"/>
              <w:spacing w:before="0" w:after="0"/>
              <w:jc w:val="right"/>
              <w:rPr>
                <w:rFonts w:asciiTheme="minorHAnsi" w:hAnsiTheme="minorHAnsi" w:cstheme="minorHAnsi"/>
                <w:b/>
                <w:bCs/>
                <w:sz w:val="20"/>
              </w:rPr>
            </w:pPr>
            <w:r>
              <w:rPr>
                <w:rFonts w:asciiTheme="minorHAnsi" w:hAnsiTheme="minorHAnsi" w:cstheme="minorHAnsi"/>
                <w:b/>
                <w:bCs/>
                <w:sz w:val="20"/>
              </w:rPr>
              <w:t>2020</w:t>
            </w:r>
          </w:p>
        </w:tc>
      </w:tr>
      <w:tr w:rsidR="00761B6C" w:rsidRPr="00236418" w14:paraId="5D6A6AC2" w14:textId="77777777" w:rsidTr="00761B6C">
        <w:trPr>
          <w:trHeight w:val="296"/>
          <w:jc w:val="center"/>
        </w:trPr>
        <w:tc>
          <w:tcPr>
            <w:tcW w:w="4117" w:type="dxa"/>
            <w:tcBorders>
              <w:bottom w:val="single" w:sz="4" w:space="0" w:color="auto"/>
            </w:tcBorders>
          </w:tcPr>
          <w:p w14:paraId="7893382E" w14:textId="77777777" w:rsidR="00761B6C" w:rsidRPr="00236418" w:rsidRDefault="00761B6C" w:rsidP="00761B6C">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 xml:space="preserve">Coût au 1er janvier </w:t>
            </w:r>
          </w:p>
        </w:tc>
        <w:tc>
          <w:tcPr>
            <w:tcW w:w="1568" w:type="dxa"/>
            <w:tcBorders>
              <w:bottom w:val="single" w:sz="4" w:space="0" w:color="auto"/>
            </w:tcBorders>
            <w:vAlign w:val="center"/>
          </w:tcPr>
          <w:p w14:paraId="42DF2C6E"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3 351</w:t>
            </w:r>
          </w:p>
        </w:tc>
        <w:tc>
          <w:tcPr>
            <w:tcW w:w="1276" w:type="dxa"/>
            <w:tcBorders>
              <w:bottom w:val="single" w:sz="4" w:space="0" w:color="auto"/>
            </w:tcBorders>
            <w:vAlign w:val="center"/>
          </w:tcPr>
          <w:p w14:paraId="06B84B36"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6 746</w:t>
            </w:r>
          </w:p>
        </w:tc>
        <w:tc>
          <w:tcPr>
            <w:tcW w:w="1545" w:type="dxa"/>
            <w:tcBorders>
              <w:bottom w:val="single" w:sz="4" w:space="0" w:color="auto"/>
            </w:tcBorders>
            <w:vAlign w:val="center"/>
          </w:tcPr>
          <w:p w14:paraId="672A0286"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718</w:t>
            </w:r>
          </w:p>
        </w:tc>
        <w:tc>
          <w:tcPr>
            <w:tcW w:w="1064" w:type="dxa"/>
            <w:tcBorders>
              <w:bottom w:val="single" w:sz="4" w:space="0" w:color="auto"/>
            </w:tcBorders>
            <w:vAlign w:val="center"/>
          </w:tcPr>
          <w:p w14:paraId="51AFB974"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10 815</w:t>
            </w:r>
          </w:p>
        </w:tc>
      </w:tr>
      <w:tr w:rsidR="00761B6C" w:rsidRPr="00236418" w14:paraId="15B0B3F1" w14:textId="77777777" w:rsidTr="00761B6C">
        <w:trPr>
          <w:trHeight w:val="287"/>
          <w:jc w:val="center"/>
        </w:trPr>
        <w:tc>
          <w:tcPr>
            <w:tcW w:w="4117" w:type="dxa"/>
            <w:tcBorders>
              <w:bottom w:val="nil"/>
            </w:tcBorders>
          </w:tcPr>
          <w:p w14:paraId="568E8997" w14:textId="77777777" w:rsidR="00761B6C" w:rsidRPr="00236418" w:rsidRDefault="00761B6C" w:rsidP="00761B6C">
            <w:pPr>
              <w:pStyle w:val="Tabletext"/>
              <w:spacing w:before="0" w:after="0"/>
              <w:rPr>
                <w:rFonts w:asciiTheme="minorHAnsi" w:hAnsiTheme="minorHAnsi"/>
                <w:sz w:val="20"/>
                <w:lang w:eastAsia="fr-FR"/>
              </w:rPr>
            </w:pPr>
            <w:r w:rsidRPr="00236418">
              <w:rPr>
                <w:rFonts w:asciiTheme="minorHAnsi" w:hAnsiTheme="minorHAnsi"/>
                <w:sz w:val="20"/>
                <w:lang w:eastAsia="fr-FR"/>
              </w:rPr>
              <w:t>Adjonctions</w:t>
            </w:r>
          </w:p>
        </w:tc>
        <w:tc>
          <w:tcPr>
            <w:tcW w:w="1568" w:type="dxa"/>
            <w:tcBorders>
              <w:bottom w:val="nil"/>
            </w:tcBorders>
            <w:vAlign w:val="center"/>
          </w:tcPr>
          <w:p w14:paraId="35413C06"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c>
          <w:tcPr>
            <w:tcW w:w="1276" w:type="dxa"/>
            <w:tcBorders>
              <w:bottom w:val="nil"/>
            </w:tcBorders>
            <w:vAlign w:val="center"/>
          </w:tcPr>
          <w:p w14:paraId="22A887AD"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714</w:t>
            </w:r>
          </w:p>
        </w:tc>
        <w:tc>
          <w:tcPr>
            <w:tcW w:w="1545" w:type="dxa"/>
            <w:tcBorders>
              <w:bottom w:val="nil"/>
            </w:tcBorders>
            <w:vAlign w:val="center"/>
          </w:tcPr>
          <w:p w14:paraId="3669B4FD"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238</w:t>
            </w:r>
          </w:p>
        </w:tc>
        <w:tc>
          <w:tcPr>
            <w:tcW w:w="1064" w:type="dxa"/>
            <w:tcBorders>
              <w:bottom w:val="nil"/>
            </w:tcBorders>
            <w:vAlign w:val="center"/>
          </w:tcPr>
          <w:p w14:paraId="10513025"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952</w:t>
            </w:r>
          </w:p>
        </w:tc>
      </w:tr>
      <w:tr w:rsidR="00761B6C" w:rsidRPr="00236418" w14:paraId="32B8578C" w14:textId="77777777" w:rsidTr="00761B6C">
        <w:trPr>
          <w:trHeight w:val="296"/>
          <w:jc w:val="center"/>
        </w:trPr>
        <w:tc>
          <w:tcPr>
            <w:tcW w:w="4117" w:type="dxa"/>
            <w:tcBorders>
              <w:top w:val="nil"/>
              <w:bottom w:val="nil"/>
            </w:tcBorders>
          </w:tcPr>
          <w:p w14:paraId="36F3D661" w14:textId="77777777" w:rsidR="00761B6C" w:rsidRPr="00236418" w:rsidRDefault="00761B6C" w:rsidP="00761B6C">
            <w:pPr>
              <w:pStyle w:val="Tabletext"/>
              <w:spacing w:before="0" w:after="0"/>
              <w:rPr>
                <w:rFonts w:asciiTheme="minorHAnsi" w:hAnsiTheme="minorHAnsi"/>
                <w:sz w:val="20"/>
                <w:lang w:eastAsia="fr-FR"/>
              </w:rPr>
            </w:pPr>
            <w:r w:rsidRPr="00236418">
              <w:rPr>
                <w:rFonts w:asciiTheme="minorHAnsi" w:hAnsiTheme="minorHAnsi"/>
                <w:sz w:val="20"/>
                <w:lang w:eastAsia="fr-FR"/>
              </w:rPr>
              <w:t>Dons</w:t>
            </w:r>
          </w:p>
        </w:tc>
        <w:tc>
          <w:tcPr>
            <w:tcW w:w="1568" w:type="dxa"/>
            <w:tcBorders>
              <w:top w:val="nil"/>
              <w:bottom w:val="nil"/>
            </w:tcBorders>
            <w:vAlign w:val="center"/>
          </w:tcPr>
          <w:p w14:paraId="4374190F"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c>
          <w:tcPr>
            <w:tcW w:w="1276" w:type="dxa"/>
            <w:tcBorders>
              <w:top w:val="nil"/>
              <w:bottom w:val="nil"/>
            </w:tcBorders>
            <w:vAlign w:val="center"/>
          </w:tcPr>
          <w:p w14:paraId="57F23BC6"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c>
          <w:tcPr>
            <w:tcW w:w="1545" w:type="dxa"/>
            <w:tcBorders>
              <w:top w:val="nil"/>
              <w:bottom w:val="nil"/>
            </w:tcBorders>
            <w:vAlign w:val="center"/>
          </w:tcPr>
          <w:p w14:paraId="02EC0748"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c>
          <w:tcPr>
            <w:tcW w:w="1064" w:type="dxa"/>
            <w:tcBorders>
              <w:top w:val="nil"/>
              <w:bottom w:val="nil"/>
            </w:tcBorders>
            <w:vAlign w:val="center"/>
          </w:tcPr>
          <w:p w14:paraId="33DFFB4C"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r>
      <w:tr w:rsidR="00761B6C" w:rsidRPr="00236418" w14:paraId="22B6E0A9" w14:textId="77777777" w:rsidTr="00761B6C">
        <w:trPr>
          <w:trHeight w:val="296"/>
          <w:jc w:val="center"/>
        </w:trPr>
        <w:tc>
          <w:tcPr>
            <w:tcW w:w="4117" w:type="dxa"/>
            <w:tcBorders>
              <w:top w:val="nil"/>
              <w:bottom w:val="nil"/>
            </w:tcBorders>
          </w:tcPr>
          <w:p w14:paraId="65036488" w14:textId="77777777" w:rsidR="00761B6C" w:rsidRPr="00236418" w:rsidRDefault="00761B6C" w:rsidP="00761B6C">
            <w:pPr>
              <w:pStyle w:val="Tabletext"/>
              <w:spacing w:before="0" w:after="0"/>
              <w:rPr>
                <w:rFonts w:asciiTheme="minorHAnsi" w:hAnsiTheme="minorHAnsi"/>
                <w:sz w:val="20"/>
                <w:lang w:eastAsia="fr-FR"/>
              </w:rPr>
            </w:pPr>
            <w:r w:rsidRPr="00236418">
              <w:rPr>
                <w:rFonts w:asciiTheme="minorHAnsi" w:hAnsiTheme="minorHAnsi"/>
                <w:sz w:val="20"/>
                <w:lang w:eastAsia="fr-FR"/>
              </w:rPr>
              <w:t>Cessions</w:t>
            </w:r>
          </w:p>
        </w:tc>
        <w:tc>
          <w:tcPr>
            <w:tcW w:w="1568" w:type="dxa"/>
            <w:tcBorders>
              <w:top w:val="nil"/>
              <w:bottom w:val="nil"/>
            </w:tcBorders>
            <w:vAlign w:val="center"/>
          </w:tcPr>
          <w:p w14:paraId="4E34AAF8"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–140</w:t>
            </w:r>
          </w:p>
        </w:tc>
        <w:tc>
          <w:tcPr>
            <w:tcW w:w="1276" w:type="dxa"/>
            <w:tcBorders>
              <w:top w:val="nil"/>
              <w:bottom w:val="nil"/>
            </w:tcBorders>
            <w:vAlign w:val="center"/>
          </w:tcPr>
          <w:p w14:paraId="558FC5B5"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–443</w:t>
            </w:r>
          </w:p>
        </w:tc>
        <w:tc>
          <w:tcPr>
            <w:tcW w:w="1545" w:type="dxa"/>
            <w:tcBorders>
              <w:top w:val="nil"/>
              <w:bottom w:val="nil"/>
            </w:tcBorders>
            <w:vAlign w:val="center"/>
          </w:tcPr>
          <w:p w14:paraId="07A093E3"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–98</w:t>
            </w:r>
          </w:p>
        </w:tc>
        <w:tc>
          <w:tcPr>
            <w:tcW w:w="1064" w:type="dxa"/>
            <w:tcBorders>
              <w:top w:val="nil"/>
              <w:bottom w:val="nil"/>
            </w:tcBorders>
            <w:vAlign w:val="center"/>
          </w:tcPr>
          <w:p w14:paraId="36562ADB"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–682</w:t>
            </w:r>
          </w:p>
        </w:tc>
      </w:tr>
      <w:tr w:rsidR="00761B6C" w:rsidRPr="00236418" w14:paraId="12C97CF4" w14:textId="77777777" w:rsidTr="00761B6C">
        <w:trPr>
          <w:trHeight w:val="296"/>
          <w:jc w:val="center"/>
        </w:trPr>
        <w:tc>
          <w:tcPr>
            <w:tcW w:w="4117" w:type="dxa"/>
            <w:tcBorders>
              <w:top w:val="nil"/>
              <w:bottom w:val="nil"/>
            </w:tcBorders>
          </w:tcPr>
          <w:p w14:paraId="5CD589B6" w14:textId="77777777" w:rsidR="00761B6C" w:rsidRPr="00236418" w:rsidRDefault="00761B6C" w:rsidP="00761B6C">
            <w:pPr>
              <w:pStyle w:val="Tabletext"/>
              <w:spacing w:before="0" w:after="0"/>
              <w:rPr>
                <w:rFonts w:asciiTheme="minorHAnsi" w:hAnsiTheme="minorHAnsi"/>
                <w:sz w:val="20"/>
                <w:lang w:eastAsia="fr-FR"/>
              </w:rPr>
            </w:pPr>
            <w:r w:rsidRPr="00236418">
              <w:rPr>
                <w:rFonts w:asciiTheme="minorHAnsi" w:hAnsiTheme="minorHAnsi"/>
                <w:sz w:val="20"/>
                <w:lang w:eastAsia="fr-FR"/>
              </w:rPr>
              <w:t>Pertes de valeur</w:t>
            </w:r>
          </w:p>
        </w:tc>
        <w:tc>
          <w:tcPr>
            <w:tcW w:w="1568" w:type="dxa"/>
            <w:tcBorders>
              <w:top w:val="nil"/>
              <w:bottom w:val="nil"/>
            </w:tcBorders>
            <w:vAlign w:val="center"/>
          </w:tcPr>
          <w:p w14:paraId="0710EE8D"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c>
          <w:tcPr>
            <w:tcW w:w="1276" w:type="dxa"/>
            <w:tcBorders>
              <w:top w:val="nil"/>
              <w:bottom w:val="nil"/>
            </w:tcBorders>
            <w:vAlign w:val="center"/>
          </w:tcPr>
          <w:p w14:paraId="2F9C4C20"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c>
          <w:tcPr>
            <w:tcW w:w="1545" w:type="dxa"/>
            <w:tcBorders>
              <w:top w:val="nil"/>
              <w:bottom w:val="nil"/>
            </w:tcBorders>
            <w:vAlign w:val="center"/>
          </w:tcPr>
          <w:p w14:paraId="1A21243F"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c>
          <w:tcPr>
            <w:tcW w:w="1064" w:type="dxa"/>
            <w:tcBorders>
              <w:top w:val="nil"/>
              <w:bottom w:val="nil"/>
            </w:tcBorders>
            <w:vAlign w:val="center"/>
          </w:tcPr>
          <w:p w14:paraId="04783658"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r>
      <w:tr w:rsidR="00761B6C" w:rsidRPr="00236418" w14:paraId="7A0A431C" w14:textId="77777777" w:rsidTr="00761B6C">
        <w:trPr>
          <w:trHeight w:val="296"/>
          <w:jc w:val="center"/>
        </w:trPr>
        <w:tc>
          <w:tcPr>
            <w:tcW w:w="4117" w:type="dxa"/>
            <w:tcBorders>
              <w:top w:val="nil"/>
              <w:bottom w:val="nil"/>
            </w:tcBorders>
          </w:tcPr>
          <w:p w14:paraId="56CB4BD8" w14:textId="77777777" w:rsidR="00761B6C" w:rsidRPr="00236418" w:rsidRDefault="00761B6C" w:rsidP="00761B6C">
            <w:pPr>
              <w:pStyle w:val="Tabletext"/>
              <w:spacing w:before="0" w:after="0"/>
              <w:rPr>
                <w:rFonts w:asciiTheme="minorHAnsi" w:hAnsiTheme="minorHAnsi"/>
                <w:sz w:val="20"/>
                <w:lang w:eastAsia="fr-FR"/>
              </w:rPr>
            </w:pPr>
            <w:r w:rsidRPr="00236418">
              <w:rPr>
                <w:rFonts w:asciiTheme="minorHAnsi" w:hAnsiTheme="minorHAnsi" w:cs="Arial"/>
                <w:color w:val="000000"/>
                <w:sz w:val="20"/>
              </w:rPr>
              <w:t>Reclassements et corrections</w:t>
            </w:r>
          </w:p>
        </w:tc>
        <w:tc>
          <w:tcPr>
            <w:tcW w:w="1568" w:type="dxa"/>
            <w:tcBorders>
              <w:top w:val="nil"/>
              <w:bottom w:val="nil"/>
            </w:tcBorders>
            <w:vAlign w:val="center"/>
          </w:tcPr>
          <w:p w14:paraId="502987F1"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c>
          <w:tcPr>
            <w:tcW w:w="1276" w:type="dxa"/>
            <w:tcBorders>
              <w:top w:val="nil"/>
              <w:bottom w:val="nil"/>
            </w:tcBorders>
            <w:vAlign w:val="center"/>
          </w:tcPr>
          <w:p w14:paraId="645106A9"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8</w:t>
            </w:r>
          </w:p>
        </w:tc>
        <w:tc>
          <w:tcPr>
            <w:tcW w:w="1545" w:type="dxa"/>
            <w:tcBorders>
              <w:top w:val="nil"/>
              <w:bottom w:val="nil"/>
            </w:tcBorders>
            <w:vAlign w:val="center"/>
          </w:tcPr>
          <w:p w14:paraId="137960A2"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2</w:t>
            </w:r>
          </w:p>
        </w:tc>
        <w:tc>
          <w:tcPr>
            <w:tcW w:w="1064" w:type="dxa"/>
            <w:tcBorders>
              <w:top w:val="nil"/>
              <w:bottom w:val="nil"/>
            </w:tcBorders>
            <w:vAlign w:val="center"/>
          </w:tcPr>
          <w:p w14:paraId="327CD529"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10</w:t>
            </w:r>
          </w:p>
        </w:tc>
      </w:tr>
      <w:tr w:rsidR="00761B6C" w:rsidRPr="00236418" w14:paraId="6BA0B6CE" w14:textId="77777777" w:rsidTr="00761B6C">
        <w:trPr>
          <w:trHeight w:val="296"/>
          <w:jc w:val="center"/>
        </w:trPr>
        <w:tc>
          <w:tcPr>
            <w:tcW w:w="4117" w:type="dxa"/>
            <w:vAlign w:val="center"/>
          </w:tcPr>
          <w:p w14:paraId="76BD725E" w14:textId="77777777" w:rsidR="00761B6C" w:rsidRPr="00236418" w:rsidRDefault="00761B6C" w:rsidP="00761B6C">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 xml:space="preserve">Coût au 31 décembre </w:t>
            </w:r>
          </w:p>
        </w:tc>
        <w:tc>
          <w:tcPr>
            <w:tcW w:w="1568" w:type="dxa"/>
            <w:vAlign w:val="center"/>
          </w:tcPr>
          <w:p w14:paraId="5CD98140"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3 211</w:t>
            </w:r>
          </w:p>
        </w:tc>
        <w:tc>
          <w:tcPr>
            <w:tcW w:w="1276" w:type="dxa"/>
            <w:vAlign w:val="center"/>
          </w:tcPr>
          <w:p w14:paraId="1F404CE4"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7 025</w:t>
            </w:r>
          </w:p>
        </w:tc>
        <w:tc>
          <w:tcPr>
            <w:tcW w:w="1545" w:type="dxa"/>
            <w:vAlign w:val="center"/>
          </w:tcPr>
          <w:p w14:paraId="00D29C1A"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859</w:t>
            </w:r>
          </w:p>
        </w:tc>
        <w:tc>
          <w:tcPr>
            <w:tcW w:w="1064" w:type="dxa"/>
            <w:vAlign w:val="center"/>
          </w:tcPr>
          <w:p w14:paraId="2ABB39AF"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11 095</w:t>
            </w:r>
          </w:p>
        </w:tc>
      </w:tr>
      <w:tr w:rsidR="00761B6C" w:rsidRPr="00236418" w14:paraId="3C318B46" w14:textId="77777777" w:rsidTr="00761B6C">
        <w:trPr>
          <w:trHeight w:val="287"/>
          <w:jc w:val="center"/>
        </w:trPr>
        <w:tc>
          <w:tcPr>
            <w:tcW w:w="4117" w:type="dxa"/>
            <w:tcBorders>
              <w:bottom w:val="single" w:sz="4" w:space="0" w:color="auto"/>
            </w:tcBorders>
          </w:tcPr>
          <w:p w14:paraId="0F91E613" w14:textId="77777777" w:rsidR="00761B6C" w:rsidRPr="00236418" w:rsidRDefault="00761B6C" w:rsidP="00761B6C">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 xml:space="preserve">Amortissement au 1er janvier </w:t>
            </w:r>
          </w:p>
        </w:tc>
        <w:tc>
          <w:tcPr>
            <w:tcW w:w="1568" w:type="dxa"/>
            <w:tcBorders>
              <w:bottom w:val="single" w:sz="4" w:space="0" w:color="auto"/>
            </w:tcBorders>
            <w:vAlign w:val="center"/>
          </w:tcPr>
          <w:p w14:paraId="6B34320E"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2 195</w:t>
            </w:r>
          </w:p>
        </w:tc>
        <w:tc>
          <w:tcPr>
            <w:tcW w:w="1276" w:type="dxa"/>
            <w:tcBorders>
              <w:bottom w:val="single" w:sz="4" w:space="0" w:color="auto"/>
            </w:tcBorders>
            <w:vAlign w:val="center"/>
          </w:tcPr>
          <w:p w14:paraId="4C71240B"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6 016</w:t>
            </w:r>
          </w:p>
        </w:tc>
        <w:tc>
          <w:tcPr>
            <w:tcW w:w="1545" w:type="dxa"/>
            <w:tcBorders>
              <w:bottom w:val="single" w:sz="4" w:space="0" w:color="auto"/>
            </w:tcBorders>
            <w:vAlign w:val="center"/>
          </w:tcPr>
          <w:p w14:paraId="2B8095A3"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718</w:t>
            </w:r>
          </w:p>
        </w:tc>
        <w:tc>
          <w:tcPr>
            <w:tcW w:w="1064" w:type="dxa"/>
            <w:tcBorders>
              <w:bottom w:val="single" w:sz="4" w:space="0" w:color="auto"/>
            </w:tcBorders>
            <w:vAlign w:val="center"/>
          </w:tcPr>
          <w:p w14:paraId="7EF9474F"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8 929</w:t>
            </w:r>
          </w:p>
        </w:tc>
      </w:tr>
      <w:tr w:rsidR="00761B6C" w:rsidRPr="00236418" w14:paraId="156C85F5" w14:textId="77777777" w:rsidTr="00761B6C">
        <w:trPr>
          <w:trHeight w:val="296"/>
          <w:jc w:val="center"/>
        </w:trPr>
        <w:tc>
          <w:tcPr>
            <w:tcW w:w="4117" w:type="dxa"/>
            <w:tcBorders>
              <w:bottom w:val="nil"/>
            </w:tcBorders>
          </w:tcPr>
          <w:p w14:paraId="53B8D3B8" w14:textId="77777777" w:rsidR="00761B6C" w:rsidRPr="00236418" w:rsidRDefault="00761B6C" w:rsidP="00761B6C">
            <w:pPr>
              <w:pStyle w:val="Tabletext"/>
              <w:spacing w:before="0" w:after="0"/>
              <w:rPr>
                <w:rFonts w:asciiTheme="minorHAnsi" w:hAnsiTheme="minorHAnsi"/>
                <w:sz w:val="20"/>
                <w:lang w:eastAsia="fr-FR"/>
              </w:rPr>
            </w:pPr>
            <w:r w:rsidRPr="00236418">
              <w:rPr>
                <w:rFonts w:asciiTheme="minorHAnsi" w:hAnsiTheme="minorHAnsi"/>
                <w:sz w:val="20"/>
                <w:lang w:eastAsia="fr-FR"/>
              </w:rPr>
              <w:t>Imputés au cours de l</w:t>
            </w:r>
            <w:r>
              <w:rPr>
                <w:rFonts w:asciiTheme="minorHAnsi" w:hAnsiTheme="minorHAnsi"/>
                <w:sz w:val="20"/>
                <w:lang w:eastAsia="fr-FR"/>
              </w:rPr>
              <w:t>'</w:t>
            </w:r>
            <w:r w:rsidRPr="00236418">
              <w:rPr>
                <w:rFonts w:asciiTheme="minorHAnsi" w:hAnsiTheme="minorHAnsi"/>
                <w:sz w:val="20"/>
                <w:lang w:eastAsia="fr-FR"/>
              </w:rPr>
              <w:t>année</w:t>
            </w:r>
          </w:p>
        </w:tc>
        <w:tc>
          <w:tcPr>
            <w:tcW w:w="1568" w:type="dxa"/>
            <w:tcBorders>
              <w:bottom w:val="nil"/>
            </w:tcBorders>
            <w:vAlign w:val="center"/>
          </w:tcPr>
          <w:p w14:paraId="749F2B22"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535</w:t>
            </w:r>
          </w:p>
        </w:tc>
        <w:tc>
          <w:tcPr>
            <w:tcW w:w="1276" w:type="dxa"/>
            <w:tcBorders>
              <w:bottom w:val="nil"/>
            </w:tcBorders>
            <w:vAlign w:val="center"/>
          </w:tcPr>
          <w:p w14:paraId="1946A9C5"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529</w:t>
            </w:r>
          </w:p>
        </w:tc>
        <w:tc>
          <w:tcPr>
            <w:tcW w:w="1545" w:type="dxa"/>
            <w:tcBorders>
              <w:bottom w:val="nil"/>
            </w:tcBorders>
            <w:vAlign w:val="center"/>
          </w:tcPr>
          <w:p w14:paraId="46EBAC21"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240</w:t>
            </w:r>
          </w:p>
        </w:tc>
        <w:tc>
          <w:tcPr>
            <w:tcW w:w="1064" w:type="dxa"/>
            <w:tcBorders>
              <w:bottom w:val="nil"/>
            </w:tcBorders>
            <w:vAlign w:val="center"/>
          </w:tcPr>
          <w:p w14:paraId="5A37455A"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1 303</w:t>
            </w:r>
          </w:p>
        </w:tc>
      </w:tr>
      <w:tr w:rsidR="00761B6C" w:rsidRPr="00236418" w14:paraId="06126AB6" w14:textId="77777777" w:rsidTr="00761B6C">
        <w:trPr>
          <w:trHeight w:val="296"/>
          <w:jc w:val="center"/>
        </w:trPr>
        <w:tc>
          <w:tcPr>
            <w:tcW w:w="4117" w:type="dxa"/>
            <w:tcBorders>
              <w:top w:val="nil"/>
              <w:bottom w:val="nil"/>
            </w:tcBorders>
          </w:tcPr>
          <w:p w14:paraId="7F5BCFEE" w14:textId="77777777" w:rsidR="00761B6C" w:rsidRPr="00236418" w:rsidRDefault="00761B6C" w:rsidP="00761B6C">
            <w:pPr>
              <w:pStyle w:val="Tabletext"/>
              <w:spacing w:before="0" w:after="0"/>
              <w:rPr>
                <w:rFonts w:asciiTheme="minorHAnsi" w:hAnsiTheme="minorHAnsi"/>
                <w:sz w:val="20"/>
                <w:lang w:eastAsia="fr-FR"/>
              </w:rPr>
            </w:pPr>
            <w:r w:rsidRPr="00236418">
              <w:rPr>
                <w:rFonts w:asciiTheme="minorHAnsi" w:hAnsiTheme="minorHAnsi" w:cs="Arial"/>
                <w:color w:val="000000"/>
                <w:sz w:val="20"/>
              </w:rPr>
              <w:t>Cessions</w:t>
            </w:r>
          </w:p>
        </w:tc>
        <w:tc>
          <w:tcPr>
            <w:tcW w:w="1568" w:type="dxa"/>
            <w:tcBorders>
              <w:top w:val="nil"/>
              <w:bottom w:val="nil"/>
            </w:tcBorders>
            <w:vAlign w:val="center"/>
          </w:tcPr>
          <w:p w14:paraId="0044EC0E"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–140</w:t>
            </w:r>
          </w:p>
        </w:tc>
        <w:tc>
          <w:tcPr>
            <w:tcW w:w="1276" w:type="dxa"/>
            <w:tcBorders>
              <w:top w:val="nil"/>
              <w:bottom w:val="nil"/>
            </w:tcBorders>
            <w:vAlign w:val="center"/>
          </w:tcPr>
          <w:p w14:paraId="6F207BAC"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–341</w:t>
            </w:r>
          </w:p>
        </w:tc>
        <w:tc>
          <w:tcPr>
            <w:tcW w:w="1545" w:type="dxa"/>
            <w:tcBorders>
              <w:top w:val="nil"/>
              <w:bottom w:val="nil"/>
            </w:tcBorders>
            <w:vAlign w:val="center"/>
          </w:tcPr>
          <w:p w14:paraId="4C35643B"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–98</w:t>
            </w:r>
          </w:p>
        </w:tc>
        <w:tc>
          <w:tcPr>
            <w:tcW w:w="1064" w:type="dxa"/>
            <w:tcBorders>
              <w:top w:val="nil"/>
              <w:bottom w:val="nil"/>
            </w:tcBorders>
            <w:vAlign w:val="center"/>
          </w:tcPr>
          <w:p w14:paraId="3752FF21"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–580</w:t>
            </w:r>
          </w:p>
        </w:tc>
      </w:tr>
      <w:tr w:rsidR="00761B6C" w:rsidRPr="00236418" w14:paraId="505AD274" w14:textId="77777777" w:rsidTr="00761B6C">
        <w:trPr>
          <w:trHeight w:val="296"/>
          <w:jc w:val="center"/>
        </w:trPr>
        <w:tc>
          <w:tcPr>
            <w:tcW w:w="4117" w:type="dxa"/>
            <w:tcBorders>
              <w:top w:val="nil"/>
              <w:bottom w:val="nil"/>
            </w:tcBorders>
          </w:tcPr>
          <w:p w14:paraId="0B9473CE" w14:textId="77777777" w:rsidR="00761B6C" w:rsidRPr="00236418" w:rsidRDefault="00761B6C" w:rsidP="00761B6C">
            <w:pPr>
              <w:pStyle w:val="Tabletext"/>
              <w:spacing w:before="0" w:after="0"/>
              <w:rPr>
                <w:rFonts w:asciiTheme="minorHAnsi" w:hAnsiTheme="minorHAnsi"/>
                <w:sz w:val="20"/>
                <w:lang w:eastAsia="fr-FR"/>
              </w:rPr>
            </w:pPr>
            <w:r w:rsidRPr="00236418">
              <w:rPr>
                <w:rFonts w:asciiTheme="minorHAnsi" w:hAnsiTheme="minorHAnsi" w:cs="Arial"/>
                <w:color w:val="000000"/>
                <w:sz w:val="20"/>
              </w:rPr>
              <w:t>Pertes de valeur</w:t>
            </w:r>
          </w:p>
        </w:tc>
        <w:tc>
          <w:tcPr>
            <w:tcW w:w="1568" w:type="dxa"/>
            <w:tcBorders>
              <w:top w:val="nil"/>
              <w:bottom w:val="nil"/>
            </w:tcBorders>
            <w:vAlign w:val="center"/>
          </w:tcPr>
          <w:p w14:paraId="592B5557"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c>
          <w:tcPr>
            <w:tcW w:w="1276" w:type="dxa"/>
            <w:tcBorders>
              <w:top w:val="nil"/>
              <w:bottom w:val="nil"/>
            </w:tcBorders>
            <w:vAlign w:val="center"/>
          </w:tcPr>
          <w:p w14:paraId="6E75CA96"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c>
          <w:tcPr>
            <w:tcW w:w="1545" w:type="dxa"/>
            <w:tcBorders>
              <w:top w:val="nil"/>
              <w:bottom w:val="nil"/>
            </w:tcBorders>
            <w:vAlign w:val="center"/>
          </w:tcPr>
          <w:p w14:paraId="37E9D07B"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c>
          <w:tcPr>
            <w:tcW w:w="1064" w:type="dxa"/>
            <w:tcBorders>
              <w:top w:val="nil"/>
              <w:bottom w:val="nil"/>
            </w:tcBorders>
            <w:vAlign w:val="center"/>
          </w:tcPr>
          <w:p w14:paraId="1FEFDF6B" w14:textId="77777777" w:rsidR="00761B6C" w:rsidRPr="00A14B71" w:rsidRDefault="00761B6C" w:rsidP="00761B6C">
            <w:pPr>
              <w:pStyle w:val="Tabletext"/>
              <w:spacing w:before="0" w:after="0"/>
              <w:jc w:val="right"/>
              <w:rPr>
                <w:rFonts w:asciiTheme="minorHAnsi" w:hAnsiTheme="minorHAnsi"/>
                <w:sz w:val="20"/>
                <w:lang w:eastAsia="fr-FR"/>
              </w:rPr>
            </w:pPr>
            <w:r w:rsidRPr="00A14B71">
              <w:rPr>
                <w:rFonts w:asciiTheme="minorHAnsi" w:hAnsiTheme="minorHAnsi" w:cstheme="minorHAnsi"/>
                <w:color w:val="000000"/>
                <w:sz w:val="20"/>
                <w:lang w:eastAsia="en-GB"/>
              </w:rPr>
              <w:t>–</w:t>
            </w:r>
          </w:p>
        </w:tc>
      </w:tr>
      <w:tr w:rsidR="00761B6C" w:rsidRPr="00236418" w14:paraId="2F162F11" w14:textId="77777777" w:rsidTr="00761B6C">
        <w:trPr>
          <w:trHeight w:val="296"/>
          <w:jc w:val="center"/>
        </w:trPr>
        <w:tc>
          <w:tcPr>
            <w:tcW w:w="4117" w:type="dxa"/>
          </w:tcPr>
          <w:p w14:paraId="47488A07" w14:textId="77777777" w:rsidR="00761B6C" w:rsidRPr="00236418" w:rsidRDefault="00761B6C" w:rsidP="00761B6C">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Amortissement au 31 décembre</w:t>
            </w:r>
          </w:p>
        </w:tc>
        <w:tc>
          <w:tcPr>
            <w:tcW w:w="1568" w:type="dxa"/>
            <w:vAlign w:val="center"/>
          </w:tcPr>
          <w:p w14:paraId="44E3F8DF"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2 590</w:t>
            </w:r>
          </w:p>
        </w:tc>
        <w:tc>
          <w:tcPr>
            <w:tcW w:w="1276" w:type="dxa"/>
            <w:vAlign w:val="center"/>
          </w:tcPr>
          <w:p w14:paraId="78CF640A"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6 203</w:t>
            </w:r>
          </w:p>
        </w:tc>
        <w:tc>
          <w:tcPr>
            <w:tcW w:w="1545" w:type="dxa"/>
            <w:vAlign w:val="center"/>
          </w:tcPr>
          <w:p w14:paraId="473DDC74"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859</w:t>
            </w:r>
          </w:p>
        </w:tc>
        <w:tc>
          <w:tcPr>
            <w:tcW w:w="1064" w:type="dxa"/>
            <w:vAlign w:val="center"/>
          </w:tcPr>
          <w:p w14:paraId="2B3F1BB1"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9 653</w:t>
            </w:r>
          </w:p>
        </w:tc>
      </w:tr>
      <w:tr w:rsidR="00761B6C" w:rsidRPr="00236418" w14:paraId="1D22A0DD" w14:textId="77777777" w:rsidTr="00761B6C">
        <w:trPr>
          <w:trHeight w:val="296"/>
          <w:jc w:val="center"/>
        </w:trPr>
        <w:tc>
          <w:tcPr>
            <w:tcW w:w="4117" w:type="dxa"/>
          </w:tcPr>
          <w:p w14:paraId="011869E2" w14:textId="77777777" w:rsidR="00761B6C" w:rsidRPr="00236418" w:rsidRDefault="00761B6C" w:rsidP="00761B6C">
            <w:pPr>
              <w:pStyle w:val="Tabletext"/>
              <w:spacing w:before="0" w:after="0"/>
              <w:rPr>
                <w:rFonts w:asciiTheme="minorHAnsi" w:hAnsiTheme="minorHAnsi"/>
                <w:b/>
                <w:bCs/>
                <w:sz w:val="20"/>
                <w:lang w:eastAsia="fr-FR"/>
              </w:rPr>
            </w:pPr>
            <w:r w:rsidRPr="00236418">
              <w:rPr>
                <w:rFonts w:asciiTheme="minorHAnsi" w:hAnsiTheme="minorHAnsi" w:cs="Arial"/>
                <w:b/>
                <w:bCs/>
                <w:color w:val="000000"/>
                <w:sz w:val="20"/>
              </w:rPr>
              <w:t>Valeur comptable nette au 1er janvier </w:t>
            </w:r>
          </w:p>
        </w:tc>
        <w:tc>
          <w:tcPr>
            <w:tcW w:w="1568" w:type="dxa"/>
            <w:vAlign w:val="center"/>
          </w:tcPr>
          <w:p w14:paraId="20A2BA40"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1 156</w:t>
            </w:r>
          </w:p>
        </w:tc>
        <w:tc>
          <w:tcPr>
            <w:tcW w:w="1276" w:type="dxa"/>
            <w:vAlign w:val="center"/>
          </w:tcPr>
          <w:p w14:paraId="1DCFF71B"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730</w:t>
            </w:r>
          </w:p>
        </w:tc>
        <w:tc>
          <w:tcPr>
            <w:tcW w:w="1545" w:type="dxa"/>
            <w:vAlign w:val="center"/>
          </w:tcPr>
          <w:p w14:paraId="4E477B38"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w:t>
            </w:r>
          </w:p>
        </w:tc>
        <w:tc>
          <w:tcPr>
            <w:tcW w:w="1064" w:type="dxa"/>
            <w:vAlign w:val="center"/>
          </w:tcPr>
          <w:p w14:paraId="274F0294"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1 886</w:t>
            </w:r>
          </w:p>
        </w:tc>
      </w:tr>
      <w:tr w:rsidR="00761B6C" w:rsidRPr="00236418" w14:paraId="40A0DCE3" w14:textId="77777777" w:rsidTr="00761B6C">
        <w:trPr>
          <w:trHeight w:val="296"/>
          <w:jc w:val="center"/>
        </w:trPr>
        <w:tc>
          <w:tcPr>
            <w:tcW w:w="4117" w:type="dxa"/>
          </w:tcPr>
          <w:p w14:paraId="5482017F" w14:textId="77777777" w:rsidR="00761B6C" w:rsidRPr="00236418" w:rsidRDefault="00761B6C" w:rsidP="00761B6C">
            <w:pPr>
              <w:pStyle w:val="Tabletext"/>
              <w:spacing w:before="0" w:after="0"/>
              <w:rPr>
                <w:rFonts w:asciiTheme="minorHAnsi" w:hAnsiTheme="minorHAnsi"/>
                <w:b/>
                <w:bCs/>
                <w:sz w:val="20"/>
                <w:lang w:eastAsia="fr-FR"/>
              </w:rPr>
            </w:pPr>
            <w:r w:rsidRPr="00236418">
              <w:rPr>
                <w:rFonts w:asciiTheme="minorHAnsi" w:hAnsiTheme="minorHAnsi" w:cs="Arial"/>
                <w:b/>
                <w:bCs/>
                <w:color w:val="000000"/>
                <w:sz w:val="20"/>
              </w:rPr>
              <w:t>Valeur comptable nette au 31 décembre</w:t>
            </w:r>
          </w:p>
        </w:tc>
        <w:tc>
          <w:tcPr>
            <w:tcW w:w="1568" w:type="dxa"/>
            <w:vAlign w:val="center"/>
          </w:tcPr>
          <w:p w14:paraId="1A803C5B"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621</w:t>
            </w:r>
          </w:p>
        </w:tc>
        <w:tc>
          <w:tcPr>
            <w:tcW w:w="1276" w:type="dxa"/>
            <w:vAlign w:val="center"/>
          </w:tcPr>
          <w:p w14:paraId="44983305"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821</w:t>
            </w:r>
          </w:p>
        </w:tc>
        <w:tc>
          <w:tcPr>
            <w:tcW w:w="1545" w:type="dxa"/>
            <w:vAlign w:val="center"/>
          </w:tcPr>
          <w:p w14:paraId="1DEA16FE"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w:t>
            </w:r>
          </w:p>
        </w:tc>
        <w:tc>
          <w:tcPr>
            <w:tcW w:w="1064" w:type="dxa"/>
            <w:vAlign w:val="center"/>
          </w:tcPr>
          <w:p w14:paraId="3880CF63" w14:textId="77777777" w:rsidR="00761B6C" w:rsidRPr="00A14B71" w:rsidRDefault="00761B6C" w:rsidP="00761B6C">
            <w:pPr>
              <w:pStyle w:val="Tabletext"/>
              <w:spacing w:before="0" w:after="0"/>
              <w:jc w:val="right"/>
              <w:rPr>
                <w:rFonts w:asciiTheme="minorHAnsi" w:hAnsiTheme="minorHAnsi" w:cstheme="minorHAnsi"/>
                <w:b/>
                <w:bCs/>
                <w:sz w:val="20"/>
              </w:rPr>
            </w:pPr>
            <w:r w:rsidRPr="00A14B71">
              <w:rPr>
                <w:rFonts w:asciiTheme="minorHAnsi" w:hAnsiTheme="minorHAnsi" w:cstheme="minorHAnsi"/>
                <w:b/>
                <w:bCs/>
                <w:color w:val="000000"/>
                <w:sz w:val="20"/>
                <w:lang w:eastAsia="en-GB"/>
              </w:rPr>
              <w:t>1 443</w:t>
            </w:r>
          </w:p>
        </w:tc>
      </w:tr>
    </w:tbl>
    <w:p w14:paraId="7646B4B9" w14:textId="77777777" w:rsidR="00761B6C" w:rsidRDefault="00761B6C" w:rsidP="000C047C">
      <w:pPr>
        <w:spacing w:before="240"/>
        <w:rPr>
          <w:rFonts w:eastAsiaTheme="minorEastAsia"/>
          <w:bCs/>
          <w:color w:val="000000"/>
        </w:rPr>
      </w:pPr>
      <w:bookmarkStart w:id="1693" w:name="_MON_1395747403"/>
      <w:bookmarkStart w:id="1694" w:name="_MON_1401093284"/>
      <w:bookmarkStart w:id="1695" w:name="_MON_1395747409"/>
      <w:bookmarkStart w:id="1696" w:name="_MON_1395747428"/>
      <w:bookmarkStart w:id="1697" w:name="_MON_1395746989"/>
      <w:bookmarkStart w:id="1698" w:name="_MON_1395747377"/>
      <w:bookmarkStart w:id="1699" w:name="_MON_1396454112"/>
      <w:bookmarkEnd w:id="1693"/>
      <w:bookmarkEnd w:id="1694"/>
      <w:bookmarkEnd w:id="1695"/>
      <w:bookmarkEnd w:id="1696"/>
      <w:bookmarkEnd w:id="1697"/>
      <w:bookmarkEnd w:id="1698"/>
      <w:bookmarkEnd w:id="1699"/>
      <w:r w:rsidRPr="00236418">
        <w:t>Conformément à la norme IPSAS 31, des développements internes liés à l</w:t>
      </w:r>
      <w:r>
        <w:t>'</w:t>
      </w:r>
      <w:r w:rsidRPr="00236418">
        <w:t>amélioration des services offerts aux membres, tout particulièrement en ce qui concerne la consultation, la gestion et l</w:t>
      </w:r>
      <w:r>
        <w:t>'</w:t>
      </w:r>
      <w:r w:rsidRPr="00236418">
        <w:t>archivage de la documentation de l</w:t>
      </w:r>
      <w:r>
        <w:t>'</w:t>
      </w:r>
      <w:r w:rsidRPr="00236418">
        <w:t>Union, ont été capitalisés. Les logiciels capitalisés sont les logiciels et les mises à jour standards utilisés dans le cadre des activités opérationnelles de l</w:t>
      </w:r>
      <w:r>
        <w:t>'</w:t>
      </w:r>
      <w:r w:rsidRPr="00236418">
        <w:t>Union</w:t>
      </w:r>
      <w:r w:rsidRPr="00236418">
        <w:rPr>
          <w:rFonts w:eastAsiaTheme="minorEastAsia"/>
          <w:bCs/>
          <w:color w:val="000000"/>
        </w:rPr>
        <w:t>.</w:t>
      </w:r>
    </w:p>
    <w:p w14:paraId="5DBFD9C1" w14:textId="77777777" w:rsidR="00761B6C" w:rsidRPr="00236418" w:rsidRDefault="00761B6C" w:rsidP="00144C9E">
      <w:pPr>
        <w:pStyle w:val="Heading1"/>
        <w:spacing w:before="240" w:after="240"/>
        <w:rPr>
          <w:sz w:val="24"/>
          <w:szCs w:val="24"/>
        </w:rPr>
      </w:pPr>
      <w:bookmarkStart w:id="1700" w:name="_Toc329178786"/>
      <w:bookmarkStart w:id="1701" w:name="_Toc329181759"/>
      <w:bookmarkStart w:id="1702" w:name="_Toc329202580"/>
      <w:bookmarkStart w:id="1703" w:name="_Toc329205012"/>
      <w:bookmarkStart w:id="1704" w:name="_Toc329206849"/>
      <w:bookmarkStart w:id="1705" w:name="_Toc358380475"/>
      <w:bookmarkStart w:id="1706" w:name="_Toc387166655"/>
      <w:bookmarkStart w:id="1707" w:name="_Toc395260940"/>
      <w:bookmarkStart w:id="1708" w:name="_Toc395511719"/>
      <w:bookmarkStart w:id="1709" w:name="_Toc452138629"/>
      <w:bookmarkStart w:id="1710" w:name="_Toc452139078"/>
      <w:bookmarkStart w:id="1711" w:name="_Toc452139442"/>
      <w:bookmarkStart w:id="1712" w:name="_Toc452139843"/>
      <w:bookmarkStart w:id="1713" w:name="_Toc452140717"/>
      <w:bookmarkStart w:id="1714" w:name="_Toc482801507"/>
      <w:bookmarkStart w:id="1715" w:name="_Toc511649479"/>
      <w:bookmarkStart w:id="1716" w:name="_Toc511649849"/>
      <w:bookmarkStart w:id="1717" w:name="_Toc511649965"/>
      <w:bookmarkStart w:id="1718" w:name="_Toc511651222"/>
      <w:bookmarkStart w:id="1719" w:name="_Toc511724087"/>
      <w:bookmarkStart w:id="1720" w:name="_Toc511739076"/>
      <w:bookmarkStart w:id="1721" w:name="_Toc511741245"/>
      <w:bookmarkStart w:id="1722" w:name="_Toc10450751"/>
      <w:bookmarkStart w:id="1723" w:name="_Toc41566351"/>
      <w:bookmarkStart w:id="1724" w:name="_Toc41567359"/>
      <w:bookmarkStart w:id="1725" w:name="_Toc41567862"/>
      <w:bookmarkStart w:id="1726" w:name="_Toc41814957"/>
      <w:bookmarkStart w:id="1727" w:name="_Toc73354446"/>
      <w:bookmarkStart w:id="1728" w:name="_Toc73356422"/>
      <w:r w:rsidRPr="00236418">
        <w:rPr>
          <w:sz w:val="24"/>
          <w:szCs w:val="24"/>
        </w:rPr>
        <w:t>Note 13</w:t>
      </w:r>
      <w:r w:rsidRPr="00236418">
        <w:rPr>
          <w:sz w:val="24"/>
          <w:szCs w:val="24"/>
        </w:rPr>
        <w:tab/>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r w:rsidRPr="00236418">
        <w:rPr>
          <w:sz w:val="24"/>
          <w:szCs w:val="24"/>
        </w:rPr>
        <w:t>Biens en construction</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tbl>
      <w:tblPr>
        <w:tblW w:w="8081" w:type="dxa"/>
        <w:jc w:val="center"/>
        <w:tblLayout w:type="fixed"/>
        <w:tblLook w:val="04A0" w:firstRow="1" w:lastRow="0" w:firstColumn="1" w:lastColumn="0" w:noHBand="0" w:noVBand="1"/>
        <w:tblCaption w:val="E"/>
      </w:tblPr>
      <w:tblGrid>
        <w:gridCol w:w="3818"/>
        <w:gridCol w:w="1711"/>
        <w:gridCol w:w="1691"/>
        <w:gridCol w:w="861"/>
      </w:tblGrid>
      <w:tr w:rsidR="00761B6C" w:rsidRPr="00236418" w14:paraId="2A56D3C4" w14:textId="77777777" w:rsidTr="00761B6C">
        <w:trPr>
          <w:trHeight w:val="480"/>
          <w:jc w:val="center"/>
        </w:trPr>
        <w:tc>
          <w:tcPr>
            <w:tcW w:w="3818" w:type="dxa"/>
            <w:tcBorders>
              <w:top w:val="single" w:sz="8" w:space="0" w:color="auto"/>
              <w:left w:val="single" w:sz="8" w:space="0" w:color="auto"/>
              <w:bottom w:val="nil"/>
              <w:right w:val="single" w:sz="4" w:space="0" w:color="auto"/>
            </w:tcBorders>
            <w:shd w:val="clear" w:color="auto" w:fill="auto"/>
            <w:hideMark/>
          </w:tcPr>
          <w:p w14:paraId="2411A478" w14:textId="77777777" w:rsidR="00761B6C" w:rsidRPr="00236418" w:rsidRDefault="00761B6C" w:rsidP="00761B6C">
            <w:pPr>
              <w:pStyle w:val="Tablehead"/>
              <w:spacing w:before="0" w:after="0"/>
              <w:rPr>
                <w:rFonts w:asciiTheme="minorHAnsi" w:hAnsiTheme="minorHAnsi"/>
                <w:sz w:val="20"/>
              </w:rPr>
            </w:pPr>
            <w:r w:rsidRPr="00236418">
              <w:rPr>
                <w:rFonts w:asciiTheme="minorHAnsi" w:hAnsiTheme="minorHAnsi"/>
                <w:sz w:val="20"/>
              </w:rPr>
              <w:t>Catégories d</w:t>
            </w:r>
            <w:r>
              <w:rPr>
                <w:rFonts w:asciiTheme="minorHAnsi" w:hAnsiTheme="minorHAnsi"/>
                <w:sz w:val="20"/>
              </w:rPr>
              <w:t>'</w:t>
            </w:r>
            <w:r w:rsidRPr="00236418">
              <w:rPr>
                <w:rFonts w:asciiTheme="minorHAnsi" w:hAnsiTheme="minorHAnsi"/>
                <w:sz w:val="20"/>
              </w:rPr>
              <w:t>actifs</w:t>
            </w:r>
          </w:p>
        </w:tc>
        <w:tc>
          <w:tcPr>
            <w:tcW w:w="1711" w:type="dxa"/>
            <w:tcBorders>
              <w:top w:val="single" w:sz="8" w:space="0" w:color="auto"/>
              <w:left w:val="single" w:sz="4" w:space="0" w:color="auto"/>
              <w:bottom w:val="nil"/>
              <w:right w:val="single" w:sz="4" w:space="0" w:color="auto"/>
            </w:tcBorders>
            <w:shd w:val="clear" w:color="auto" w:fill="auto"/>
            <w:hideMark/>
          </w:tcPr>
          <w:p w14:paraId="53DF63E3" w14:textId="77777777" w:rsidR="00761B6C" w:rsidRPr="00236418" w:rsidRDefault="00761B6C" w:rsidP="00761B6C">
            <w:pPr>
              <w:pStyle w:val="Tablehead"/>
              <w:spacing w:before="0" w:after="0"/>
              <w:rPr>
                <w:rFonts w:asciiTheme="minorHAnsi" w:hAnsiTheme="minorHAnsi"/>
                <w:sz w:val="20"/>
              </w:rPr>
            </w:pPr>
            <w:r w:rsidRPr="00236418">
              <w:rPr>
                <w:rFonts w:asciiTheme="minorHAnsi" w:hAnsiTheme="minorHAnsi"/>
                <w:sz w:val="20"/>
              </w:rPr>
              <w:t>Nouveau bâtiment</w:t>
            </w:r>
          </w:p>
        </w:tc>
        <w:tc>
          <w:tcPr>
            <w:tcW w:w="1691" w:type="dxa"/>
            <w:tcBorders>
              <w:top w:val="single" w:sz="8" w:space="0" w:color="auto"/>
              <w:left w:val="single" w:sz="4" w:space="0" w:color="auto"/>
              <w:bottom w:val="single" w:sz="4" w:space="0" w:color="auto"/>
              <w:right w:val="nil"/>
            </w:tcBorders>
            <w:shd w:val="clear" w:color="auto" w:fill="auto"/>
            <w:hideMark/>
          </w:tcPr>
          <w:p w14:paraId="3C07E291" w14:textId="77777777" w:rsidR="00761B6C" w:rsidRPr="00236418" w:rsidRDefault="00761B6C" w:rsidP="00761B6C">
            <w:pPr>
              <w:pStyle w:val="Tablehead"/>
              <w:spacing w:before="0" w:after="0"/>
              <w:rPr>
                <w:rFonts w:asciiTheme="minorHAnsi" w:hAnsiTheme="minorHAnsi"/>
                <w:sz w:val="20"/>
              </w:rPr>
            </w:pPr>
            <w:r w:rsidRPr="00236418">
              <w:rPr>
                <w:rFonts w:asciiTheme="minorHAnsi" w:hAnsiTheme="minorHAnsi"/>
                <w:sz w:val="20"/>
              </w:rPr>
              <w:t>Autres biens en construction</w:t>
            </w:r>
          </w:p>
        </w:tc>
        <w:tc>
          <w:tcPr>
            <w:tcW w:w="861" w:type="dxa"/>
            <w:tcBorders>
              <w:top w:val="single" w:sz="8" w:space="0" w:color="auto"/>
              <w:left w:val="single" w:sz="4" w:space="0" w:color="auto"/>
              <w:bottom w:val="single" w:sz="4" w:space="0" w:color="auto"/>
              <w:right w:val="single" w:sz="8" w:space="0" w:color="auto"/>
            </w:tcBorders>
            <w:shd w:val="clear" w:color="auto" w:fill="auto"/>
            <w:hideMark/>
          </w:tcPr>
          <w:p w14:paraId="158BAC1F" w14:textId="77777777" w:rsidR="00761B6C" w:rsidRPr="00236418" w:rsidRDefault="00761B6C" w:rsidP="00761B6C">
            <w:pPr>
              <w:pStyle w:val="Tablehead"/>
              <w:spacing w:before="0" w:after="0"/>
              <w:rPr>
                <w:rFonts w:asciiTheme="minorHAnsi" w:hAnsiTheme="minorHAnsi"/>
                <w:sz w:val="20"/>
              </w:rPr>
            </w:pPr>
            <w:r w:rsidRPr="00236418">
              <w:rPr>
                <w:rFonts w:asciiTheme="minorHAnsi" w:hAnsiTheme="minorHAnsi"/>
                <w:sz w:val="20"/>
              </w:rPr>
              <w:t>Total</w:t>
            </w:r>
          </w:p>
        </w:tc>
      </w:tr>
      <w:tr w:rsidR="00761B6C" w:rsidRPr="00236418" w14:paraId="3C412E11" w14:textId="77777777" w:rsidTr="00761B6C">
        <w:trPr>
          <w:trHeight w:val="255"/>
          <w:jc w:val="center"/>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06CA03" w14:textId="77777777" w:rsidR="00761B6C" w:rsidRPr="00236418" w:rsidRDefault="00761B6C" w:rsidP="00761B6C">
            <w:pPr>
              <w:pStyle w:val="Tablehead"/>
              <w:spacing w:before="0" w:after="0"/>
              <w:jc w:val="left"/>
              <w:rPr>
                <w:rFonts w:asciiTheme="minorHAnsi" w:hAnsiTheme="minorHAnsi"/>
                <w:sz w:val="20"/>
              </w:rPr>
            </w:pPr>
            <w:r w:rsidRPr="00236418">
              <w:rPr>
                <w:rFonts w:asciiTheme="minorHAnsi" w:hAnsiTheme="minorHAnsi"/>
                <w:sz w:val="20"/>
              </w:rPr>
              <w:t>Coût au 1er janvier</w:t>
            </w:r>
          </w:p>
        </w:tc>
        <w:tc>
          <w:tcPr>
            <w:tcW w:w="1711" w:type="dxa"/>
            <w:tcBorders>
              <w:top w:val="single" w:sz="4" w:space="0" w:color="auto"/>
              <w:left w:val="single" w:sz="4" w:space="0" w:color="auto"/>
              <w:bottom w:val="single" w:sz="4" w:space="0" w:color="auto"/>
              <w:right w:val="nil"/>
            </w:tcBorders>
            <w:shd w:val="clear" w:color="auto" w:fill="auto"/>
            <w:vAlign w:val="center"/>
          </w:tcPr>
          <w:p w14:paraId="7F80BDB0"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3 948</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9F8A9"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1 243</w:t>
            </w:r>
          </w:p>
        </w:tc>
        <w:tc>
          <w:tcPr>
            <w:tcW w:w="861" w:type="dxa"/>
            <w:tcBorders>
              <w:top w:val="nil"/>
              <w:left w:val="nil"/>
              <w:bottom w:val="single" w:sz="4" w:space="0" w:color="auto"/>
              <w:right w:val="single" w:sz="8" w:space="0" w:color="auto"/>
            </w:tcBorders>
            <w:shd w:val="clear" w:color="000000" w:fill="FFFFFF"/>
            <w:noWrap/>
            <w:vAlign w:val="center"/>
          </w:tcPr>
          <w:p w14:paraId="78C51846"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5 191</w:t>
            </w:r>
          </w:p>
        </w:tc>
      </w:tr>
      <w:tr w:rsidR="00761B6C" w:rsidRPr="00236418" w14:paraId="1C25BD0B" w14:textId="77777777" w:rsidTr="00761B6C">
        <w:trPr>
          <w:trHeight w:val="255"/>
          <w:jc w:val="center"/>
        </w:trPr>
        <w:tc>
          <w:tcPr>
            <w:tcW w:w="3818" w:type="dxa"/>
            <w:tcBorders>
              <w:top w:val="nil"/>
              <w:left w:val="single" w:sz="8" w:space="0" w:color="auto"/>
              <w:bottom w:val="nil"/>
              <w:right w:val="single" w:sz="4" w:space="0" w:color="auto"/>
            </w:tcBorders>
            <w:shd w:val="clear" w:color="auto" w:fill="auto"/>
            <w:hideMark/>
          </w:tcPr>
          <w:p w14:paraId="2B9106BD" w14:textId="77777777" w:rsidR="00761B6C" w:rsidRPr="00236418" w:rsidRDefault="00761B6C" w:rsidP="00761B6C">
            <w:pPr>
              <w:pStyle w:val="Tabletext"/>
              <w:spacing w:before="20" w:after="0"/>
              <w:rPr>
                <w:rFonts w:asciiTheme="minorHAnsi" w:hAnsiTheme="minorHAnsi"/>
                <w:sz w:val="20"/>
                <w:lang w:eastAsia="fr-FR"/>
              </w:rPr>
            </w:pPr>
            <w:r w:rsidRPr="00236418">
              <w:rPr>
                <w:rFonts w:asciiTheme="minorHAnsi" w:hAnsiTheme="minorHAnsi"/>
                <w:sz w:val="20"/>
                <w:lang w:eastAsia="fr-FR"/>
              </w:rPr>
              <w:t>Adjonctions</w:t>
            </w:r>
          </w:p>
        </w:tc>
        <w:tc>
          <w:tcPr>
            <w:tcW w:w="1711" w:type="dxa"/>
            <w:tcBorders>
              <w:top w:val="nil"/>
              <w:left w:val="single" w:sz="4" w:space="0" w:color="auto"/>
              <w:bottom w:val="nil"/>
              <w:right w:val="nil"/>
            </w:tcBorders>
            <w:shd w:val="clear" w:color="auto" w:fill="auto"/>
            <w:noWrap/>
            <w:vAlign w:val="bottom"/>
          </w:tcPr>
          <w:p w14:paraId="75BC3BDA" w14:textId="77777777" w:rsidR="00761B6C" w:rsidRPr="00236418" w:rsidRDefault="00761B6C" w:rsidP="00761B6C">
            <w:pPr>
              <w:pStyle w:val="Tabletext"/>
              <w:spacing w:before="20" w:after="0"/>
              <w:jc w:val="right"/>
              <w:rPr>
                <w:rFonts w:asciiTheme="minorHAnsi" w:hAnsiTheme="minorHAnsi"/>
                <w:sz w:val="20"/>
                <w:lang w:eastAsia="fr-FR"/>
              </w:rPr>
            </w:pPr>
            <w:r>
              <w:rPr>
                <w:rFonts w:asciiTheme="minorHAnsi" w:hAnsiTheme="minorHAnsi"/>
                <w:sz w:val="20"/>
                <w:lang w:eastAsia="fr-FR"/>
              </w:rPr>
              <w:t>4 228</w:t>
            </w:r>
          </w:p>
        </w:tc>
        <w:tc>
          <w:tcPr>
            <w:tcW w:w="1691" w:type="dxa"/>
            <w:tcBorders>
              <w:top w:val="nil"/>
              <w:left w:val="single" w:sz="4" w:space="0" w:color="auto"/>
              <w:bottom w:val="nil"/>
              <w:right w:val="single" w:sz="4" w:space="0" w:color="auto"/>
            </w:tcBorders>
            <w:shd w:val="clear" w:color="auto" w:fill="auto"/>
            <w:noWrap/>
            <w:vAlign w:val="bottom"/>
          </w:tcPr>
          <w:p w14:paraId="51510711" w14:textId="77777777" w:rsidR="00761B6C" w:rsidRPr="00236418" w:rsidRDefault="00761B6C" w:rsidP="00761B6C">
            <w:pPr>
              <w:pStyle w:val="Tabletext"/>
              <w:spacing w:before="20" w:after="0"/>
              <w:jc w:val="right"/>
              <w:rPr>
                <w:rFonts w:asciiTheme="minorHAnsi" w:hAnsiTheme="minorHAnsi"/>
                <w:sz w:val="20"/>
                <w:lang w:eastAsia="fr-FR"/>
              </w:rPr>
            </w:pPr>
            <w:r>
              <w:rPr>
                <w:rFonts w:asciiTheme="minorHAnsi" w:hAnsiTheme="minorHAnsi"/>
                <w:sz w:val="20"/>
                <w:lang w:eastAsia="fr-FR"/>
              </w:rPr>
              <w:t>36</w:t>
            </w:r>
          </w:p>
        </w:tc>
        <w:tc>
          <w:tcPr>
            <w:tcW w:w="861" w:type="dxa"/>
            <w:tcBorders>
              <w:top w:val="nil"/>
              <w:left w:val="nil"/>
              <w:bottom w:val="nil"/>
              <w:right w:val="single" w:sz="8" w:space="0" w:color="auto"/>
            </w:tcBorders>
            <w:shd w:val="clear" w:color="auto" w:fill="auto"/>
            <w:noWrap/>
            <w:vAlign w:val="center"/>
          </w:tcPr>
          <w:p w14:paraId="2C88EE2B" w14:textId="77777777" w:rsidR="00761B6C" w:rsidRPr="00236418" w:rsidRDefault="00761B6C" w:rsidP="00761B6C">
            <w:pPr>
              <w:pStyle w:val="Tabletext"/>
              <w:spacing w:before="20" w:after="0"/>
              <w:jc w:val="right"/>
              <w:rPr>
                <w:rFonts w:asciiTheme="minorHAnsi" w:hAnsiTheme="minorHAnsi"/>
                <w:sz w:val="20"/>
                <w:lang w:eastAsia="fr-FR"/>
              </w:rPr>
            </w:pPr>
            <w:r>
              <w:rPr>
                <w:rFonts w:asciiTheme="minorHAnsi" w:hAnsiTheme="minorHAnsi"/>
                <w:sz w:val="20"/>
                <w:lang w:eastAsia="fr-FR"/>
              </w:rPr>
              <w:t>4 264</w:t>
            </w:r>
          </w:p>
        </w:tc>
      </w:tr>
      <w:tr w:rsidR="00761B6C" w:rsidRPr="00236418" w14:paraId="47921F8C" w14:textId="77777777" w:rsidTr="00761B6C">
        <w:trPr>
          <w:trHeight w:val="255"/>
          <w:jc w:val="center"/>
        </w:trPr>
        <w:tc>
          <w:tcPr>
            <w:tcW w:w="3818" w:type="dxa"/>
            <w:tcBorders>
              <w:top w:val="nil"/>
              <w:left w:val="single" w:sz="8" w:space="0" w:color="auto"/>
              <w:bottom w:val="nil"/>
              <w:right w:val="single" w:sz="4" w:space="0" w:color="auto"/>
            </w:tcBorders>
            <w:shd w:val="clear" w:color="auto" w:fill="auto"/>
            <w:hideMark/>
          </w:tcPr>
          <w:p w14:paraId="6ED2052B" w14:textId="77777777" w:rsidR="00761B6C" w:rsidRPr="00236418" w:rsidRDefault="00761B6C" w:rsidP="00761B6C">
            <w:pPr>
              <w:pStyle w:val="Tabletext"/>
              <w:spacing w:before="20" w:after="0"/>
              <w:rPr>
                <w:rFonts w:asciiTheme="minorHAnsi" w:hAnsiTheme="minorHAnsi"/>
                <w:sz w:val="20"/>
                <w:lang w:eastAsia="fr-FR"/>
              </w:rPr>
            </w:pPr>
            <w:r w:rsidRPr="00236418">
              <w:rPr>
                <w:rFonts w:asciiTheme="minorHAnsi" w:hAnsiTheme="minorHAnsi"/>
                <w:sz w:val="20"/>
                <w:lang w:eastAsia="fr-FR"/>
              </w:rPr>
              <w:t>Dons</w:t>
            </w:r>
          </w:p>
        </w:tc>
        <w:tc>
          <w:tcPr>
            <w:tcW w:w="1711" w:type="dxa"/>
            <w:tcBorders>
              <w:top w:val="nil"/>
              <w:left w:val="single" w:sz="4" w:space="0" w:color="auto"/>
              <w:bottom w:val="nil"/>
              <w:right w:val="nil"/>
            </w:tcBorders>
            <w:shd w:val="clear" w:color="auto" w:fill="auto"/>
            <w:noWrap/>
            <w:vAlign w:val="bottom"/>
          </w:tcPr>
          <w:p w14:paraId="0A1D28FA" w14:textId="77777777" w:rsidR="00761B6C" w:rsidRPr="00236418" w:rsidRDefault="00761B6C" w:rsidP="00761B6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1BB9B718" w14:textId="77777777" w:rsidR="00761B6C" w:rsidRPr="00236418" w:rsidRDefault="00761B6C" w:rsidP="00761B6C">
            <w:pPr>
              <w:pStyle w:val="Tabletext"/>
              <w:spacing w:before="20" w:after="0"/>
              <w:jc w:val="right"/>
              <w:rPr>
                <w:rFonts w:asciiTheme="minorHAnsi" w:hAnsiTheme="minorHAnsi"/>
                <w:sz w:val="20"/>
                <w:lang w:eastAsia="fr-FR"/>
              </w:rPr>
            </w:pPr>
          </w:p>
        </w:tc>
        <w:tc>
          <w:tcPr>
            <w:tcW w:w="861" w:type="dxa"/>
            <w:tcBorders>
              <w:top w:val="nil"/>
              <w:left w:val="nil"/>
              <w:bottom w:val="nil"/>
              <w:right w:val="single" w:sz="8" w:space="0" w:color="auto"/>
            </w:tcBorders>
            <w:shd w:val="clear" w:color="auto" w:fill="auto"/>
            <w:noWrap/>
            <w:vAlign w:val="center"/>
          </w:tcPr>
          <w:p w14:paraId="3EB1D701" w14:textId="77777777" w:rsidR="00761B6C" w:rsidRPr="00236418" w:rsidRDefault="00761B6C" w:rsidP="00761B6C">
            <w:pPr>
              <w:pStyle w:val="Tabletext"/>
              <w:spacing w:before="20" w:after="0"/>
              <w:jc w:val="right"/>
              <w:rPr>
                <w:rFonts w:asciiTheme="minorHAnsi" w:hAnsiTheme="minorHAnsi"/>
                <w:sz w:val="20"/>
                <w:lang w:eastAsia="fr-FR"/>
              </w:rPr>
            </w:pPr>
            <w:r w:rsidRPr="00A14B71">
              <w:rPr>
                <w:rFonts w:asciiTheme="minorHAnsi" w:hAnsiTheme="minorHAnsi"/>
                <w:sz w:val="20"/>
                <w:lang w:eastAsia="fr-FR"/>
              </w:rPr>
              <w:t>–</w:t>
            </w:r>
          </w:p>
        </w:tc>
      </w:tr>
      <w:tr w:rsidR="00761B6C" w:rsidRPr="00236418" w14:paraId="041C7CCC" w14:textId="77777777" w:rsidTr="00761B6C">
        <w:trPr>
          <w:trHeight w:val="255"/>
          <w:jc w:val="center"/>
        </w:trPr>
        <w:tc>
          <w:tcPr>
            <w:tcW w:w="3818" w:type="dxa"/>
            <w:tcBorders>
              <w:top w:val="nil"/>
              <w:left w:val="single" w:sz="8" w:space="0" w:color="auto"/>
              <w:bottom w:val="nil"/>
              <w:right w:val="single" w:sz="4" w:space="0" w:color="auto"/>
            </w:tcBorders>
            <w:shd w:val="clear" w:color="auto" w:fill="auto"/>
            <w:hideMark/>
          </w:tcPr>
          <w:p w14:paraId="4BD12410" w14:textId="77777777" w:rsidR="00761B6C" w:rsidRPr="00236418" w:rsidRDefault="00761B6C" w:rsidP="00761B6C">
            <w:pPr>
              <w:pStyle w:val="Tabletext"/>
              <w:spacing w:before="20" w:after="0"/>
              <w:rPr>
                <w:rFonts w:asciiTheme="minorHAnsi" w:hAnsiTheme="minorHAnsi"/>
                <w:sz w:val="20"/>
                <w:lang w:eastAsia="fr-FR"/>
              </w:rPr>
            </w:pPr>
            <w:r w:rsidRPr="00236418">
              <w:rPr>
                <w:rFonts w:asciiTheme="minorHAnsi" w:hAnsiTheme="minorHAnsi"/>
                <w:sz w:val="20"/>
                <w:lang w:eastAsia="fr-FR"/>
              </w:rPr>
              <w:t>Cessions</w:t>
            </w:r>
          </w:p>
        </w:tc>
        <w:tc>
          <w:tcPr>
            <w:tcW w:w="1711" w:type="dxa"/>
            <w:tcBorders>
              <w:top w:val="nil"/>
              <w:left w:val="single" w:sz="4" w:space="0" w:color="auto"/>
              <w:bottom w:val="nil"/>
              <w:right w:val="nil"/>
            </w:tcBorders>
            <w:shd w:val="clear" w:color="auto" w:fill="auto"/>
            <w:noWrap/>
            <w:vAlign w:val="bottom"/>
          </w:tcPr>
          <w:p w14:paraId="31614A5D" w14:textId="77777777" w:rsidR="00761B6C" w:rsidRPr="00236418" w:rsidRDefault="00761B6C" w:rsidP="00761B6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7C6E8F5F" w14:textId="77777777" w:rsidR="00761B6C" w:rsidRPr="00236418" w:rsidRDefault="00761B6C" w:rsidP="00761B6C">
            <w:pPr>
              <w:pStyle w:val="Tabletext"/>
              <w:spacing w:before="20" w:after="0"/>
              <w:jc w:val="right"/>
              <w:rPr>
                <w:rFonts w:asciiTheme="minorHAnsi" w:hAnsiTheme="minorHAnsi"/>
                <w:sz w:val="20"/>
                <w:lang w:eastAsia="fr-FR"/>
              </w:rPr>
            </w:pPr>
          </w:p>
        </w:tc>
        <w:tc>
          <w:tcPr>
            <w:tcW w:w="861" w:type="dxa"/>
            <w:tcBorders>
              <w:top w:val="nil"/>
              <w:left w:val="nil"/>
              <w:bottom w:val="nil"/>
              <w:right w:val="single" w:sz="8" w:space="0" w:color="auto"/>
            </w:tcBorders>
            <w:shd w:val="clear" w:color="auto" w:fill="auto"/>
            <w:noWrap/>
            <w:vAlign w:val="center"/>
          </w:tcPr>
          <w:p w14:paraId="387F3B8E" w14:textId="77777777" w:rsidR="00761B6C" w:rsidRPr="00236418" w:rsidRDefault="00761B6C" w:rsidP="00761B6C">
            <w:pPr>
              <w:pStyle w:val="Tabletext"/>
              <w:spacing w:before="20" w:after="0"/>
              <w:jc w:val="right"/>
              <w:rPr>
                <w:rFonts w:asciiTheme="minorHAnsi" w:hAnsiTheme="minorHAnsi"/>
                <w:sz w:val="20"/>
                <w:lang w:eastAsia="fr-FR"/>
              </w:rPr>
            </w:pPr>
            <w:r w:rsidRPr="00A14B71">
              <w:rPr>
                <w:rFonts w:asciiTheme="minorHAnsi" w:hAnsiTheme="minorHAnsi"/>
                <w:sz w:val="20"/>
                <w:lang w:eastAsia="fr-FR"/>
              </w:rPr>
              <w:t>–</w:t>
            </w:r>
          </w:p>
        </w:tc>
      </w:tr>
      <w:tr w:rsidR="00761B6C" w:rsidRPr="00236418" w14:paraId="644B3C6D" w14:textId="77777777" w:rsidTr="00761B6C">
        <w:trPr>
          <w:trHeight w:val="255"/>
          <w:jc w:val="center"/>
        </w:trPr>
        <w:tc>
          <w:tcPr>
            <w:tcW w:w="3818" w:type="dxa"/>
            <w:tcBorders>
              <w:top w:val="nil"/>
              <w:left w:val="single" w:sz="8" w:space="0" w:color="auto"/>
              <w:bottom w:val="nil"/>
              <w:right w:val="single" w:sz="4" w:space="0" w:color="auto"/>
            </w:tcBorders>
            <w:shd w:val="clear" w:color="auto" w:fill="auto"/>
            <w:hideMark/>
          </w:tcPr>
          <w:p w14:paraId="53EC5927" w14:textId="77777777" w:rsidR="00761B6C" w:rsidRPr="00236418" w:rsidRDefault="00761B6C" w:rsidP="00761B6C">
            <w:pPr>
              <w:pStyle w:val="Tabletext"/>
              <w:spacing w:before="20" w:after="0"/>
              <w:rPr>
                <w:rFonts w:asciiTheme="minorHAnsi" w:hAnsiTheme="minorHAnsi"/>
                <w:sz w:val="20"/>
                <w:lang w:eastAsia="fr-FR"/>
              </w:rPr>
            </w:pPr>
            <w:r w:rsidRPr="00236418">
              <w:rPr>
                <w:rFonts w:asciiTheme="minorHAnsi" w:hAnsiTheme="minorHAnsi"/>
                <w:sz w:val="20"/>
                <w:lang w:eastAsia="fr-FR"/>
              </w:rPr>
              <w:t>Pertes de valeur</w:t>
            </w:r>
          </w:p>
        </w:tc>
        <w:tc>
          <w:tcPr>
            <w:tcW w:w="1711" w:type="dxa"/>
            <w:tcBorders>
              <w:top w:val="nil"/>
              <w:left w:val="single" w:sz="4" w:space="0" w:color="auto"/>
              <w:bottom w:val="nil"/>
              <w:right w:val="nil"/>
            </w:tcBorders>
            <w:shd w:val="clear" w:color="auto" w:fill="auto"/>
            <w:noWrap/>
            <w:vAlign w:val="bottom"/>
          </w:tcPr>
          <w:p w14:paraId="2D250C1B" w14:textId="77777777" w:rsidR="00761B6C" w:rsidRPr="00236418" w:rsidRDefault="00761B6C" w:rsidP="00761B6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014E209C" w14:textId="77777777" w:rsidR="00761B6C" w:rsidRPr="00236418" w:rsidRDefault="00761B6C" w:rsidP="00761B6C">
            <w:pPr>
              <w:pStyle w:val="Tabletext"/>
              <w:spacing w:before="20" w:after="0"/>
              <w:jc w:val="right"/>
              <w:rPr>
                <w:rFonts w:asciiTheme="minorHAnsi" w:hAnsiTheme="minorHAnsi"/>
                <w:sz w:val="20"/>
                <w:lang w:eastAsia="fr-FR"/>
              </w:rPr>
            </w:pPr>
          </w:p>
        </w:tc>
        <w:tc>
          <w:tcPr>
            <w:tcW w:w="861" w:type="dxa"/>
            <w:tcBorders>
              <w:top w:val="nil"/>
              <w:left w:val="nil"/>
              <w:bottom w:val="nil"/>
              <w:right w:val="single" w:sz="8" w:space="0" w:color="auto"/>
            </w:tcBorders>
            <w:shd w:val="clear" w:color="auto" w:fill="auto"/>
            <w:noWrap/>
            <w:vAlign w:val="center"/>
          </w:tcPr>
          <w:p w14:paraId="2D45A803" w14:textId="77777777" w:rsidR="00761B6C" w:rsidRPr="00236418" w:rsidRDefault="00761B6C" w:rsidP="00761B6C">
            <w:pPr>
              <w:pStyle w:val="Tabletext"/>
              <w:spacing w:before="20" w:after="0"/>
              <w:jc w:val="right"/>
              <w:rPr>
                <w:rFonts w:asciiTheme="minorHAnsi" w:hAnsiTheme="minorHAnsi"/>
                <w:sz w:val="20"/>
                <w:lang w:eastAsia="fr-FR"/>
              </w:rPr>
            </w:pPr>
            <w:r w:rsidRPr="00A14B71">
              <w:rPr>
                <w:rFonts w:asciiTheme="minorHAnsi" w:hAnsiTheme="minorHAnsi"/>
                <w:sz w:val="20"/>
                <w:lang w:eastAsia="fr-FR"/>
              </w:rPr>
              <w:t>–</w:t>
            </w:r>
          </w:p>
        </w:tc>
      </w:tr>
      <w:tr w:rsidR="00761B6C" w:rsidRPr="00236418" w14:paraId="71B4322D" w14:textId="77777777" w:rsidTr="00761B6C">
        <w:trPr>
          <w:trHeight w:val="255"/>
          <w:jc w:val="center"/>
        </w:trPr>
        <w:tc>
          <w:tcPr>
            <w:tcW w:w="3818" w:type="dxa"/>
            <w:tcBorders>
              <w:top w:val="nil"/>
              <w:left w:val="single" w:sz="8" w:space="0" w:color="auto"/>
              <w:bottom w:val="nil"/>
              <w:right w:val="single" w:sz="4" w:space="0" w:color="auto"/>
            </w:tcBorders>
            <w:shd w:val="clear" w:color="auto" w:fill="auto"/>
            <w:hideMark/>
          </w:tcPr>
          <w:p w14:paraId="355A15ED" w14:textId="77777777" w:rsidR="00761B6C" w:rsidRPr="00236418" w:rsidRDefault="00761B6C" w:rsidP="00761B6C">
            <w:pPr>
              <w:pStyle w:val="Tabletext"/>
              <w:spacing w:before="20" w:after="0"/>
              <w:rPr>
                <w:rFonts w:asciiTheme="minorHAnsi" w:hAnsiTheme="minorHAnsi"/>
                <w:sz w:val="20"/>
                <w:lang w:eastAsia="fr-FR"/>
              </w:rPr>
            </w:pPr>
            <w:r w:rsidRPr="00236418">
              <w:rPr>
                <w:rFonts w:asciiTheme="minorHAnsi" w:hAnsiTheme="minorHAnsi"/>
                <w:sz w:val="20"/>
                <w:lang w:eastAsia="fr-FR"/>
              </w:rPr>
              <w:t>Reclassements et corrections</w:t>
            </w:r>
          </w:p>
        </w:tc>
        <w:tc>
          <w:tcPr>
            <w:tcW w:w="1711" w:type="dxa"/>
            <w:tcBorders>
              <w:top w:val="nil"/>
              <w:left w:val="single" w:sz="4" w:space="0" w:color="auto"/>
              <w:bottom w:val="nil"/>
              <w:right w:val="nil"/>
            </w:tcBorders>
            <w:shd w:val="clear" w:color="auto" w:fill="auto"/>
            <w:noWrap/>
          </w:tcPr>
          <w:p w14:paraId="5C07EBAE" w14:textId="77777777" w:rsidR="00761B6C" w:rsidRPr="00236418" w:rsidRDefault="00761B6C" w:rsidP="00761B6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tcPr>
          <w:p w14:paraId="36E95019" w14:textId="77777777" w:rsidR="00761B6C" w:rsidRPr="00236418" w:rsidRDefault="00761B6C" w:rsidP="00761B6C">
            <w:pPr>
              <w:pStyle w:val="Tabletext"/>
              <w:spacing w:before="20" w:after="0"/>
              <w:jc w:val="right"/>
              <w:rPr>
                <w:rFonts w:asciiTheme="minorHAnsi" w:hAnsiTheme="minorHAnsi"/>
                <w:sz w:val="20"/>
                <w:lang w:eastAsia="fr-FR"/>
              </w:rPr>
            </w:pPr>
            <w:r w:rsidRPr="00A14B71">
              <w:rPr>
                <w:rFonts w:asciiTheme="minorHAnsi" w:hAnsiTheme="minorHAnsi"/>
                <w:sz w:val="20"/>
                <w:lang w:eastAsia="fr-FR"/>
              </w:rPr>
              <w:t>–</w:t>
            </w:r>
            <w:r>
              <w:rPr>
                <w:rFonts w:asciiTheme="minorHAnsi" w:hAnsiTheme="minorHAnsi"/>
                <w:sz w:val="20"/>
                <w:lang w:eastAsia="fr-FR"/>
              </w:rPr>
              <w:t>12</w:t>
            </w:r>
          </w:p>
        </w:tc>
        <w:tc>
          <w:tcPr>
            <w:tcW w:w="861" w:type="dxa"/>
            <w:tcBorders>
              <w:top w:val="nil"/>
              <w:left w:val="nil"/>
              <w:bottom w:val="nil"/>
              <w:right w:val="single" w:sz="8" w:space="0" w:color="auto"/>
            </w:tcBorders>
            <w:shd w:val="clear" w:color="auto" w:fill="auto"/>
            <w:noWrap/>
          </w:tcPr>
          <w:p w14:paraId="2FB2996A" w14:textId="77777777" w:rsidR="00761B6C" w:rsidRPr="00236418" w:rsidRDefault="00761B6C" w:rsidP="00761B6C">
            <w:pPr>
              <w:pStyle w:val="Tabletext"/>
              <w:spacing w:before="20" w:after="0"/>
              <w:jc w:val="right"/>
              <w:rPr>
                <w:rFonts w:asciiTheme="minorHAnsi" w:hAnsiTheme="minorHAnsi"/>
                <w:sz w:val="20"/>
                <w:lang w:eastAsia="fr-FR"/>
              </w:rPr>
            </w:pPr>
            <w:r>
              <w:rPr>
                <w:rFonts w:asciiTheme="minorHAnsi" w:hAnsiTheme="minorHAnsi"/>
                <w:sz w:val="20"/>
                <w:lang w:eastAsia="fr-FR"/>
              </w:rPr>
              <w:t>(12)</w:t>
            </w:r>
          </w:p>
        </w:tc>
      </w:tr>
      <w:tr w:rsidR="00761B6C" w:rsidRPr="00236418" w14:paraId="50F84777" w14:textId="77777777" w:rsidTr="00761B6C">
        <w:trPr>
          <w:trHeight w:val="255"/>
          <w:jc w:val="center"/>
        </w:trPr>
        <w:tc>
          <w:tcPr>
            <w:tcW w:w="3818" w:type="dxa"/>
            <w:tcBorders>
              <w:top w:val="nil"/>
              <w:left w:val="single" w:sz="8" w:space="0" w:color="auto"/>
              <w:bottom w:val="nil"/>
              <w:right w:val="single" w:sz="4" w:space="0" w:color="auto"/>
            </w:tcBorders>
            <w:shd w:val="clear" w:color="auto" w:fill="auto"/>
            <w:hideMark/>
          </w:tcPr>
          <w:p w14:paraId="28F5CACE" w14:textId="77777777" w:rsidR="00761B6C" w:rsidRPr="00236418" w:rsidRDefault="00761B6C" w:rsidP="00761B6C">
            <w:pPr>
              <w:pStyle w:val="Tabletext"/>
              <w:spacing w:before="20" w:after="0"/>
              <w:rPr>
                <w:rFonts w:asciiTheme="minorHAnsi" w:hAnsiTheme="minorHAnsi"/>
                <w:sz w:val="20"/>
                <w:lang w:eastAsia="fr-FR"/>
              </w:rPr>
            </w:pPr>
            <w:r w:rsidRPr="00236418">
              <w:rPr>
                <w:rFonts w:asciiTheme="minorHAnsi" w:hAnsiTheme="minorHAnsi"/>
                <w:sz w:val="20"/>
                <w:lang w:eastAsia="fr-FR"/>
              </w:rPr>
              <w:t>Réévaluations</w:t>
            </w:r>
          </w:p>
        </w:tc>
        <w:tc>
          <w:tcPr>
            <w:tcW w:w="1711" w:type="dxa"/>
            <w:tcBorders>
              <w:top w:val="nil"/>
              <w:left w:val="single" w:sz="4" w:space="0" w:color="auto"/>
              <w:bottom w:val="nil"/>
              <w:right w:val="nil"/>
            </w:tcBorders>
            <w:shd w:val="clear" w:color="auto" w:fill="auto"/>
            <w:noWrap/>
            <w:vAlign w:val="bottom"/>
          </w:tcPr>
          <w:p w14:paraId="78720E62" w14:textId="77777777" w:rsidR="00761B6C" w:rsidRPr="00236418" w:rsidRDefault="00761B6C" w:rsidP="00761B6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tcPr>
          <w:p w14:paraId="4A9EC5BB" w14:textId="77777777" w:rsidR="00761B6C" w:rsidRPr="00236418" w:rsidRDefault="00761B6C" w:rsidP="00761B6C">
            <w:pPr>
              <w:pStyle w:val="Tabletext"/>
              <w:spacing w:before="20" w:after="0"/>
              <w:jc w:val="right"/>
              <w:rPr>
                <w:rFonts w:asciiTheme="minorHAnsi" w:hAnsiTheme="minorHAnsi"/>
                <w:sz w:val="20"/>
                <w:lang w:eastAsia="fr-FR"/>
              </w:rPr>
            </w:pPr>
          </w:p>
        </w:tc>
        <w:tc>
          <w:tcPr>
            <w:tcW w:w="861" w:type="dxa"/>
            <w:tcBorders>
              <w:top w:val="nil"/>
              <w:left w:val="nil"/>
              <w:bottom w:val="nil"/>
              <w:right w:val="single" w:sz="8" w:space="0" w:color="auto"/>
            </w:tcBorders>
            <w:shd w:val="clear" w:color="auto" w:fill="auto"/>
            <w:noWrap/>
            <w:vAlign w:val="center"/>
          </w:tcPr>
          <w:p w14:paraId="481461C9" w14:textId="77777777" w:rsidR="00761B6C" w:rsidRPr="00236418" w:rsidRDefault="00761B6C" w:rsidP="00761B6C">
            <w:pPr>
              <w:pStyle w:val="Tabletext"/>
              <w:spacing w:before="20" w:after="0"/>
              <w:jc w:val="right"/>
              <w:rPr>
                <w:rFonts w:asciiTheme="minorHAnsi" w:hAnsiTheme="minorHAnsi"/>
                <w:sz w:val="20"/>
                <w:lang w:eastAsia="fr-FR"/>
              </w:rPr>
            </w:pPr>
            <w:r w:rsidRPr="00A14B71">
              <w:rPr>
                <w:rFonts w:asciiTheme="minorHAnsi" w:hAnsiTheme="minorHAnsi"/>
                <w:sz w:val="20"/>
                <w:lang w:eastAsia="fr-FR"/>
              </w:rPr>
              <w:t>–</w:t>
            </w:r>
          </w:p>
        </w:tc>
      </w:tr>
      <w:tr w:rsidR="00761B6C" w:rsidRPr="00236418" w14:paraId="081ACCB2" w14:textId="77777777" w:rsidTr="00761B6C">
        <w:trPr>
          <w:trHeight w:val="255"/>
          <w:jc w:val="center"/>
        </w:trPr>
        <w:tc>
          <w:tcPr>
            <w:tcW w:w="3818" w:type="dxa"/>
            <w:tcBorders>
              <w:top w:val="single" w:sz="4" w:space="0" w:color="auto"/>
              <w:left w:val="single" w:sz="8" w:space="0" w:color="auto"/>
              <w:bottom w:val="single" w:sz="4" w:space="0" w:color="auto"/>
              <w:right w:val="single" w:sz="4" w:space="0" w:color="auto"/>
            </w:tcBorders>
            <w:shd w:val="clear" w:color="auto" w:fill="auto"/>
            <w:hideMark/>
          </w:tcPr>
          <w:p w14:paraId="5FDA8C33" w14:textId="77777777" w:rsidR="00761B6C" w:rsidRPr="00236418" w:rsidRDefault="00761B6C" w:rsidP="00761B6C">
            <w:pPr>
              <w:pStyle w:val="Tablehead"/>
              <w:spacing w:before="0" w:after="0"/>
              <w:jc w:val="left"/>
              <w:rPr>
                <w:rFonts w:asciiTheme="minorHAnsi" w:hAnsiTheme="minorHAnsi"/>
                <w:sz w:val="20"/>
              </w:rPr>
            </w:pPr>
            <w:r w:rsidRPr="00236418">
              <w:rPr>
                <w:rFonts w:asciiTheme="minorHAnsi" w:hAnsiTheme="minorHAnsi"/>
                <w:sz w:val="20"/>
              </w:rPr>
              <w:t xml:space="preserve">Coût au 31 décembre </w:t>
            </w:r>
          </w:p>
        </w:tc>
        <w:tc>
          <w:tcPr>
            <w:tcW w:w="1711" w:type="dxa"/>
            <w:tcBorders>
              <w:top w:val="single" w:sz="4" w:space="0" w:color="auto"/>
              <w:left w:val="single" w:sz="4" w:space="0" w:color="auto"/>
              <w:bottom w:val="single" w:sz="4" w:space="0" w:color="auto"/>
              <w:right w:val="nil"/>
            </w:tcBorders>
            <w:shd w:val="clear" w:color="auto" w:fill="auto"/>
            <w:vAlign w:val="center"/>
          </w:tcPr>
          <w:p w14:paraId="5E4176EA"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8 176</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107BC88D"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1 267</w:t>
            </w:r>
          </w:p>
        </w:tc>
        <w:tc>
          <w:tcPr>
            <w:tcW w:w="861" w:type="dxa"/>
            <w:tcBorders>
              <w:top w:val="single" w:sz="4" w:space="0" w:color="auto"/>
              <w:left w:val="nil"/>
              <w:bottom w:val="single" w:sz="4" w:space="0" w:color="auto"/>
              <w:right w:val="single" w:sz="8" w:space="0" w:color="auto"/>
            </w:tcBorders>
            <w:shd w:val="clear" w:color="auto" w:fill="auto"/>
            <w:vAlign w:val="center"/>
          </w:tcPr>
          <w:p w14:paraId="77C97F05"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9 443</w:t>
            </w:r>
          </w:p>
        </w:tc>
      </w:tr>
      <w:tr w:rsidR="00761B6C" w:rsidRPr="00236418" w14:paraId="6EF4C208" w14:textId="77777777" w:rsidTr="00761B6C">
        <w:trPr>
          <w:trHeight w:val="357"/>
          <w:jc w:val="center"/>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072B6F1B" w14:textId="77777777" w:rsidR="00761B6C" w:rsidRPr="00236418" w:rsidRDefault="00761B6C" w:rsidP="00761B6C">
            <w:pPr>
              <w:pStyle w:val="Tablehead"/>
              <w:spacing w:before="0" w:after="0"/>
              <w:jc w:val="left"/>
              <w:rPr>
                <w:rFonts w:asciiTheme="minorHAnsi" w:hAnsiTheme="minorHAnsi"/>
                <w:sz w:val="20"/>
              </w:rPr>
            </w:pPr>
            <w:r w:rsidRPr="00236418">
              <w:rPr>
                <w:rFonts w:asciiTheme="minorHAnsi" w:hAnsiTheme="minorHAnsi"/>
                <w:sz w:val="20"/>
              </w:rPr>
              <w:t xml:space="preserve">Amortissement au 1er janvier </w:t>
            </w:r>
          </w:p>
        </w:tc>
        <w:tc>
          <w:tcPr>
            <w:tcW w:w="1711" w:type="dxa"/>
            <w:tcBorders>
              <w:top w:val="nil"/>
              <w:left w:val="single" w:sz="4" w:space="0" w:color="auto"/>
              <w:bottom w:val="single" w:sz="4" w:space="0" w:color="auto"/>
              <w:right w:val="nil"/>
            </w:tcBorders>
            <w:shd w:val="clear" w:color="auto" w:fill="auto"/>
            <w:noWrap/>
          </w:tcPr>
          <w:p w14:paraId="28521941" w14:textId="77777777" w:rsidR="00761B6C" w:rsidRPr="00236418" w:rsidRDefault="00761B6C" w:rsidP="00761B6C">
            <w:pPr>
              <w:pStyle w:val="Tablehead"/>
              <w:spacing w:before="0" w:after="0"/>
              <w:jc w:val="right"/>
              <w:rPr>
                <w:rFonts w:asciiTheme="minorHAnsi" w:hAnsiTheme="minorHAnsi"/>
                <w:sz w:val="20"/>
              </w:rPr>
            </w:pPr>
          </w:p>
        </w:tc>
        <w:tc>
          <w:tcPr>
            <w:tcW w:w="1691" w:type="dxa"/>
            <w:tcBorders>
              <w:top w:val="nil"/>
              <w:left w:val="single" w:sz="4" w:space="0" w:color="auto"/>
              <w:bottom w:val="single" w:sz="4" w:space="0" w:color="auto"/>
              <w:right w:val="single" w:sz="4" w:space="0" w:color="auto"/>
            </w:tcBorders>
            <w:shd w:val="clear" w:color="auto" w:fill="auto"/>
            <w:noWrap/>
            <w:vAlign w:val="center"/>
          </w:tcPr>
          <w:p w14:paraId="709FA029" w14:textId="77777777" w:rsidR="00761B6C" w:rsidRPr="00236418" w:rsidRDefault="00761B6C" w:rsidP="00761B6C">
            <w:pPr>
              <w:pStyle w:val="Tablehead"/>
              <w:spacing w:before="0" w:after="0"/>
              <w:jc w:val="right"/>
              <w:rPr>
                <w:rFonts w:asciiTheme="minorHAnsi" w:hAnsiTheme="minorHAnsi"/>
                <w:sz w:val="20"/>
              </w:rPr>
            </w:pPr>
            <w:r w:rsidRPr="00A14B71">
              <w:rPr>
                <w:rFonts w:asciiTheme="minorHAnsi" w:hAnsiTheme="minorHAnsi"/>
                <w:sz w:val="20"/>
              </w:rPr>
              <w:t>–</w:t>
            </w:r>
          </w:p>
        </w:tc>
        <w:tc>
          <w:tcPr>
            <w:tcW w:w="861" w:type="dxa"/>
            <w:tcBorders>
              <w:top w:val="nil"/>
              <w:left w:val="nil"/>
              <w:bottom w:val="single" w:sz="4" w:space="0" w:color="auto"/>
              <w:right w:val="single" w:sz="8" w:space="0" w:color="auto"/>
            </w:tcBorders>
            <w:shd w:val="clear" w:color="auto" w:fill="auto"/>
            <w:vAlign w:val="center"/>
          </w:tcPr>
          <w:p w14:paraId="36D04506" w14:textId="77777777" w:rsidR="00761B6C" w:rsidRPr="00236418" w:rsidRDefault="00761B6C" w:rsidP="00761B6C">
            <w:pPr>
              <w:pStyle w:val="Tablehead"/>
              <w:spacing w:before="0" w:after="0"/>
              <w:jc w:val="right"/>
              <w:rPr>
                <w:rFonts w:asciiTheme="minorHAnsi" w:hAnsiTheme="minorHAnsi"/>
                <w:sz w:val="20"/>
              </w:rPr>
            </w:pPr>
            <w:r w:rsidRPr="00A14B71">
              <w:rPr>
                <w:rFonts w:asciiTheme="minorHAnsi" w:hAnsiTheme="minorHAnsi"/>
                <w:sz w:val="20"/>
              </w:rPr>
              <w:t>–</w:t>
            </w:r>
          </w:p>
        </w:tc>
      </w:tr>
      <w:tr w:rsidR="00761B6C" w:rsidRPr="00236418" w14:paraId="2C9B7DC1" w14:textId="77777777" w:rsidTr="00761B6C">
        <w:trPr>
          <w:trHeight w:val="255"/>
          <w:jc w:val="center"/>
        </w:trPr>
        <w:tc>
          <w:tcPr>
            <w:tcW w:w="3818" w:type="dxa"/>
            <w:tcBorders>
              <w:top w:val="nil"/>
              <w:left w:val="single" w:sz="8" w:space="0" w:color="auto"/>
              <w:bottom w:val="nil"/>
              <w:right w:val="single" w:sz="4" w:space="0" w:color="auto"/>
            </w:tcBorders>
            <w:shd w:val="clear" w:color="auto" w:fill="auto"/>
            <w:hideMark/>
          </w:tcPr>
          <w:p w14:paraId="3EC4985B" w14:textId="77777777" w:rsidR="00761B6C" w:rsidRPr="00236418" w:rsidRDefault="00761B6C" w:rsidP="00761B6C">
            <w:pPr>
              <w:pStyle w:val="Tabletext"/>
              <w:spacing w:before="20" w:after="0"/>
              <w:rPr>
                <w:rFonts w:asciiTheme="minorHAnsi" w:hAnsiTheme="minorHAnsi"/>
                <w:sz w:val="20"/>
                <w:lang w:eastAsia="fr-FR"/>
              </w:rPr>
            </w:pPr>
            <w:r w:rsidRPr="00236418">
              <w:rPr>
                <w:rFonts w:asciiTheme="minorHAnsi" w:hAnsiTheme="minorHAnsi"/>
                <w:sz w:val="20"/>
                <w:lang w:eastAsia="fr-FR"/>
              </w:rPr>
              <w:t>Imputés au cours de l</w:t>
            </w:r>
            <w:r>
              <w:rPr>
                <w:rFonts w:asciiTheme="minorHAnsi" w:hAnsiTheme="minorHAnsi"/>
                <w:sz w:val="20"/>
                <w:lang w:eastAsia="fr-FR"/>
              </w:rPr>
              <w:t>'</w:t>
            </w:r>
            <w:r w:rsidRPr="00236418">
              <w:rPr>
                <w:rFonts w:asciiTheme="minorHAnsi" w:hAnsiTheme="minorHAnsi"/>
                <w:sz w:val="20"/>
                <w:lang w:eastAsia="fr-FR"/>
              </w:rPr>
              <w:t>année</w:t>
            </w:r>
          </w:p>
        </w:tc>
        <w:tc>
          <w:tcPr>
            <w:tcW w:w="1711" w:type="dxa"/>
            <w:tcBorders>
              <w:top w:val="nil"/>
              <w:left w:val="single" w:sz="4" w:space="0" w:color="auto"/>
              <w:bottom w:val="nil"/>
              <w:right w:val="nil"/>
            </w:tcBorders>
            <w:shd w:val="clear" w:color="auto" w:fill="auto"/>
            <w:noWrap/>
          </w:tcPr>
          <w:p w14:paraId="1715A0D2" w14:textId="77777777" w:rsidR="00761B6C" w:rsidRPr="00236418" w:rsidRDefault="00761B6C" w:rsidP="00761B6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tcPr>
          <w:p w14:paraId="33C74FE3" w14:textId="77777777" w:rsidR="00761B6C" w:rsidRPr="00236418" w:rsidRDefault="00761B6C" w:rsidP="00761B6C">
            <w:pPr>
              <w:pStyle w:val="Tabletext"/>
              <w:spacing w:before="20" w:after="0"/>
              <w:jc w:val="right"/>
              <w:rPr>
                <w:rFonts w:asciiTheme="minorHAnsi" w:hAnsiTheme="minorHAnsi"/>
                <w:sz w:val="20"/>
                <w:lang w:eastAsia="fr-FR"/>
              </w:rPr>
            </w:pPr>
          </w:p>
        </w:tc>
        <w:tc>
          <w:tcPr>
            <w:tcW w:w="861" w:type="dxa"/>
            <w:tcBorders>
              <w:top w:val="nil"/>
              <w:left w:val="nil"/>
              <w:bottom w:val="nil"/>
              <w:right w:val="single" w:sz="8" w:space="0" w:color="auto"/>
            </w:tcBorders>
            <w:shd w:val="clear" w:color="auto" w:fill="auto"/>
            <w:noWrap/>
          </w:tcPr>
          <w:p w14:paraId="005088C4" w14:textId="77777777" w:rsidR="00761B6C" w:rsidRPr="00236418" w:rsidRDefault="00761B6C" w:rsidP="00761B6C">
            <w:pPr>
              <w:pStyle w:val="Tabletext"/>
              <w:spacing w:before="20" w:after="0"/>
              <w:jc w:val="right"/>
              <w:rPr>
                <w:rFonts w:asciiTheme="minorHAnsi" w:hAnsiTheme="minorHAnsi"/>
                <w:sz w:val="20"/>
                <w:lang w:eastAsia="fr-FR"/>
              </w:rPr>
            </w:pPr>
            <w:r w:rsidRPr="00A14B71">
              <w:rPr>
                <w:rFonts w:asciiTheme="minorHAnsi" w:hAnsiTheme="minorHAnsi"/>
                <w:sz w:val="20"/>
                <w:lang w:eastAsia="fr-FR"/>
              </w:rPr>
              <w:t>–</w:t>
            </w:r>
          </w:p>
        </w:tc>
      </w:tr>
      <w:tr w:rsidR="00761B6C" w:rsidRPr="00236418" w14:paraId="79452E2F" w14:textId="77777777" w:rsidTr="00761B6C">
        <w:trPr>
          <w:trHeight w:val="255"/>
          <w:jc w:val="center"/>
        </w:trPr>
        <w:tc>
          <w:tcPr>
            <w:tcW w:w="3818" w:type="dxa"/>
            <w:tcBorders>
              <w:top w:val="nil"/>
              <w:left w:val="single" w:sz="8" w:space="0" w:color="auto"/>
              <w:bottom w:val="nil"/>
              <w:right w:val="single" w:sz="4" w:space="0" w:color="auto"/>
            </w:tcBorders>
            <w:shd w:val="clear" w:color="auto" w:fill="auto"/>
            <w:hideMark/>
          </w:tcPr>
          <w:p w14:paraId="64341194" w14:textId="77777777" w:rsidR="00761B6C" w:rsidRPr="00236418" w:rsidRDefault="00761B6C" w:rsidP="00761B6C">
            <w:pPr>
              <w:pStyle w:val="Tabletext"/>
              <w:spacing w:before="20" w:after="0"/>
              <w:rPr>
                <w:rFonts w:asciiTheme="minorHAnsi" w:hAnsiTheme="minorHAnsi"/>
                <w:sz w:val="20"/>
                <w:lang w:eastAsia="fr-FR"/>
              </w:rPr>
            </w:pPr>
            <w:r w:rsidRPr="00236418">
              <w:rPr>
                <w:rFonts w:asciiTheme="minorHAnsi" w:hAnsiTheme="minorHAnsi"/>
                <w:sz w:val="20"/>
                <w:lang w:eastAsia="fr-FR"/>
              </w:rPr>
              <w:t>Cessions</w:t>
            </w:r>
          </w:p>
        </w:tc>
        <w:tc>
          <w:tcPr>
            <w:tcW w:w="1711" w:type="dxa"/>
            <w:tcBorders>
              <w:top w:val="nil"/>
              <w:left w:val="single" w:sz="4" w:space="0" w:color="auto"/>
              <w:bottom w:val="nil"/>
              <w:right w:val="nil"/>
            </w:tcBorders>
            <w:shd w:val="clear" w:color="auto" w:fill="auto"/>
            <w:noWrap/>
          </w:tcPr>
          <w:p w14:paraId="3C935965" w14:textId="77777777" w:rsidR="00761B6C" w:rsidRPr="00236418" w:rsidRDefault="00761B6C" w:rsidP="00761B6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tcPr>
          <w:p w14:paraId="7BD9507A" w14:textId="77777777" w:rsidR="00761B6C" w:rsidRPr="00236418" w:rsidRDefault="00761B6C" w:rsidP="00761B6C">
            <w:pPr>
              <w:pStyle w:val="Tabletext"/>
              <w:spacing w:before="20" w:after="0"/>
              <w:jc w:val="right"/>
              <w:rPr>
                <w:rFonts w:asciiTheme="minorHAnsi" w:hAnsiTheme="minorHAnsi"/>
                <w:sz w:val="20"/>
                <w:lang w:eastAsia="fr-FR"/>
              </w:rPr>
            </w:pPr>
          </w:p>
        </w:tc>
        <w:tc>
          <w:tcPr>
            <w:tcW w:w="861" w:type="dxa"/>
            <w:tcBorders>
              <w:top w:val="nil"/>
              <w:left w:val="nil"/>
              <w:bottom w:val="nil"/>
              <w:right w:val="single" w:sz="8" w:space="0" w:color="auto"/>
            </w:tcBorders>
            <w:shd w:val="clear" w:color="auto" w:fill="auto"/>
            <w:noWrap/>
          </w:tcPr>
          <w:p w14:paraId="5AF161E3" w14:textId="77777777" w:rsidR="00761B6C" w:rsidRPr="00236418" w:rsidRDefault="00761B6C" w:rsidP="00761B6C">
            <w:pPr>
              <w:pStyle w:val="Tabletext"/>
              <w:spacing w:before="20" w:after="0"/>
              <w:jc w:val="right"/>
              <w:rPr>
                <w:rFonts w:asciiTheme="minorHAnsi" w:hAnsiTheme="minorHAnsi"/>
                <w:sz w:val="20"/>
                <w:lang w:eastAsia="fr-FR"/>
              </w:rPr>
            </w:pPr>
            <w:r w:rsidRPr="00A14B71">
              <w:rPr>
                <w:rFonts w:asciiTheme="minorHAnsi" w:hAnsiTheme="minorHAnsi"/>
                <w:sz w:val="20"/>
                <w:lang w:eastAsia="fr-FR"/>
              </w:rPr>
              <w:t>–</w:t>
            </w:r>
          </w:p>
        </w:tc>
      </w:tr>
      <w:tr w:rsidR="00761B6C" w:rsidRPr="00236418" w14:paraId="78F06AEF" w14:textId="77777777" w:rsidTr="00761B6C">
        <w:trPr>
          <w:trHeight w:val="255"/>
          <w:jc w:val="center"/>
        </w:trPr>
        <w:tc>
          <w:tcPr>
            <w:tcW w:w="3818" w:type="dxa"/>
            <w:tcBorders>
              <w:top w:val="nil"/>
              <w:left w:val="single" w:sz="8" w:space="0" w:color="auto"/>
              <w:bottom w:val="nil"/>
              <w:right w:val="single" w:sz="4" w:space="0" w:color="auto"/>
            </w:tcBorders>
            <w:shd w:val="clear" w:color="auto" w:fill="auto"/>
            <w:hideMark/>
          </w:tcPr>
          <w:p w14:paraId="6E09B06A" w14:textId="77777777" w:rsidR="00761B6C" w:rsidRPr="00236418" w:rsidRDefault="00761B6C" w:rsidP="00761B6C">
            <w:pPr>
              <w:pStyle w:val="Tabletext"/>
              <w:spacing w:before="20" w:after="0"/>
              <w:rPr>
                <w:rFonts w:asciiTheme="minorHAnsi" w:hAnsiTheme="minorHAnsi"/>
                <w:sz w:val="20"/>
                <w:lang w:eastAsia="fr-FR"/>
              </w:rPr>
            </w:pPr>
            <w:r w:rsidRPr="00236418">
              <w:rPr>
                <w:rFonts w:asciiTheme="minorHAnsi" w:hAnsiTheme="minorHAnsi"/>
                <w:sz w:val="20"/>
                <w:lang w:eastAsia="fr-FR"/>
              </w:rPr>
              <w:t>Pertes de valeur</w:t>
            </w:r>
          </w:p>
        </w:tc>
        <w:tc>
          <w:tcPr>
            <w:tcW w:w="1711" w:type="dxa"/>
            <w:tcBorders>
              <w:top w:val="nil"/>
              <w:left w:val="single" w:sz="4" w:space="0" w:color="auto"/>
              <w:bottom w:val="nil"/>
              <w:right w:val="nil"/>
            </w:tcBorders>
            <w:shd w:val="clear" w:color="auto" w:fill="auto"/>
            <w:noWrap/>
          </w:tcPr>
          <w:p w14:paraId="04C1CFB8" w14:textId="77777777" w:rsidR="00761B6C" w:rsidRPr="00236418" w:rsidRDefault="00761B6C" w:rsidP="00761B6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tcPr>
          <w:p w14:paraId="1A4A670A" w14:textId="77777777" w:rsidR="00761B6C" w:rsidRPr="00236418" w:rsidRDefault="00761B6C" w:rsidP="00761B6C">
            <w:pPr>
              <w:pStyle w:val="Tabletext"/>
              <w:spacing w:before="20" w:after="0"/>
              <w:jc w:val="right"/>
              <w:rPr>
                <w:rFonts w:asciiTheme="minorHAnsi" w:hAnsiTheme="minorHAnsi"/>
                <w:sz w:val="20"/>
                <w:lang w:eastAsia="fr-FR"/>
              </w:rPr>
            </w:pPr>
          </w:p>
        </w:tc>
        <w:tc>
          <w:tcPr>
            <w:tcW w:w="861" w:type="dxa"/>
            <w:tcBorders>
              <w:top w:val="nil"/>
              <w:left w:val="nil"/>
              <w:bottom w:val="nil"/>
              <w:right w:val="single" w:sz="8" w:space="0" w:color="auto"/>
            </w:tcBorders>
            <w:shd w:val="clear" w:color="auto" w:fill="auto"/>
            <w:noWrap/>
          </w:tcPr>
          <w:p w14:paraId="335FB004" w14:textId="77777777" w:rsidR="00761B6C" w:rsidRPr="00236418" w:rsidRDefault="00761B6C" w:rsidP="00761B6C">
            <w:pPr>
              <w:pStyle w:val="Tabletext"/>
              <w:spacing w:before="20" w:after="0"/>
              <w:jc w:val="right"/>
              <w:rPr>
                <w:rFonts w:asciiTheme="minorHAnsi" w:hAnsiTheme="minorHAnsi"/>
                <w:sz w:val="20"/>
                <w:lang w:eastAsia="fr-FR"/>
              </w:rPr>
            </w:pPr>
            <w:r w:rsidRPr="00A14B71">
              <w:rPr>
                <w:rFonts w:asciiTheme="minorHAnsi" w:hAnsiTheme="minorHAnsi"/>
                <w:sz w:val="20"/>
                <w:lang w:eastAsia="fr-FR"/>
              </w:rPr>
              <w:t>–</w:t>
            </w:r>
          </w:p>
        </w:tc>
      </w:tr>
      <w:tr w:rsidR="00761B6C" w:rsidRPr="00236418" w14:paraId="3D8B9DE5" w14:textId="77777777" w:rsidTr="00761B6C">
        <w:trPr>
          <w:trHeight w:val="255"/>
          <w:jc w:val="center"/>
        </w:trPr>
        <w:tc>
          <w:tcPr>
            <w:tcW w:w="3818" w:type="dxa"/>
            <w:tcBorders>
              <w:top w:val="nil"/>
              <w:left w:val="single" w:sz="8" w:space="0" w:color="auto"/>
              <w:bottom w:val="nil"/>
              <w:right w:val="single" w:sz="4" w:space="0" w:color="auto"/>
            </w:tcBorders>
            <w:shd w:val="clear" w:color="auto" w:fill="auto"/>
            <w:hideMark/>
          </w:tcPr>
          <w:p w14:paraId="3A4338BA" w14:textId="77777777" w:rsidR="00761B6C" w:rsidRPr="00236418" w:rsidRDefault="00761B6C" w:rsidP="00761B6C">
            <w:pPr>
              <w:pStyle w:val="Tabletext"/>
              <w:spacing w:before="20" w:after="0"/>
              <w:rPr>
                <w:rFonts w:asciiTheme="minorHAnsi" w:hAnsiTheme="minorHAnsi"/>
                <w:sz w:val="20"/>
                <w:lang w:eastAsia="fr-FR"/>
              </w:rPr>
            </w:pPr>
            <w:r w:rsidRPr="00236418">
              <w:rPr>
                <w:rFonts w:asciiTheme="minorHAnsi" w:hAnsiTheme="minorHAnsi"/>
                <w:sz w:val="20"/>
                <w:lang w:eastAsia="fr-FR"/>
              </w:rPr>
              <w:t>Reclassements et corrections</w:t>
            </w:r>
          </w:p>
        </w:tc>
        <w:tc>
          <w:tcPr>
            <w:tcW w:w="1711" w:type="dxa"/>
            <w:tcBorders>
              <w:top w:val="nil"/>
              <w:left w:val="single" w:sz="4" w:space="0" w:color="auto"/>
              <w:bottom w:val="nil"/>
              <w:right w:val="nil"/>
            </w:tcBorders>
            <w:shd w:val="clear" w:color="auto" w:fill="auto"/>
            <w:noWrap/>
          </w:tcPr>
          <w:p w14:paraId="3FE4129C" w14:textId="77777777" w:rsidR="00761B6C" w:rsidRPr="00236418" w:rsidRDefault="00761B6C" w:rsidP="00761B6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tcPr>
          <w:p w14:paraId="2BAAB8C0" w14:textId="77777777" w:rsidR="00761B6C" w:rsidRPr="00236418" w:rsidRDefault="00761B6C" w:rsidP="00761B6C">
            <w:pPr>
              <w:pStyle w:val="Tabletext"/>
              <w:spacing w:before="20" w:after="0"/>
              <w:jc w:val="right"/>
              <w:rPr>
                <w:rFonts w:asciiTheme="minorHAnsi" w:hAnsiTheme="minorHAnsi"/>
                <w:sz w:val="20"/>
                <w:lang w:eastAsia="fr-FR"/>
              </w:rPr>
            </w:pPr>
          </w:p>
        </w:tc>
        <w:tc>
          <w:tcPr>
            <w:tcW w:w="861" w:type="dxa"/>
            <w:tcBorders>
              <w:top w:val="nil"/>
              <w:left w:val="nil"/>
              <w:bottom w:val="nil"/>
              <w:right w:val="single" w:sz="8" w:space="0" w:color="auto"/>
            </w:tcBorders>
            <w:shd w:val="clear" w:color="auto" w:fill="auto"/>
            <w:noWrap/>
          </w:tcPr>
          <w:p w14:paraId="4F7E5B91" w14:textId="77777777" w:rsidR="00761B6C" w:rsidRPr="00236418" w:rsidRDefault="00761B6C" w:rsidP="00761B6C">
            <w:pPr>
              <w:pStyle w:val="Tabletext"/>
              <w:spacing w:before="20" w:after="0"/>
              <w:jc w:val="right"/>
              <w:rPr>
                <w:rFonts w:asciiTheme="minorHAnsi" w:hAnsiTheme="minorHAnsi"/>
                <w:sz w:val="20"/>
                <w:lang w:eastAsia="fr-FR"/>
              </w:rPr>
            </w:pPr>
            <w:r w:rsidRPr="00A14B71">
              <w:rPr>
                <w:rFonts w:asciiTheme="minorHAnsi" w:hAnsiTheme="minorHAnsi"/>
                <w:sz w:val="20"/>
                <w:lang w:eastAsia="fr-FR"/>
              </w:rPr>
              <w:t>–</w:t>
            </w:r>
          </w:p>
        </w:tc>
      </w:tr>
      <w:tr w:rsidR="00761B6C" w:rsidRPr="00236418" w14:paraId="5579AC39" w14:textId="77777777" w:rsidTr="00761B6C">
        <w:trPr>
          <w:trHeight w:val="255"/>
          <w:jc w:val="center"/>
        </w:trPr>
        <w:tc>
          <w:tcPr>
            <w:tcW w:w="3818" w:type="dxa"/>
            <w:tcBorders>
              <w:top w:val="nil"/>
              <w:left w:val="single" w:sz="8" w:space="0" w:color="auto"/>
              <w:bottom w:val="nil"/>
              <w:right w:val="single" w:sz="4" w:space="0" w:color="auto"/>
            </w:tcBorders>
            <w:shd w:val="clear" w:color="auto" w:fill="auto"/>
            <w:hideMark/>
          </w:tcPr>
          <w:p w14:paraId="30353A53" w14:textId="77777777" w:rsidR="00761B6C" w:rsidRPr="00236418" w:rsidRDefault="00761B6C" w:rsidP="00761B6C">
            <w:pPr>
              <w:pStyle w:val="Tabletext"/>
              <w:spacing w:before="20" w:after="0"/>
              <w:rPr>
                <w:rFonts w:asciiTheme="minorHAnsi" w:hAnsiTheme="minorHAnsi"/>
                <w:sz w:val="20"/>
                <w:lang w:eastAsia="fr-FR"/>
              </w:rPr>
            </w:pPr>
            <w:r w:rsidRPr="00236418">
              <w:rPr>
                <w:rFonts w:asciiTheme="minorHAnsi" w:hAnsiTheme="minorHAnsi"/>
                <w:sz w:val="20"/>
                <w:lang w:eastAsia="fr-FR"/>
              </w:rPr>
              <w:t>Réévaluations</w:t>
            </w:r>
          </w:p>
        </w:tc>
        <w:tc>
          <w:tcPr>
            <w:tcW w:w="1711" w:type="dxa"/>
            <w:tcBorders>
              <w:top w:val="nil"/>
              <w:left w:val="single" w:sz="4" w:space="0" w:color="auto"/>
              <w:bottom w:val="nil"/>
              <w:right w:val="nil"/>
            </w:tcBorders>
            <w:shd w:val="clear" w:color="auto" w:fill="auto"/>
            <w:noWrap/>
          </w:tcPr>
          <w:p w14:paraId="050B5DB8" w14:textId="77777777" w:rsidR="00761B6C" w:rsidRPr="00236418" w:rsidRDefault="00761B6C" w:rsidP="00761B6C">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tcPr>
          <w:p w14:paraId="20170DF9" w14:textId="77777777" w:rsidR="00761B6C" w:rsidRPr="00236418" w:rsidRDefault="00761B6C" w:rsidP="00761B6C">
            <w:pPr>
              <w:pStyle w:val="Tabletext"/>
              <w:spacing w:before="20" w:after="0"/>
              <w:jc w:val="right"/>
              <w:rPr>
                <w:rFonts w:asciiTheme="minorHAnsi" w:hAnsiTheme="minorHAnsi"/>
                <w:sz w:val="20"/>
                <w:lang w:eastAsia="fr-FR"/>
              </w:rPr>
            </w:pPr>
          </w:p>
        </w:tc>
        <w:tc>
          <w:tcPr>
            <w:tcW w:w="861" w:type="dxa"/>
            <w:tcBorders>
              <w:top w:val="nil"/>
              <w:left w:val="nil"/>
              <w:bottom w:val="nil"/>
              <w:right w:val="single" w:sz="8" w:space="0" w:color="auto"/>
            </w:tcBorders>
            <w:shd w:val="clear" w:color="auto" w:fill="auto"/>
            <w:noWrap/>
          </w:tcPr>
          <w:p w14:paraId="2F7FD0CA" w14:textId="77777777" w:rsidR="00761B6C" w:rsidRPr="00236418" w:rsidRDefault="00761B6C" w:rsidP="00761B6C">
            <w:pPr>
              <w:pStyle w:val="Tabletext"/>
              <w:spacing w:before="20" w:after="0"/>
              <w:jc w:val="right"/>
              <w:rPr>
                <w:rFonts w:asciiTheme="minorHAnsi" w:hAnsiTheme="minorHAnsi"/>
                <w:sz w:val="20"/>
                <w:lang w:eastAsia="fr-FR"/>
              </w:rPr>
            </w:pPr>
            <w:r w:rsidRPr="00A14B71">
              <w:rPr>
                <w:rFonts w:asciiTheme="minorHAnsi" w:hAnsiTheme="minorHAnsi"/>
                <w:sz w:val="20"/>
                <w:lang w:eastAsia="fr-FR"/>
              </w:rPr>
              <w:t>–</w:t>
            </w:r>
          </w:p>
        </w:tc>
      </w:tr>
      <w:tr w:rsidR="00761B6C" w:rsidRPr="00236418" w14:paraId="1D749485" w14:textId="77777777" w:rsidTr="00761B6C">
        <w:trPr>
          <w:trHeight w:val="319"/>
          <w:jc w:val="center"/>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D0F48D" w14:textId="77777777" w:rsidR="00761B6C" w:rsidRPr="00236418" w:rsidRDefault="00761B6C" w:rsidP="00761B6C">
            <w:pPr>
              <w:pStyle w:val="Tablehead"/>
              <w:spacing w:before="0" w:after="0"/>
              <w:jc w:val="left"/>
              <w:rPr>
                <w:rFonts w:asciiTheme="minorHAnsi" w:hAnsiTheme="minorHAnsi"/>
                <w:sz w:val="20"/>
              </w:rPr>
            </w:pPr>
            <w:r w:rsidRPr="00236418">
              <w:rPr>
                <w:rFonts w:asciiTheme="minorHAnsi" w:hAnsiTheme="minorHAnsi"/>
                <w:sz w:val="20"/>
              </w:rPr>
              <w:t xml:space="preserve">Amortissement au 31 décembre </w:t>
            </w:r>
          </w:p>
        </w:tc>
        <w:tc>
          <w:tcPr>
            <w:tcW w:w="1711" w:type="dxa"/>
            <w:tcBorders>
              <w:top w:val="single" w:sz="4" w:space="0" w:color="auto"/>
              <w:left w:val="single" w:sz="4" w:space="0" w:color="auto"/>
              <w:bottom w:val="single" w:sz="4" w:space="0" w:color="auto"/>
              <w:right w:val="nil"/>
            </w:tcBorders>
            <w:shd w:val="clear" w:color="auto" w:fill="auto"/>
            <w:vAlign w:val="center"/>
          </w:tcPr>
          <w:p w14:paraId="6642AA00" w14:textId="77777777" w:rsidR="00761B6C" w:rsidRPr="00236418" w:rsidRDefault="00761B6C" w:rsidP="00761B6C">
            <w:pPr>
              <w:spacing w:before="0"/>
              <w:jc w:val="right"/>
              <w:rPr>
                <w:sz w:val="20"/>
              </w:rPr>
            </w:pPr>
            <w:r w:rsidRPr="00A14B71">
              <w:rPr>
                <w:sz w:val="20"/>
              </w:rPr>
              <w:t>–</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0A79B" w14:textId="77777777" w:rsidR="00761B6C" w:rsidRPr="00236418" w:rsidRDefault="00761B6C" w:rsidP="00761B6C">
            <w:pPr>
              <w:spacing w:before="0"/>
              <w:jc w:val="right"/>
              <w:rPr>
                <w:sz w:val="20"/>
              </w:rPr>
            </w:pPr>
            <w:r w:rsidRPr="00A14B71">
              <w:rPr>
                <w:sz w:val="20"/>
              </w:rPr>
              <w:t>–</w:t>
            </w:r>
          </w:p>
        </w:tc>
        <w:tc>
          <w:tcPr>
            <w:tcW w:w="861" w:type="dxa"/>
            <w:tcBorders>
              <w:top w:val="single" w:sz="4" w:space="0" w:color="auto"/>
              <w:left w:val="nil"/>
              <w:bottom w:val="single" w:sz="4" w:space="0" w:color="auto"/>
              <w:right w:val="single" w:sz="8" w:space="0" w:color="auto"/>
            </w:tcBorders>
            <w:shd w:val="clear" w:color="auto" w:fill="auto"/>
            <w:vAlign w:val="center"/>
          </w:tcPr>
          <w:p w14:paraId="30AAA479" w14:textId="77777777" w:rsidR="00761B6C" w:rsidRPr="00236418" w:rsidRDefault="00761B6C" w:rsidP="00761B6C">
            <w:pPr>
              <w:pStyle w:val="Tablehead"/>
              <w:spacing w:before="0" w:after="0"/>
              <w:jc w:val="right"/>
              <w:rPr>
                <w:rFonts w:asciiTheme="minorHAnsi" w:hAnsiTheme="minorHAnsi"/>
                <w:b w:val="0"/>
                <w:bCs/>
                <w:sz w:val="20"/>
              </w:rPr>
            </w:pPr>
            <w:r w:rsidRPr="00A14B71">
              <w:rPr>
                <w:rFonts w:asciiTheme="minorHAnsi" w:hAnsiTheme="minorHAnsi"/>
                <w:b w:val="0"/>
                <w:bCs/>
                <w:sz w:val="20"/>
              </w:rPr>
              <w:t>–</w:t>
            </w:r>
          </w:p>
        </w:tc>
      </w:tr>
      <w:tr w:rsidR="00761B6C" w:rsidRPr="00236418" w14:paraId="15B43BD8" w14:textId="77777777" w:rsidTr="00761B6C">
        <w:trPr>
          <w:trHeight w:val="366"/>
          <w:jc w:val="center"/>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1C726EA3" w14:textId="77777777" w:rsidR="00761B6C" w:rsidRPr="00236418" w:rsidRDefault="00761B6C" w:rsidP="00761B6C">
            <w:pPr>
              <w:pStyle w:val="Tablehead"/>
              <w:spacing w:before="0" w:after="0"/>
              <w:jc w:val="left"/>
              <w:rPr>
                <w:rFonts w:asciiTheme="minorHAnsi" w:hAnsiTheme="minorHAnsi"/>
                <w:sz w:val="20"/>
              </w:rPr>
            </w:pPr>
            <w:r w:rsidRPr="00236418">
              <w:rPr>
                <w:rFonts w:asciiTheme="minorHAnsi" w:hAnsiTheme="minorHAnsi"/>
                <w:sz w:val="20"/>
              </w:rPr>
              <w:t xml:space="preserve">Valeur comptable nette au 1er janvier </w:t>
            </w:r>
          </w:p>
        </w:tc>
        <w:tc>
          <w:tcPr>
            <w:tcW w:w="1711" w:type="dxa"/>
            <w:tcBorders>
              <w:top w:val="nil"/>
              <w:left w:val="single" w:sz="4" w:space="0" w:color="auto"/>
              <w:bottom w:val="single" w:sz="4" w:space="0" w:color="auto"/>
              <w:right w:val="nil"/>
            </w:tcBorders>
            <w:shd w:val="clear" w:color="auto" w:fill="auto"/>
            <w:vAlign w:val="center"/>
          </w:tcPr>
          <w:p w14:paraId="6D0B1F28"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3 948</w:t>
            </w:r>
          </w:p>
        </w:tc>
        <w:tc>
          <w:tcPr>
            <w:tcW w:w="1691" w:type="dxa"/>
            <w:tcBorders>
              <w:top w:val="nil"/>
              <w:left w:val="single" w:sz="4" w:space="0" w:color="auto"/>
              <w:bottom w:val="single" w:sz="4" w:space="0" w:color="auto"/>
              <w:right w:val="single" w:sz="4" w:space="0" w:color="auto"/>
            </w:tcBorders>
            <w:shd w:val="clear" w:color="auto" w:fill="auto"/>
            <w:vAlign w:val="center"/>
          </w:tcPr>
          <w:p w14:paraId="5EB7275B"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1 243</w:t>
            </w:r>
          </w:p>
        </w:tc>
        <w:tc>
          <w:tcPr>
            <w:tcW w:w="861" w:type="dxa"/>
            <w:tcBorders>
              <w:top w:val="nil"/>
              <w:left w:val="nil"/>
              <w:bottom w:val="single" w:sz="4" w:space="0" w:color="auto"/>
              <w:right w:val="single" w:sz="8" w:space="0" w:color="auto"/>
            </w:tcBorders>
            <w:shd w:val="clear" w:color="auto" w:fill="auto"/>
            <w:vAlign w:val="center"/>
          </w:tcPr>
          <w:p w14:paraId="336DC891"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5 191</w:t>
            </w:r>
          </w:p>
        </w:tc>
      </w:tr>
      <w:tr w:rsidR="00761B6C" w:rsidRPr="00236418" w14:paraId="6BC8910C" w14:textId="77777777" w:rsidTr="00761B6C">
        <w:trPr>
          <w:trHeight w:val="415"/>
          <w:jc w:val="center"/>
        </w:trPr>
        <w:tc>
          <w:tcPr>
            <w:tcW w:w="3818" w:type="dxa"/>
            <w:tcBorders>
              <w:top w:val="nil"/>
              <w:left w:val="single" w:sz="8" w:space="0" w:color="auto"/>
              <w:bottom w:val="single" w:sz="8" w:space="0" w:color="auto"/>
              <w:right w:val="single" w:sz="4" w:space="0" w:color="auto"/>
            </w:tcBorders>
            <w:shd w:val="clear" w:color="auto" w:fill="auto"/>
            <w:vAlign w:val="center"/>
            <w:hideMark/>
          </w:tcPr>
          <w:p w14:paraId="3E6886CA" w14:textId="77777777" w:rsidR="00761B6C" w:rsidRPr="00236418" w:rsidRDefault="00761B6C" w:rsidP="00761B6C">
            <w:pPr>
              <w:pStyle w:val="Tablehead"/>
              <w:spacing w:before="0" w:after="0"/>
              <w:jc w:val="left"/>
              <w:rPr>
                <w:rFonts w:asciiTheme="minorHAnsi" w:hAnsiTheme="minorHAnsi"/>
                <w:sz w:val="20"/>
              </w:rPr>
            </w:pPr>
            <w:r w:rsidRPr="00236418">
              <w:rPr>
                <w:rFonts w:asciiTheme="minorHAnsi" w:hAnsiTheme="minorHAnsi"/>
                <w:sz w:val="20"/>
              </w:rPr>
              <w:t xml:space="preserve">Valeur comptable nette au 31 décembre </w:t>
            </w:r>
          </w:p>
        </w:tc>
        <w:tc>
          <w:tcPr>
            <w:tcW w:w="1711" w:type="dxa"/>
            <w:tcBorders>
              <w:top w:val="nil"/>
              <w:left w:val="single" w:sz="4" w:space="0" w:color="auto"/>
              <w:bottom w:val="single" w:sz="8" w:space="0" w:color="auto"/>
              <w:right w:val="nil"/>
            </w:tcBorders>
            <w:shd w:val="clear" w:color="auto" w:fill="auto"/>
            <w:vAlign w:val="center"/>
          </w:tcPr>
          <w:p w14:paraId="4B07CB80"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8 176</w:t>
            </w:r>
          </w:p>
        </w:tc>
        <w:tc>
          <w:tcPr>
            <w:tcW w:w="1691" w:type="dxa"/>
            <w:tcBorders>
              <w:top w:val="nil"/>
              <w:left w:val="single" w:sz="4" w:space="0" w:color="auto"/>
              <w:bottom w:val="single" w:sz="8" w:space="0" w:color="auto"/>
              <w:right w:val="single" w:sz="4" w:space="0" w:color="auto"/>
            </w:tcBorders>
            <w:shd w:val="clear" w:color="auto" w:fill="auto"/>
            <w:vAlign w:val="center"/>
          </w:tcPr>
          <w:p w14:paraId="0516B85B"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1 267</w:t>
            </w:r>
          </w:p>
        </w:tc>
        <w:tc>
          <w:tcPr>
            <w:tcW w:w="861" w:type="dxa"/>
            <w:tcBorders>
              <w:top w:val="nil"/>
              <w:left w:val="nil"/>
              <w:bottom w:val="single" w:sz="8" w:space="0" w:color="auto"/>
              <w:right w:val="single" w:sz="8" w:space="0" w:color="auto"/>
            </w:tcBorders>
            <w:shd w:val="clear" w:color="auto" w:fill="auto"/>
            <w:vAlign w:val="center"/>
          </w:tcPr>
          <w:p w14:paraId="53AB4024" w14:textId="77777777" w:rsidR="00761B6C" w:rsidRPr="00236418" w:rsidRDefault="00761B6C" w:rsidP="00761B6C">
            <w:pPr>
              <w:pStyle w:val="Tablehead"/>
              <w:spacing w:before="0" w:after="0"/>
              <w:jc w:val="right"/>
              <w:rPr>
                <w:rFonts w:asciiTheme="minorHAnsi" w:hAnsiTheme="minorHAnsi"/>
                <w:sz w:val="20"/>
              </w:rPr>
            </w:pPr>
            <w:r>
              <w:rPr>
                <w:rFonts w:asciiTheme="minorHAnsi" w:hAnsiTheme="minorHAnsi"/>
                <w:sz w:val="20"/>
              </w:rPr>
              <w:t>9 443</w:t>
            </w:r>
          </w:p>
        </w:tc>
      </w:tr>
    </w:tbl>
    <w:p w14:paraId="08716FC0" w14:textId="77777777" w:rsidR="00761B6C" w:rsidRPr="00236418" w:rsidRDefault="00761B6C" w:rsidP="00761B6C">
      <w:pPr>
        <w:spacing w:before="240"/>
      </w:pPr>
      <w:bookmarkStart w:id="1729" w:name="_Toc511651223"/>
      <w:bookmarkStart w:id="1730" w:name="_Toc511724088"/>
      <w:bookmarkStart w:id="1731" w:name="_Toc511739077"/>
      <w:bookmarkStart w:id="1732" w:name="_Toc511741246"/>
      <w:r w:rsidRPr="00236418">
        <w:lastRenderedPageBreak/>
        <w:t>Il a été décidé de publier séparément les biens en construction en prévision du projet concernant le nouveau bâtiment, de façon à permettre le suivi transparent du projet pendant la phase de construction.</w:t>
      </w:r>
    </w:p>
    <w:p w14:paraId="02D8CBEE" w14:textId="77777777" w:rsidR="00761B6C" w:rsidRPr="00236418" w:rsidRDefault="00761B6C" w:rsidP="000C047C">
      <w:pPr>
        <w:pStyle w:val="Heading1"/>
        <w:spacing w:before="240" w:after="240"/>
        <w:rPr>
          <w:sz w:val="24"/>
          <w:szCs w:val="24"/>
        </w:rPr>
      </w:pPr>
      <w:bookmarkStart w:id="1733" w:name="_Toc10450752"/>
      <w:bookmarkStart w:id="1734" w:name="_Toc41566352"/>
      <w:bookmarkStart w:id="1735" w:name="_Toc41567360"/>
      <w:bookmarkStart w:id="1736" w:name="_Toc41567863"/>
      <w:bookmarkStart w:id="1737" w:name="_Toc41814958"/>
      <w:bookmarkStart w:id="1738" w:name="_Toc73354447"/>
      <w:bookmarkStart w:id="1739" w:name="_Toc73356423"/>
      <w:r w:rsidRPr="00236418">
        <w:rPr>
          <w:sz w:val="24"/>
          <w:szCs w:val="24"/>
        </w:rPr>
        <w:t>Note 14</w:t>
      </w:r>
      <w:r w:rsidRPr="00236418">
        <w:rPr>
          <w:sz w:val="24"/>
          <w:szCs w:val="24"/>
        </w:rPr>
        <w:tab/>
        <w:t>Fournisseurs et autres créanciers</w:t>
      </w:r>
      <w:bookmarkEnd w:id="1729"/>
      <w:bookmarkEnd w:id="1730"/>
      <w:bookmarkEnd w:id="1731"/>
      <w:bookmarkEnd w:id="1732"/>
      <w:bookmarkEnd w:id="1733"/>
      <w:bookmarkEnd w:id="1734"/>
      <w:bookmarkEnd w:id="1735"/>
      <w:bookmarkEnd w:id="1736"/>
      <w:bookmarkEnd w:id="1737"/>
      <w:bookmarkEnd w:id="1738"/>
      <w:bookmarkEnd w:id="1739"/>
    </w:p>
    <w:tbl>
      <w:tblPr>
        <w:tblW w:w="8089" w:type="dxa"/>
        <w:jc w:val="center"/>
        <w:tblLayout w:type="fixed"/>
        <w:tblLook w:val="04A0" w:firstRow="1" w:lastRow="0" w:firstColumn="1" w:lastColumn="0" w:noHBand="0" w:noVBand="1"/>
      </w:tblPr>
      <w:tblGrid>
        <w:gridCol w:w="4629"/>
        <w:gridCol w:w="1819"/>
        <w:gridCol w:w="1641"/>
      </w:tblGrid>
      <w:tr w:rsidR="00761B6C" w:rsidRPr="00236418" w14:paraId="2AAD7ADF" w14:textId="77777777" w:rsidTr="000C047C">
        <w:trPr>
          <w:trHeight w:val="499"/>
          <w:jc w:val="center"/>
        </w:trPr>
        <w:tc>
          <w:tcPr>
            <w:tcW w:w="4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41F42" w14:textId="77777777" w:rsidR="00761B6C" w:rsidRPr="00236418" w:rsidRDefault="00761B6C" w:rsidP="00761B6C">
            <w:pPr>
              <w:pStyle w:val="Tablehead"/>
              <w:spacing w:before="0" w:after="0"/>
              <w:rPr>
                <w:rFonts w:asciiTheme="minorHAnsi" w:hAnsiTheme="minorHAnsi"/>
                <w:sz w:val="20"/>
              </w:rPr>
            </w:pPr>
            <w:r w:rsidRPr="00236418">
              <w:rPr>
                <w:rFonts w:asciiTheme="minorHAnsi" w:hAnsiTheme="minorHAnsi"/>
                <w:sz w:val="20"/>
              </w:rPr>
              <w:t>En milliers de CHF</w:t>
            </w:r>
          </w:p>
        </w:tc>
        <w:tc>
          <w:tcPr>
            <w:tcW w:w="1819" w:type="dxa"/>
            <w:tcBorders>
              <w:top w:val="single" w:sz="4" w:space="0" w:color="auto"/>
              <w:left w:val="nil"/>
              <w:bottom w:val="single" w:sz="4" w:space="0" w:color="auto"/>
              <w:right w:val="single" w:sz="4" w:space="0" w:color="auto"/>
            </w:tcBorders>
            <w:shd w:val="clear" w:color="auto" w:fill="auto"/>
            <w:vAlign w:val="center"/>
          </w:tcPr>
          <w:p w14:paraId="690010DA" w14:textId="77777777" w:rsidR="00761B6C" w:rsidRPr="00236418" w:rsidRDefault="00761B6C" w:rsidP="00761B6C">
            <w:pPr>
              <w:pStyle w:val="Tablehead"/>
              <w:spacing w:before="0" w:after="0"/>
              <w:rPr>
                <w:rFonts w:asciiTheme="minorHAnsi" w:hAnsiTheme="minorHAnsi"/>
                <w:sz w:val="20"/>
              </w:rPr>
            </w:pPr>
            <w:r>
              <w:rPr>
                <w:rFonts w:asciiTheme="minorHAnsi" w:hAnsiTheme="minorHAnsi"/>
                <w:sz w:val="20"/>
              </w:rPr>
              <w:t>31.12.2020</w:t>
            </w:r>
          </w:p>
        </w:tc>
        <w:tc>
          <w:tcPr>
            <w:tcW w:w="1641" w:type="dxa"/>
            <w:tcBorders>
              <w:top w:val="single" w:sz="4" w:space="0" w:color="auto"/>
              <w:left w:val="nil"/>
              <w:bottom w:val="single" w:sz="4" w:space="0" w:color="auto"/>
              <w:right w:val="single" w:sz="4" w:space="0" w:color="auto"/>
            </w:tcBorders>
            <w:vAlign w:val="center"/>
          </w:tcPr>
          <w:p w14:paraId="42935EED" w14:textId="77777777" w:rsidR="00761B6C" w:rsidRPr="00236418" w:rsidRDefault="00761B6C" w:rsidP="00761B6C">
            <w:pPr>
              <w:pStyle w:val="Tablehead"/>
              <w:spacing w:before="0" w:after="0"/>
              <w:rPr>
                <w:rFonts w:asciiTheme="minorHAnsi" w:hAnsiTheme="minorHAnsi"/>
                <w:sz w:val="20"/>
              </w:rPr>
            </w:pPr>
            <w:r w:rsidRPr="00236418">
              <w:rPr>
                <w:rFonts w:asciiTheme="minorHAnsi" w:hAnsiTheme="minorHAnsi"/>
                <w:sz w:val="20"/>
              </w:rPr>
              <w:t>31.12.2019</w:t>
            </w:r>
          </w:p>
        </w:tc>
      </w:tr>
      <w:tr w:rsidR="00761B6C" w:rsidRPr="00236418" w14:paraId="1C0CCA10" w14:textId="77777777" w:rsidTr="000C047C">
        <w:trPr>
          <w:trHeight w:val="255"/>
          <w:jc w:val="center"/>
        </w:trPr>
        <w:tc>
          <w:tcPr>
            <w:tcW w:w="4629" w:type="dxa"/>
            <w:tcBorders>
              <w:top w:val="single" w:sz="4" w:space="0" w:color="auto"/>
              <w:left w:val="single" w:sz="4" w:space="0" w:color="auto"/>
              <w:bottom w:val="nil"/>
              <w:right w:val="single" w:sz="4" w:space="0" w:color="auto"/>
            </w:tcBorders>
            <w:shd w:val="clear" w:color="auto" w:fill="auto"/>
            <w:noWrap/>
            <w:vAlign w:val="bottom"/>
          </w:tcPr>
          <w:p w14:paraId="5C4F8F82" w14:textId="77777777" w:rsidR="00761B6C" w:rsidRPr="00236418" w:rsidRDefault="00761B6C" w:rsidP="000C047C">
            <w:pPr>
              <w:pStyle w:val="Tabletext"/>
              <w:spacing w:before="40" w:after="40"/>
              <w:rPr>
                <w:rFonts w:asciiTheme="minorHAnsi" w:hAnsiTheme="minorHAnsi"/>
                <w:sz w:val="20"/>
                <w:lang w:eastAsia="fr-FR"/>
              </w:rPr>
            </w:pPr>
            <w:r w:rsidRPr="00236418">
              <w:rPr>
                <w:rFonts w:asciiTheme="minorHAnsi" w:hAnsiTheme="minorHAnsi"/>
                <w:sz w:val="20"/>
                <w:lang w:eastAsia="fr-FR"/>
              </w:rPr>
              <w:t>Fournisseurs</w:t>
            </w:r>
          </w:p>
        </w:tc>
        <w:tc>
          <w:tcPr>
            <w:tcW w:w="1819" w:type="dxa"/>
            <w:tcBorders>
              <w:top w:val="single" w:sz="4" w:space="0" w:color="auto"/>
              <w:left w:val="nil"/>
              <w:bottom w:val="nil"/>
              <w:right w:val="single" w:sz="4" w:space="0" w:color="auto"/>
            </w:tcBorders>
            <w:shd w:val="clear" w:color="auto" w:fill="auto"/>
            <w:noWrap/>
            <w:vAlign w:val="center"/>
          </w:tcPr>
          <w:p w14:paraId="7341478A" w14:textId="77777777" w:rsidR="00761B6C" w:rsidRPr="00236418" w:rsidRDefault="00761B6C" w:rsidP="000C047C">
            <w:pPr>
              <w:pStyle w:val="Tabletext"/>
              <w:spacing w:before="40" w:after="40"/>
              <w:jc w:val="right"/>
              <w:rPr>
                <w:rFonts w:asciiTheme="minorHAnsi" w:hAnsiTheme="minorHAnsi"/>
                <w:sz w:val="20"/>
                <w:lang w:eastAsia="fr-FR"/>
              </w:rPr>
            </w:pPr>
            <w:r>
              <w:rPr>
                <w:rFonts w:asciiTheme="minorHAnsi" w:hAnsiTheme="minorHAnsi"/>
                <w:sz w:val="20"/>
                <w:lang w:eastAsia="fr-FR"/>
              </w:rPr>
              <w:t>2 768</w:t>
            </w:r>
          </w:p>
        </w:tc>
        <w:tc>
          <w:tcPr>
            <w:tcW w:w="1641" w:type="dxa"/>
            <w:tcBorders>
              <w:top w:val="single" w:sz="4" w:space="0" w:color="auto"/>
              <w:left w:val="nil"/>
              <w:bottom w:val="nil"/>
              <w:right w:val="single" w:sz="4" w:space="0" w:color="auto"/>
            </w:tcBorders>
            <w:vAlign w:val="bottom"/>
          </w:tcPr>
          <w:p w14:paraId="2A6266C1" w14:textId="77777777" w:rsidR="00761B6C" w:rsidRPr="00236418" w:rsidRDefault="00761B6C" w:rsidP="000C047C">
            <w:pPr>
              <w:pStyle w:val="Tabletext"/>
              <w:spacing w:before="40" w:after="40"/>
              <w:jc w:val="right"/>
              <w:rPr>
                <w:rFonts w:asciiTheme="minorHAnsi" w:hAnsiTheme="minorHAnsi"/>
                <w:sz w:val="20"/>
                <w:lang w:eastAsia="fr-FR"/>
              </w:rPr>
            </w:pPr>
            <w:r w:rsidRPr="00236418">
              <w:rPr>
                <w:rFonts w:cs="Arial"/>
                <w:color w:val="000000"/>
                <w:sz w:val="20"/>
                <w:lang w:eastAsia="zh-CN"/>
              </w:rPr>
              <w:t>4 772</w:t>
            </w:r>
          </w:p>
        </w:tc>
      </w:tr>
      <w:tr w:rsidR="00761B6C" w:rsidRPr="00236418" w14:paraId="1DA57832" w14:textId="77777777" w:rsidTr="000C047C">
        <w:trPr>
          <w:trHeight w:val="20"/>
          <w:jc w:val="center"/>
        </w:trPr>
        <w:tc>
          <w:tcPr>
            <w:tcW w:w="4629" w:type="dxa"/>
            <w:tcBorders>
              <w:left w:val="single" w:sz="4" w:space="0" w:color="auto"/>
              <w:right w:val="single" w:sz="4" w:space="0" w:color="auto"/>
            </w:tcBorders>
            <w:shd w:val="clear" w:color="auto" w:fill="auto"/>
            <w:noWrap/>
            <w:vAlign w:val="center"/>
          </w:tcPr>
          <w:p w14:paraId="31B09A62" w14:textId="77777777" w:rsidR="00761B6C" w:rsidRPr="00236418" w:rsidRDefault="00761B6C" w:rsidP="000C047C">
            <w:pPr>
              <w:pStyle w:val="Tabletext"/>
              <w:spacing w:before="40" w:after="40"/>
              <w:rPr>
                <w:rFonts w:asciiTheme="minorHAnsi" w:hAnsiTheme="minorHAnsi"/>
                <w:sz w:val="20"/>
                <w:lang w:eastAsia="fr-FR"/>
              </w:rPr>
            </w:pPr>
            <w:r w:rsidRPr="00236418">
              <w:rPr>
                <w:rFonts w:asciiTheme="minorHAnsi" w:hAnsiTheme="minorHAnsi"/>
                <w:sz w:val="20"/>
                <w:lang w:eastAsia="fr-FR"/>
              </w:rPr>
              <w:t>Dépôts reçus</w:t>
            </w:r>
          </w:p>
        </w:tc>
        <w:tc>
          <w:tcPr>
            <w:tcW w:w="1819" w:type="dxa"/>
            <w:tcBorders>
              <w:left w:val="nil"/>
              <w:right w:val="single" w:sz="4" w:space="0" w:color="auto"/>
            </w:tcBorders>
            <w:shd w:val="clear" w:color="auto" w:fill="auto"/>
            <w:noWrap/>
            <w:vAlign w:val="center"/>
          </w:tcPr>
          <w:p w14:paraId="5F1F81E2" w14:textId="77777777" w:rsidR="00761B6C" w:rsidRPr="00236418" w:rsidRDefault="00761B6C" w:rsidP="000C047C">
            <w:pPr>
              <w:pStyle w:val="Tabletext"/>
              <w:spacing w:before="40" w:after="40"/>
              <w:jc w:val="right"/>
              <w:rPr>
                <w:rFonts w:asciiTheme="minorHAnsi" w:hAnsiTheme="minorHAnsi"/>
                <w:sz w:val="20"/>
                <w:lang w:eastAsia="fr-FR"/>
              </w:rPr>
            </w:pPr>
            <w:r>
              <w:rPr>
                <w:rFonts w:asciiTheme="minorHAnsi" w:hAnsiTheme="minorHAnsi"/>
                <w:sz w:val="20"/>
                <w:lang w:eastAsia="fr-FR"/>
              </w:rPr>
              <w:t>2 745</w:t>
            </w:r>
          </w:p>
        </w:tc>
        <w:tc>
          <w:tcPr>
            <w:tcW w:w="1641" w:type="dxa"/>
            <w:tcBorders>
              <w:left w:val="nil"/>
              <w:right w:val="single" w:sz="4" w:space="0" w:color="auto"/>
            </w:tcBorders>
            <w:vAlign w:val="bottom"/>
          </w:tcPr>
          <w:p w14:paraId="56C6A499" w14:textId="77777777" w:rsidR="00761B6C" w:rsidRPr="00236418" w:rsidRDefault="00761B6C" w:rsidP="000C047C">
            <w:pPr>
              <w:pStyle w:val="Tabletext"/>
              <w:spacing w:before="40" w:after="40"/>
              <w:jc w:val="right"/>
              <w:rPr>
                <w:rFonts w:asciiTheme="minorHAnsi" w:hAnsiTheme="minorHAnsi"/>
                <w:sz w:val="20"/>
                <w:lang w:eastAsia="fr-FR"/>
              </w:rPr>
            </w:pPr>
            <w:r w:rsidRPr="00236418">
              <w:rPr>
                <w:rFonts w:cs="Arial"/>
                <w:color w:val="000000"/>
                <w:sz w:val="20"/>
                <w:lang w:eastAsia="zh-CN"/>
              </w:rPr>
              <w:t>3 042</w:t>
            </w:r>
          </w:p>
        </w:tc>
      </w:tr>
      <w:tr w:rsidR="00761B6C" w:rsidRPr="00236418" w14:paraId="10E25383" w14:textId="77777777" w:rsidTr="000C047C">
        <w:trPr>
          <w:trHeight w:val="20"/>
          <w:jc w:val="center"/>
        </w:trPr>
        <w:tc>
          <w:tcPr>
            <w:tcW w:w="4629" w:type="dxa"/>
            <w:tcBorders>
              <w:left w:val="single" w:sz="4" w:space="0" w:color="auto"/>
              <w:bottom w:val="single" w:sz="4" w:space="0" w:color="auto"/>
              <w:right w:val="single" w:sz="4" w:space="0" w:color="auto"/>
            </w:tcBorders>
            <w:shd w:val="clear" w:color="auto" w:fill="auto"/>
            <w:noWrap/>
            <w:vAlign w:val="center"/>
          </w:tcPr>
          <w:p w14:paraId="7000DE3E" w14:textId="77777777" w:rsidR="00761B6C" w:rsidRPr="00236418" w:rsidRDefault="00761B6C" w:rsidP="000C047C">
            <w:pPr>
              <w:pStyle w:val="Tabletext"/>
              <w:spacing w:before="40" w:after="40"/>
              <w:rPr>
                <w:rFonts w:asciiTheme="minorHAnsi" w:hAnsiTheme="minorHAnsi"/>
                <w:sz w:val="20"/>
                <w:lang w:eastAsia="fr-FR"/>
              </w:rPr>
            </w:pPr>
            <w:r w:rsidRPr="00236418">
              <w:rPr>
                <w:rFonts w:asciiTheme="minorHAnsi" w:hAnsiTheme="minorHAnsi"/>
                <w:sz w:val="20"/>
                <w:lang w:eastAsia="fr-FR"/>
              </w:rPr>
              <w:t>Acomptes reçus</w:t>
            </w:r>
          </w:p>
        </w:tc>
        <w:tc>
          <w:tcPr>
            <w:tcW w:w="1819" w:type="dxa"/>
            <w:tcBorders>
              <w:left w:val="nil"/>
              <w:bottom w:val="single" w:sz="4" w:space="0" w:color="auto"/>
              <w:right w:val="single" w:sz="4" w:space="0" w:color="auto"/>
            </w:tcBorders>
            <w:shd w:val="clear" w:color="auto" w:fill="auto"/>
            <w:noWrap/>
            <w:vAlign w:val="center"/>
          </w:tcPr>
          <w:p w14:paraId="6C5AE6AF" w14:textId="77777777" w:rsidR="00761B6C" w:rsidRPr="00236418" w:rsidRDefault="00761B6C" w:rsidP="000C047C">
            <w:pPr>
              <w:pStyle w:val="Tabletext"/>
              <w:spacing w:before="40" w:after="40"/>
              <w:jc w:val="right"/>
              <w:rPr>
                <w:rFonts w:asciiTheme="minorHAnsi" w:hAnsiTheme="minorHAnsi"/>
                <w:sz w:val="20"/>
                <w:lang w:eastAsia="fr-FR"/>
              </w:rPr>
            </w:pPr>
            <w:r>
              <w:rPr>
                <w:rFonts w:asciiTheme="minorHAnsi" w:hAnsiTheme="minorHAnsi"/>
                <w:sz w:val="20"/>
                <w:lang w:eastAsia="fr-FR"/>
              </w:rPr>
              <w:t>502</w:t>
            </w:r>
          </w:p>
        </w:tc>
        <w:tc>
          <w:tcPr>
            <w:tcW w:w="1641" w:type="dxa"/>
            <w:tcBorders>
              <w:left w:val="nil"/>
              <w:bottom w:val="single" w:sz="4" w:space="0" w:color="auto"/>
              <w:right w:val="single" w:sz="4" w:space="0" w:color="auto"/>
            </w:tcBorders>
            <w:vAlign w:val="bottom"/>
          </w:tcPr>
          <w:p w14:paraId="7650B2A5" w14:textId="77777777" w:rsidR="00761B6C" w:rsidRPr="00236418" w:rsidRDefault="00761B6C" w:rsidP="000C047C">
            <w:pPr>
              <w:pStyle w:val="Tabletext"/>
              <w:spacing w:before="40" w:after="40"/>
              <w:jc w:val="right"/>
              <w:rPr>
                <w:rFonts w:asciiTheme="minorHAnsi" w:hAnsiTheme="minorHAnsi"/>
                <w:sz w:val="20"/>
                <w:lang w:eastAsia="fr-FR"/>
              </w:rPr>
            </w:pPr>
            <w:r w:rsidRPr="00236418">
              <w:rPr>
                <w:rFonts w:cs="Arial"/>
                <w:color w:val="000000"/>
                <w:sz w:val="20"/>
                <w:lang w:eastAsia="zh-CN"/>
              </w:rPr>
              <w:t>694</w:t>
            </w:r>
          </w:p>
        </w:tc>
      </w:tr>
      <w:tr w:rsidR="00761B6C" w:rsidRPr="00236418" w14:paraId="52648031" w14:textId="77777777" w:rsidTr="000C047C">
        <w:trPr>
          <w:trHeight w:val="20"/>
          <w:jc w:val="center"/>
        </w:trPr>
        <w:tc>
          <w:tcPr>
            <w:tcW w:w="4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A8DE6" w14:textId="77777777" w:rsidR="00761B6C" w:rsidRPr="00236418" w:rsidRDefault="00761B6C" w:rsidP="000C047C">
            <w:pPr>
              <w:pStyle w:val="Tablehead"/>
              <w:spacing w:before="40" w:after="40"/>
              <w:jc w:val="left"/>
              <w:rPr>
                <w:rFonts w:asciiTheme="minorHAnsi" w:hAnsiTheme="minorHAnsi"/>
                <w:sz w:val="20"/>
              </w:rPr>
            </w:pPr>
            <w:r w:rsidRPr="00236418">
              <w:rPr>
                <w:rFonts w:asciiTheme="minorHAnsi" w:hAnsiTheme="minorHAnsi"/>
                <w:sz w:val="20"/>
              </w:rPr>
              <w:t>Fournisseurs et autres créanciers</w:t>
            </w:r>
          </w:p>
        </w:tc>
        <w:tc>
          <w:tcPr>
            <w:tcW w:w="1819" w:type="dxa"/>
            <w:tcBorders>
              <w:top w:val="single" w:sz="4" w:space="0" w:color="auto"/>
              <w:left w:val="nil"/>
              <w:bottom w:val="single" w:sz="4" w:space="0" w:color="auto"/>
              <w:right w:val="single" w:sz="4" w:space="0" w:color="auto"/>
            </w:tcBorders>
            <w:shd w:val="clear" w:color="auto" w:fill="auto"/>
            <w:noWrap/>
            <w:vAlign w:val="center"/>
          </w:tcPr>
          <w:p w14:paraId="0B128B12" w14:textId="77777777" w:rsidR="00761B6C" w:rsidRPr="00236418" w:rsidRDefault="00761B6C" w:rsidP="000C047C">
            <w:pPr>
              <w:pStyle w:val="Tablehead"/>
              <w:spacing w:before="40" w:after="40"/>
              <w:jc w:val="right"/>
              <w:rPr>
                <w:rFonts w:asciiTheme="minorHAnsi" w:hAnsiTheme="minorHAnsi"/>
                <w:sz w:val="20"/>
              </w:rPr>
            </w:pPr>
            <w:r>
              <w:rPr>
                <w:rFonts w:asciiTheme="minorHAnsi" w:hAnsiTheme="minorHAnsi"/>
                <w:sz w:val="20"/>
              </w:rPr>
              <w:t>6 015</w:t>
            </w:r>
          </w:p>
        </w:tc>
        <w:tc>
          <w:tcPr>
            <w:tcW w:w="1641" w:type="dxa"/>
            <w:tcBorders>
              <w:top w:val="single" w:sz="4" w:space="0" w:color="auto"/>
              <w:left w:val="nil"/>
              <w:bottom w:val="single" w:sz="4" w:space="0" w:color="auto"/>
              <w:right w:val="single" w:sz="4" w:space="0" w:color="auto"/>
            </w:tcBorders>
            <w:vAlign w:val="bottom"/>
          </w:tcPr>
          <w:p w14:paraId="616DF533" w14:textId="77777777" w:rsidR="00761B6C" w:rsidRPr="00236418" w:rsidRDefault="00761B6C" w:rsidP="000C047C">
            <w:pPr>
              <w:pStyle w:val="Tablehead"/>
              <w:spacing w:before="40" w:after="40"/>
              <w:jc w:val="right"/>
              <w:rPr>
                <w:rFonts w:asciiTheme="minorHAnsi" w:hAnsiTheme="minorHAnsi"/>
                <w:sz w:val="20"/>
              </w:rPr>
            </w:pPr>
            <w:r w:rsidRPr="00236418">
              <w:rPr>
                <w:rFonts w:asciiTheme="minorHAnsi" w:hAnsiTheme="minorHAnsi"/>
                <w:sz w:val="20"/>
              </w:rPr>
              <w:t>8 508</w:t>
            </w:r>
          </w:p>
        </w:tc>
      </w:tr>
    </w:tbl>
    <w:p w14:paraId="7496A965" w14:textId="77777777" w:rsidR="00761B6C" w:rsidRPr="00236418" w:rsidRDefault="00761B6C" w:rsidP="00761B6C">
      <w:pPr>
        <w:spacing w:before="240"/>
      </w:pPr>
      <w:r w:rsidRPr="00236418">
        <w:t>Le montant des fournisseurs porte essentiellement sur les factures non payées, sur les décomptes du personnel ainsi que sur les factures IOV en attente de régularisation avec le PNUD.</w:t>
      </w:r>
    </w:p>
    <w:p w14:paraId="52ED807A" w14:textId="77777777" w:rsidR="00761B6C" w:rsidRPr="00236418" w:rsidRDefault="00761B6C" w:rsidP="00761B6C">
      <w:r w:rsidRPr="00236418">
        <w:t>Des dépôts ont été reçus pour le traitement des fiches de notification de réseaux à satellite ainsi que pour de futurs achats ou factures relatives à des publications. Ces montants seront remboursés aux bénéficiaires ou utilisés pour le paiement des futures factures relatives à des fiches de notification de réseaux à satellite et à des publications.</w:t>
      </w:r>
    </w:p>
    <w:p w14:paraId="7C669AAA" w14:textId="77777777" w:rsidR="00761B6C" w:rsidRPr="00236418" w:rsidRDefault="00761B6C" w:rsidP="00761B6C">
      <w:r w:rsidRPr="00236418">
        <w:t>Les acomptes correspondent aux avances que les pays hôtes ont versées à l</w:t>
      </w:r>
      <w:r>
        <w:t>'</w:t>
      </w:r>
      <w:r w:rsidRPr="00236418">
        <w:t>Union pour l</w:t>
      </w:r>
      <w:r>
        <w:t>'</w:t>
      </w:r>
      <w:r w:rsidRPr="00236418">
        <w:t xml:space="preserve">organisation de manifestations </w:t>
      </w:r>
      <w:r>
        <w:t>telles que les conférences mondiales</w:t>
      </w:r>
      <w:r w:rsidRPr="00236418">
        <w:t>. Après la clôture des comptes de la manifestation, le solde est remboursé aux pays hôtes conformément aux accords signés.</w:t>
      </w:r>
    </w:p>
    <w:p w14:paraId="07485D81" w14:textId="77777777" w:rsidR="00761B6C" w:rsidRPr="00236418" w:rsidRDefault="00761B6C" w:rsidP="000C047C">
      <w:pPr>
        <w:pStyle w:val="Heading1"/>
        <w:spacing w:before="240" w:after="240"/>
        <w:rPr>
          <w:sz w:val="24"/>
          <w:szCs w:val="24"/>
        </w:rPr>
      </w:pPr>
      <w:bookmarkStart w:id="1740" w:name="_Toc329202581"/>
      <w:bookmarkStart w:id="1741" w:name="_Toc329205013"/>
      <w:bookmarkStart w:id="1742" w:name="_Toc329206850"/>
      <w:bookmarkStart w:id="1743" w:name="_Toc358379935"/>
      <w:bookmarkStart w:id="1744" w:name="_Toc358380476"/>
      <w:bookmarkStart w:id="1745" w:name="_Toc387166656"/>
      <w:bookmarkStart w:id="1746" w:name="_Toc395260941"/>
      <w:bookmarkStart w:id="1747" w:name="_Toc395511720"/>
      <w:bookmarkStart w:id="1748" w:name="_Toc452138630"/>
      <w:bookmarkStart w:id="1749" w:name="_Toc452139079"/>
      <w:bookmarkStart w:id="1750" w:name="_Toc452139443"/>
      <w:bookmarkStart w:id="1751" w:name="_Toc452139844"/>
      <w:bookmarkStart w:id="1752" w:name="_Toc452140718"/>
      <w:bookmarkStart w:id="1753" w:name="_Toc482801508"/>
      <w:bookmarkStart w:id="1754" w:name="_Toc511649480"/>
      <w:bookmarkStart w:id="1755" w:name="_Toc511649850"/>
      <w:bookmarkStart w:id="1756" w:name="_Toc511649966"/>
      <w:bookmarkStart w:id="1757" w:name="_Toc511651224"/>
      <w:bookmarkStart w:id="1758" w:name="_Toc511724089"/>
      <w:bookmarkStart w:id="1759" w:name="_Toc511739078"/>
      <w:bookmarkStart w:id="1760" w:name="_Toc511741247"/>
      <w:bookmarkStart w:id="1761" w:name="_Toc10450753"/>
      <w:bookmarkStart w:id="1762" w:name="_Toc41566353"/>
      <w:bookmarkStart w:id="1763" w:name="_Toc41567361"/>
      <w:bookmarkStart w:id="1764" w:name="_Toc41567864"/>
      <w:bookmarkStart w:id="1765" w:name="_Toc41814959"/>
      <w:bookmarkStart w:id="1766" w:name="_Toc73354448"/>
      <w:bookmarkStart w:id="1767" w:name="_Toc73356424"/>
      <w:r w:rsidRPr="00236418">
        <w:rPr>
          <w:sz w:val="24"/>
          <w:szCs w:val="24"/>
        </w:rPr>
        <w:t>Note 15</w:t>
      </w:r>
      <w:r w:rsidRPr="00236418">
        <w:rPr>
          <w:sz w:val="24"/>
          <w:szCs w:val="24"/>
        </w:rPr>
        <w:tab/>
        <w:t>Produits différés</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tbl>
      <w:tblPr>
        <w:tblW w:w="8296" w:type="dxa"/>
        <w:jc w:val="center"/>
        <w:tblLayout w:type="fixed"/>
        <w:tblLook w:val="04A0" w:firstRow="1" w:lastRow="0" w:firstColumn="1" w:lastColumn="0" w:noHBand="0" w:noVBand="1"/>
        <w:tblCaption w:val="E"/>
      </w:tblPr>
      <w:tblGrid>
        <w:gridCol w:w="4815"/>
        <w:gridCol w:w="1843"/>
        <w:gridCol w:w="1638"/>
      </w:tblGrid>
      <w:tr w:rsidR="00761B6C" w:rsidRPr="00236418" w14:paraId="47006E77" w14:textId="77777777" w:rsidTr="000C047C">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7C725" w14:textId="77777777" w:rsidR="00761B6C" w:rsidRPr="00236418" w:rsidRDefault="00761B6C" w:rsidP="00761B6C">
            <w:pPr>
              <w:pStyle w:val="Tablehead"/>
              <w:keepNext/>
              <w:keepLines/>
              <w:spacing w:before="0" w:after="0"/>
              <w:rPr>
                <w:rFonts w:asciiTheme="minorHAnsi" w:hAnsiTheme="minorHAnsi"/>
                <w:sz w:val="20"/>
              </w:rPr>
            </w:pPr>
            <w:r w:rsidRPr="00236418">
              <w:rPr>
                <w:rFonts w:asciiTheme="minorHAnsi" w:hAnsiTheme="minorHAnsi"/>
                <w:sz w:val="20"/>
              </w:rPr>
              <w:t>En milliers de CHF</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DFD9DE" w14:textId="77777777" w:rsidR="00761B6C" w:rsidRPr="00236418" w:rsidRDefault="00761B6C" w:rsidP="00761B6C">
            <w:pPr>
              <w:pStyle w:val="Tablehead"/>
              <w:keepNext/>
              <w:keepLines/>
              <w:spacing w:before="0" w:after="0"/>
              <w:rPr>
                <w:rFonts w:asciiTheme="minorHAnsi" w:hAnsiTheme="minorHAnsi"/>
                <w:sz w:val="20"/>
              </w:rPr>
            </w:pPr>
            <w:r>
              <w:rPr>
                <w:rFonts w:asciiTheme="minorHAnsi" w:hAnsiTheme="minorHAnsi"/>
                <w:sz w:val="20"/>
              </w:rPr>
              <w:t>31.12.2020</w:t>
            </w:r>
          </w:p>
        </w:tc>
        <w:tc>
          <w:tcPr>
            <w:tcW w:w="1638" w:type="dxa"/>
            <w:tcBorders>
              <w:top w:val="single" w:sz="4" w:space="0" w:color="auto"/>
              <w:left w:val="nil"/>
              <w:bottom w:val="single" w:sz="4" w:space="0" w:color="auto"/>
              <w:right w:val="single" w:sz="4" w:space="0" w:color="auto"/>
            </w:tcBorders>
            <w:vAlign w:val="center"/>
          </w:tcPr>
          <w:p w14:paraId="72B5E433" w14:textId="77777777" w:rsidR="00761B6C" w:rsidRPr="00236418" w:rsidRDefault="00761B6C" w:rsidP="00761B6C">
            <w:pPr>
              <w:pStyle w:val="Tablehead"/>
              <w:keepNext/>
              <w:keepLines/>
              <w:spacing w:before="0" w:after="0"/>
              <w:rPr>
                <w:rFonts w:asciiTheme="minorHAnsi" w:hAnsiTheme="minorHAnsi"/>
                <w:sz w:val="20"/>
              </w:rPr>
            </w:pPr>
            <w:r w:rsidRPr="00236418">
              <w:rPr>
                <w:rFonts w:asciiTheme="minorHAnsi" w:hAnsiTheme="minorHAnsi"/>
                <w:sz w:val="20"/>
              </w:rPr>
              <w:t>31.12.2019</w:t>
            </w:r>
          </w:p>
        </w:tc>
      </w:tr>
      <w:tr w:rsidR="00761B6C" w:rsidRPr="00236418" w14:paraId="3FB53AF6" w14:textId="77777777" w:rsidTr="000C047C">
        <w:trPr>
          <w:trHeight w:val="255"/>
          <w:jc w:val="center"/>
        </w:trPr>
        <w:tc>
          <w:tcPr>
            <w:tcW w:w="4815" w:type="dxa"/>
            <w:tcBorders>
              <w:top w:val="single" w:sz="4" w:space="0" w:color="auto"/>
              <w:left w:val="single" w:sz="4" w:space="0" w:color="auto"/>
              <w:bottom w:val="nil"/>
              <w:right w:val="single" w:sz="4" w:space="0" w:color="auto"/>
            </w:tcBorders>
            <w:shd w:val="clear" w:color="auto" w:fill="auto"/>
            <w:noWrap/>
          </w:tcPr>
          <w:p w14:paraId="769AA178" w14:textId="77777777" w:rsidR="00761B6C" w:rsidRPr="00236418" w:rsidRDefault="00761B6C" w:rsidP="000C047C">
            <w:pPr>
              <w:pStyle w:val="Tabletext"/>
              <w:keepNext/>
              <w:keepLines/>
              <w:spacing w:before="40" w:after="40"/>
              <w:rPr>
                <w:rFonts w:asciiTheme="minorHAnsi" w:hAnsiTheme="minorHAnsi"/>
                <w:sz w:val="20"/>
                <w:lang w:eastAsia="fr-FR"/>
              </w:rPr>
            </w:pPr>
            <w:r w:rsidRPr="00236418">
              <w:rPr>
                <w:rFonts w:asciiTheme="minorHAnsi" w:hAnsiTheme="minorHAnsi"/>
                <w:sz w:val="20"/>
                <w:lang w:eastAsia="fr-FR"/>
              </w:rPr>
              <w:t>Contributions – États Membres</w:t>
            </w:r>
          </w:p>
        </w:tc>
        <w:tc>
          <w:tcPr>
            <w:tcW w:w="1843" w:type="dxa"/>
            <w:tcBorders>
              <w:top w:val="single" w:sz="4" w:space="0" w:color="auto"/>
              <w:left w:val="nil"/>
              <w:bottom w:val="nil"/>
              <w:right w:val="single" w:sz="4" w:space="0" w:color="auto"/>
            </w:tcBorders>
            <w:shd w:val="clear" w:color="auto" w:fill="auto"/>
            <w:noWrap/>
          </w:tcPr>
          <w:p w14:paraId="25317B6C"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109 293</w:t>
            </w:r>
          </w:p>
        </w:tc>
        <w:tc>
          <w:tcPr>
            <w:tcW w:w="1638" w:type="dxa"/>
            <w:tcBorders>
              <w:top w:val="single" w:sz="4" w:space="0" w:color="auto"/>
              <w:left w:val="nil"/>
              <w:bottom w:val="nil"/>
              <w:right w:val="single" w:sz="4" w:space="0" w:color="auto"/>
            </w:tcBorders>
          </w:tcPr>
          <w:p w14:paraId="76589767"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sidRPr="00236418">
              <w:rPr>
                <w:rFonts w:cs="Arial"/>
                <w:color w:val="000000"/>
                <w:sz w:val="20"/>
                <w:lang w:eastAsia="zh-CN"/>
              </w:rPr>
              <w:t>109 661</w:t>
            </w:r>
          </w:p>
        </w:tc>
      </w:tr>
      <w:tr w:rsidR="00761B6C" w:rsidRPr="00236418" w14:paraId="3D04FFDE" w14:textId="77777777" w:rsidTr="000C047C">
        <w:trPr>
          <w:trHeight w:val="20"/>
          <w:jc w:val="center"/>
        </w:trPr>
        <w:tc>
          <w:tcPr>
            <w:tcW w:w="4815" w:type="dxa"/>
            <w:tcBorders>
              <w:left w:val="single" w:sz="4" w:space="0" w:color="auto"/>
              <w:right w:val="single" w:sz="4" w:space="0" w:color="auto"/>
            </w:tcBorders>
            <w:shd w:val="clear" w:color="auto" w:fill="auto"/>
            <w:noWrap/>
          </w:tcPr>
          <w:p w14:paraId="26A3C29D" w14:textId="77777777" w:rsidR="00761B6C" w:rsidRPr="00236418" w:rsidRDefault="00761B6C" w:rsidP="000C047C">
            <w:pPr>
              <w:pStyle w:val="Tabletext"/>
              <w:keepNext/>
              <w:keepLines/>
              <w:spacing w:before="40" w:after="40"/>
              <w:rPr>
                <w:rFonts w:asciiTheme="minorHAnsi" w:hAnsiTheme="minorHAnsi"/>
                <w:sz w:val="20"/>
                <w:lang w:eastAsia="fr-FR"/>
              </w:rPr>
            </w:pPr>
            <w:r w:rsidRPr="00236418">
              <w:rPr>
                <w:rFonts w:asciiTheme="minorHAnsi" w:hAnsiTheme="minorHAnsi"/>
                <w:sz w:val="20"/>
                <w:lang w:eastAsia="fr-FR"/>
              </w:rPr>
              <w:t>Contributions – Membres de Secteur</w:t>
            </w:r>
          </w:p>
        </w:tc>
        <w:tc>
          <w:tcPr>
            <w:tcW w:w="1843" w:type="dxa"/>
            <w:tcBorders>
              <w:left w:val="nil"/>
              <w:right w:val="single" w:sz="4" w:space="0" w:color="auto"/>
            </w:tcBorders>
            <w:shd w:val="clear" w:color="auto" w:fill="auto"/>
            <w:noWrap/>
          </w:tcPr>
          <w:p w14:paraId="736DD34E"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13 829</w:t>
            </w:r>
          </w:p>
        </w:tc>
        <w:tc>
          <w:tcPr>
            <w:tcW w:w="1638" w:type="dxa"/>
            <w:tcBorders>
              <w:left w:val="nil"/>
              <w:right w:val="single" w:sz="4" w:space="0" w:color="auto"/>
            </w:tcBorders>
          </w:tcPr>
          <w:p w14:paraId="5750421C"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sidRPr="00236418">
              <w:rPr>
                <w:rFonts w:cs="Arial"/>
                <w:color w:val="000000"/>
                <w:sz w:val="20"/>
                <w:lang w:eastAsia="zh-CN"/>
              </w:rPr>
              <w:t>14 166</w:t>
            </w:r>
          </w:p>
        </w:tc>
      </w:tr>
      <w:tr w:rsidR="00761B6C" w:rsidRPr="00236418" w14:paraId="61346FE3" w14:textId="77777777" w:rsidTr="000C047C">
        <w:trPr>
          <w:trHeight w:val="20"/>
          <w:jc w:val="center"/>
        </w:trPr>
        <w:tc>
          <w:tcPr>
            <w:tcW w:w="4815" w:type="dxa"/>
            <w:tcBorders>
              <w:left w:val="single" w:sz="4" w:space="0" w:color="auto"/>
              <w:right w:val="single" w:sz="4" w:space="0" w:color="auto"/>
            </w:tcBorders>
            <w:shd w:val="clear" w:color="auto" w:fill="auto"/>
            <w:noWrap/>
          </w:tcPr>
          <w:p w14:paraId="03D8BD5F" w14:textId="77777777" w:rsidR="00761B6C" w:rsidRPr="00236418" w:rsidRDefault="00761B6C" w:rsidP="000C047C">
            <w:pPr>
              <w:pStyle w:val="Tabletext"/>
              <w:keepNext/>
              <w:keepLines/>
              <w:spacing w:before="40" w:after="40"/>
              <w:rPr>
                <w:rFonts w:asciiTheme="minorHAnsi" w:hAnsiTheme="minorHAnsi"/>
                <w:sz w:val="20"/>
                <w:lang w:eastAsia="fr-FR"/>
              </w:rPr>
            </w:pPr>
            <w:r w:rsidRPr="00236418">
              <w:rPr>
                <w:rFonts w:asciiTheme="minorHAnsi" w:hAnsiTheme="minorHAnsi"/>
                <w:sz w:val="20"/>
                <w:lang w:eastAsia="fr-FR"/>
              </w:rPr>
              <w:t>Contributions – Associés</w:t>
            </w:r>
          </w:p>
        </w:tc>
        <w:tc>
          <w:tcPr>
            <w:tcW w:w="1843" w:type="dxa"/>
            <w:tcBorders>
              <w:left w:val="nil"/>
              <w:right w:val="single" w:sz="4" w:space="0" w:color="auto"/>
            </w:tcBorders>
            <w:shd w:val="clear" w:color="auto" w:fill="auto"/>
            <w:noWrap/>
          </w:tcPr>
          <w:p w14:paraId="2CE59132"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2 184</w:t>
            </w:r>
          </w:p>
        </w:tc>
        <w:tc>
          <w:tcPr>
            <w:tcW w:w="1638" w:type="dxa"/>
            <w:tcBorders>
              <w:left w:val="nil"/>
              <w:right w:val="single" w:sz="4" w:space="0" w:color="auto"/>
            </w:tcBorders>
          </w:tcPr>
          <w:p w14:paraId="7E000107"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sidRPr="00236418">
              <w:rPr>
                <w:rFonts w:cs="Arial"/>
                <w:color w:val="000000"/>
                <w:sz w:val="20"/>
                <w:lang w:eastAsia="zh-CN"/>
              </w:rPr>
              <w:t>2 123</w:t>
            </w:r>
          </w:p>
        </w:tc>
      </w:tr>
      <w:tr w:rsidR="00761B6C" w:rsidRPr="00236418" w14:paraId="34DBC918" w14:textId="77777777" w:rsidTr="000C047C">
        <w:trPr>
          <w:trHeight w:val="20"/>
          <w:jc w:val="center"/>
        </w:trPr>
        <w:tc>
          <w:tcPr>
            <w:tcW w:w="4815" w:type="dxa"/>
            <w:tcBorders>
              <w:left w:val="single" w:sz="4" w:space="0" w:color="auto"/>
              <w:right w:val="single" w:sz="4" w:space="0" w:color="auto"/>
            </w:tcBorders>
            <w:shd w:val="clear" w:color="auto" w:fill="auto"/>
            <w:noWrap/>
          </w:tcPr>
          <w:p w14:paraId="33B54B88" w14:textId="77777777" w:rsidR="00761B6C" w:rsidRPr="00236418" w:rsidRDefault="00761B6C" w:rsidP="000C047C">
            <w:pPr>
              <w:pStyle w:val="Tabletext"/>
              <w:keepNext/>
              <w:keepLines/>
              <w:spacing w:before="40" w:after="40"/>
              <w:rPr>
                <w:rFonts w:asciiTheme="minorHAnsi" w:hAnsiTheme="minorHAnsi"/>
                <w:sz w:val="20"/>
                <w:lang w:eastAsia="fr-FR"/>
              </w:rPr>
            </w:pPr>
            <w:r w:rsidRPr="00236418">
              <w:rPr>
                <w:rFonts w:asciiTheme="minorHAnsi" w:hAnsiTheme="minorHAnsi"/>
                <w:sz w:val="20"/>
                <w:lang w:eastAsia="fr-FR"/>
              </w:rPr>
              <w:t>Contributions – Établissements universitaires</w:t>
            </w:r>
          </w:p>
        </w:tc>
        <w:tc>
          <w:tcPr>
            <w:tcW w:w="1843" w:type="dxa"/>
            <w:tcBorders>
              <w:left w:val="nil"/>
              <w:right w:val="single" w:sz="4" w:space="0" w:color="auto"/>
            </w:tcBorders>
            <w:shd w:val="clear" w:color="auto" w:fill="auto"/>
            <w:noWrap/>
          </w:tcPr>
          <w:p w14:paraId="4D1F61BE"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399</w:t>
            </w:r>
          </w:p>
        </w:tc>
        <w:tc>
          <w:tcPr>
            <w:tcW w:w="1638" w:type="dxa"/>
            <w:tcBorders>
              <w:left w:val="nil"/>
              <w:right w:val="single" w:sz="4" w:space="0" w:color="auto"/>
            </w:tcBorders>
          </w:tcPr>
          <w:p w14:paraId="47F59ED9"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sidRPr="00236418">
              <w:rPr>
                <w:rFonts w:cs="Arial"/>
                <w:color w:val="000000"/>
                <w:sz w:val="20"/>
                <w:lang w:eastAsia="zh-CN"/>
              </w:rPr>
              <w:t>381</w:t>
            </w:r>
          </w:p>
        </w:tc>
      </w:tr>
      <w:tr w:rsidR="00761B6C" w:rsidRPr="00236418" w14:paraId="4672B5E4" w14:textId="77777777" w:rsidTr="000C047C">
        <w:trPr>
          <w:trHeight w:val="111"/>
          <w:jc w:val="center"/>
        </w:trPr>
        <w:tc>
          <w:tcPr>
            <w:tcW w:w="4815" w:type="dxa"/>
            <w:tcBorders>
              <w:left w:val="single" w:sz="4" w:space="0" w:color="auto"/>
              <w:right w:val="single" w:sz="4" w:space="0" w:color="auto"/>
            </w:tcBorders>
            <w:shd w:val="clear" w:color="auto" w:fill="auto"/>
            <w:noWrap/>
          </w:tcPr>
          <w:p w14:paraId="6EBE6486" w14:textId="77777777" w:rsidR="00761B6C" w:rsidRPr="004B0ECD" w:rsidRDefault="00761B6C" w:rsidP="000C047C">
            <w:pPr>
              <w:pStyle w:val="Tabletext"/>
              <w:keepNext/>
              <w:keepLines/>
              <w:spacing w:before="40" w:after="40"/>
              <w:rPr>
                <w:rFonts w:asciiTheme="minorHAnsi" w:hAnsiTheme="minorHAnsi"/>
                <w:sz w:val="20"/>
                <w:lang w:eastAsia="fr-FR"/>
              </w:rPr>
            </w:pPr>
            <w:r w:rsidRPr="004B0ECD">
              <w:rPr>
                <w:rFonts w:asciiTheme="minorHAnsi" w:hAnsiTheme="minorHAnsi"/>
                <w:sz w:val="20"/>
                <w:lang w:eastAsia="fr-FR"/>
              </w:rPr>
              <w:t>Autres produits différés</w:t>
            </w:r>
          </w:p>
        </w:tc>
        <w:tc>
          <w:tcPr>
            <w:tcW w:w="1843" w:type="dxa"/>
            <w:tcBorders>
              <w:left w:val="single" w:sz="4" w:space="0" w:color="auto"/>
              <w:right w:val="single" w:sz="4" w:space="0" w:color="auto"/>
            </w:tcBorders>
            <w:shd w:val="clear" w:color="auto" w:fill="auto"/>
          </w:tcPr>
          <w:p w14:paraId="19235B79"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6 404</w:t>
            </w:r>
          </w:p>
        </w:tc>
        <w:tc>
          <w:tcPr>
            <w:tcW w:w="1638" w:type="dxa"/>
            <w:tcBorders>
              <w:left w:val="single" w:sz="4" w:space="0" w:color="auto"/>
              <w:right w:val="single" w:sz="4" w:space="0" w:color="auto"/>
            </w:tcBorders>
          </w:tcPr>
          <w:p w14:paraId="7C78EEEB"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sidRPr="00236418">
              <w:rPr>
                <w:rFonts w:cs="Arial"/>
                <w:color w:val="000000"/>
                <w:sz w:val="20"/>
                <w:lang w:eastAsia="zh-CN"/>
              </w:rPr>
              <w:t>3 097</w:t>
            </w:r>
          </w:p>
        </w:tc>
      </w:tr>
      <w:tr w:rsidR="00761B6C" w:rsidRPr="00236418" w14:paraId="72002B13" w14:textId="77777777" w:rsidTr="000C047C">
        <w:trPr>
          <w:trHeight w:val="203"/>
          <w:jc w:val="center"/>
        </w:trPr>
        <w:tc>
          <w:tcPr>
            <w:tcW w:w="4815" w:type="dxa"/>
            <w:tcBorders>
              <w:left w:val="single" w:sz="4" w:space="0" w:color="auto"/>
              <w:bottom w:val="single" w:sz="4" w:space="0" w:color="auto"/>
              <w:right w:val="single" w:sz="4" w:space="0" w:color="auto"/>
            </w:tcBorders>
            <w:shd w:val="clear" w:color="auto" w:fill="auto"/>
            <w:noWrap/>
          </w:tcPr>
          <w:p w14:paraId="39B8C3DF" w14:textId="77777777" w:rsidR="00761B6C" w:rsidRPr="00236418" w:rsidRDefault="00761B6C" w:rsidP="000C047C">
            <w:pPr>
              <w:pStyle w:val="Tabletext"/>
              <w:keepNext/>
              <w:keepLines/>
              <w:spacing w:before="40" w:after="40"/>
              <w:rPr>
                <w:rFonts w:asciiTheme="minorHAnsi" w:hAnsiTheme="minorHAnsi"/>
                <w:sz w:val="20"/>
                <w:lang w:eastAsia="fr-FR"/>
              </w:rPr>
            </w:pPr>
            <w:r w:rsidRPr="00236418">
              <w:rPr>
                <w:rFonts w:asciiTheme="minorHAnsi" w:hAnsiTheme="minorHAnsi"/>
                <w:sz w:val="20"/>
                <w:lang w:eastAsia="fr-FR"/>
              </w:rPr>
              <w:t>Contributions extrabudgétaires</w:t>
            </w:r>
          </w:p>
        </w:tc>
        <w:tc>
          <w:tcPr>
            <w:tcW w:w="1843" w:type="dxa"/>
            <w:tcBorders>
              <w:left w:val="single" w:sz="4" w:space="0" w:color="auto"/>
              <w:bottom w:val="single" w:sz="4" w:space="0" w:color="auto"/>
              <w:right w:val="single" w:sz="4" w:space="0" w:color="auto"/>
            </w:tcBorders>
            <w:shd w:val="clear" w:color="auto" w:fill="auto"/>
          </w:tcPr>
          <w:p w14:paraId="003F05E7"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Pr>
                <w:rFonts w:asciiTheme="minorHAnsi" w:hAnsiTheme="minorHAnsi"/>
                <w:sz w:val="20"/>
                <w:lang w:eastAsia="fr-FR"/>
              </w:rPr>
              <w:t>458</w:t>
            </w:r>
          </w:p>
        </w:tc>
        <w:tc>
          <w:tcPr>
            <w:tcW w:w="1638" w:type="dxa"/>
            <w:tcBorders>
              <w:left w:val="single" w:sz="4" w:space="0" w:color="auto"/>
              <w:bottom w:val="single" w:sz="4" w:space="0" w:color="auto"/>
              <w:right w:val="single" w:sz="4" w:space="0" w:color="auto"/>
            </w:tcBorders>
          </w:tcPr>
          <w:p w14:paraId="0CD211C3" w14:textId="77777777" w:rsidR="00761B6C" w:rsidRPr="00236418" w:rsidRDefault="00761B6C" w:rsidP="000C047C">
            <w:pPr>
              <w:pStyle w:val="Tabletext"/>
              <w:keepNext/>
              <w:keepLines/>
              <w:spacing w:before="40" w:after="40"/>
              <w:jc w:val="right"/>
              <w:rPr>
                <w:rFonts w:asciiTheme="minorHAnsi" w:hAnsiTheme="minorHAnsi"/>
                <w:sz w:val="20"/>
                <w:lang w:eastAsia="fr-FR"/>
              </w:rPr>
            </w:pPr>
            <w:r w:rsidRPr="00236418">
              <w:rPr>
                <w:rFonts w:cs="Arial"/>
                <w:color w:val="000000"/>
                <w:sz w:val="20"/>
                <w:lang w:eastAsia="zh-CN"/>
              </w:rPr>
              <w:t>1 263</w:t>
            </w:r>
          </w:p>
        </w:tc>
      </w:tr>
      <w:tr w:rsidR="00761B6C" w:rsidRPr="00236418" w14:paraId="37DE9284" w14:textId="77777777" w:rsidTr="000C047C">
        <w:trPr>
          <w:trHeight w:val="20"/>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tcPr>
          <w:p w14:paraId="0B8159D4" w14:textId="77777777" w:rsidR="00761B6C" w:rsidRPr="00236418" w:rsidRDefault="00761B6C" w:rsidP="000C047C">
            <w:pPr>
              <w:pStyle w:val="Tablehead"/>
              <w:keepNext/>
              <w:keepLines/>
              <w:spacing w:before="40" w:after="40"/>
              <w:jc w:val="left"/>
              <w:rPr>
                <w:rFonts w:asciiTheme="minorHAnsi" w:hAnsiTheme="minorHAnsi"/>
                <w:sz w:val="20"/>
              </w:rPr>
            </w:pPr>
            <w:r w:rsidRPr="00236418">
              <w:rPr>
                <w:rFonts w:asciiTheme="minorHAnsi" w:hAnsiTheme="minorHAnsi"/>
                <w:sz w:val="20"/>
              </w:rPr>
              <w:t>Produits différés</w:t>
            </w:r>
          </w:p>
        </w:tc>
        <w:tc>
          <w:tcPr>
            <w:tcW w:w="1843" w:type="dxa"/>
            <w:tcBorders>
              <w:top w:val="single" w:sz="4" w:space="0" w:color="auto"/>
              <w:left w:val="nil"/>
              <w:bottom w:val="single" w:sz="4" w:space="0" w:color="auto"/>
              <w:right w:val="single" w:sz="4" w:space="0" w:color="auto"/>
            </w:tcBorders>
            <w:shd w:val="clear" w:color="auto" w:fill="auto"/>
            <w:noWrap/>
          </w:tcPr>
          <w:p w14:paraId="7C5FCDCA" w14:textId="77777777" w:rsidR="00761B6C" w:rsidRPr="00236418" w:rsidRDefault="00761B6C" w:rsidP="000C047C">
            <w:pPr>
              <w:pStyle w:val="Tablehead"/>
              <w:keepNext/>
              <w:keepLines/>
              <w:spacing w:before="40" w:after="40"/>
              <w:jc w:val="right"/>
              <w:rPr>
                <w:rFonts w:asciiTheme="minorHAnsi" w:hAnsiTheme="minorHAnsi"/>
                <w:sz w:val="20"/>
              </w:rPr>
            </w:pPr>
            <w:r>
              <w:rPr>
                <w:rFonts w:asciiTheme="minorHAnsi" w:hAnsiTheme="minorHAnsi"/>
                <w:sz w:val="20"/>
              </w:rPr>
              <w:t>132 566</w:t>
            </w:r>
          </w:p>
        </w:tc>
        <w:tc>
          <w:tcPr>
            <w:tcW w:w="1638" w:type="dxa"/>
            <w:tcBorders>
              <w:top w:val="single" w:sz="4" w:space="0" w:color="auto"/>
              <w:left w:val="nil"/>
              <w:bottom w:val="single" w:sz="4" w:space="0" w:color="auto"/>
              <w:right w:val="single" w:sz="4" w:space="0" w:color="auto"/>
            </w:tcBorders>
          </w:tcPr>
          <w:p w14:paraId="0266ABEF" w14:textId="77777777" w:rsidR="00761B6C" w:rsidRPr="00236418" w:rsidRDefault="00761B6C" w:rsidP="000C047C">
            <w:pPr>
              <w:pStyle w:val="Tablehead"/>
              <w:keepNext/>
              <w:keepLines/>
              <w:spacing w:before="40" w:after="40"/>
              <w:jc w:val="right"/>
              <w:rPr>
                <w:rFonts w:asciiTheme="minorHAnsi" w:hAnsiTheme="minorHAnsi"/>
                <w:sz w:val="20"/>
              </w:rPr>
            </w:pPr>
            <w:r w:rsidRPr="00236418">
              <w:rPr>
                <w:rFonts w:cs="Arial"/>
                <w:sz w:val="20"/>
                <w:lang w:eastAsia="zh-CN"/>
              </w:rPr>
              <w:t>135 642</w:t>
            </w:r>
          </w:p>
        </w:tc>
      </w:tr>
    </w:tbl>
    <w:p w14:paraId="70A7AF9D" w14:textId="77777777" w:rsidR="00761B6C" w:rsidRPr="00236418" w:rsidRDefault="00761B6C" w:rsidP="00761B6C">
      <w:pPr>
        <w:spacing w:before="240"/>
      </w:pPr>
      <w:bookmarkStart w:id="1768" w:name="_Toc329178787"/>
      <w:bookmarkStart w:id="1769" w:name="_Toc329181760"/>
      <w:r w:rsidRPr="00236418">
        <w:t>En 20</w:t>
      </w:r>
      <w:r>
        <w:t>20</w:t>
      </w:r>
      <w:r w:rsidRPr="00236418">
        <w:t>, les produits différés pour les contributions représentaient les produits associés aux contributions pour l</w:t>
      </w:r>
      <w:r>
        <w:t>'</w:t>
      </w:r>
      <w:r w:rsidRPr="00236418">
        <w:t>année 202</w:t>
      </w:r>
      <w:r>
        <w:t>1</w:t>
      </w:r>
      <w:r w:rsidRPr="00236418">
        <w:t>. Les</w:t>
      </w:r>
      <w:r>
        <w:t xml:space="preserve"> autres</w:t>
      </w:r>
      <w:r w:rsidRPr="00236418">
        <w:t xml:space="preserve"> produits différés </w:t>
      </w:r>
      <w:r>
        <w:t>comprennent</w:t>
      </w:r>
      <w:r w:rsidRPr="00236418">
        <w:t xml:space="preserve"> les fiches de notification de réseaux à satellite concern</w:t>
      </w:r>
      <w:r>
        <w:t>a</w:t>
      </w:r>
      <w:r w:rsidRPr="00236418">
        <w:t xml:space="preserve">nt </w:t>
      </w:r>
      <w:bookmarkEnd w:id="1768"/>
      <w:bookmarkEnd w:id="1769"/>
      <w:r w:rsidRPr="00236418">
        <w:t>des demandes établies à la fin de 20</w:t>
      </w:r>
      <w:r>
        <w:t>20</w:t>
      </w:r>
      <w:r w:rsidRPr="00236418">
        <w:t>, pour publication en 202</w:t>
      </w:r>
      <w:r>
        <w:t>1, ainsi que l</w:t>
      </w:r>
      <w:r w:rsidRPr="00236418">
        <w:t>es accords de parrainage pour le nouveau bâtiment pour lesquels la facture a été émise mais le paiement n</w:t>
      </w:r>
      <w:r>
        <w:t>'</w:t>
      </w:r>
      <w:r w:rsidRPr="00236418">
        <w:t>a pas encore eu lieu.</w:t>
      </w:r>
    </w:p>
    <w:p w14:paraId="6C090CD3" w14:textId="77777777" w:rsidR="00761B6C" w:rsidRPr="00236418" w:rsidRDefault="00761B6C" w:rsidP="00761B6C">
      <w:pPr>
        <w:pStyle w:val="Heading1"/>
        <w:spacing w:before="240" w:after="240"/>
        <w:rPr>
          <w:sz w:val="24"/>
          <w:szCs w:val="24"/>
        </w:rPr>
      </w:pPr>
      <w:bookmarkStart w:id="1770" w:name="_Toc329178788"/>
      <w:bookmarkStart w:id="1771" w:name="_Toc329181761"/>
      <w:bookmarkStart w:id="1772" w:name="_Toc329202582"/>
      <w:bookmarkStart w:id="1773" w:name="_Toc329205014"/>
      <w:bookmarkStart w:id="1774" w:name="_Toc329206851"/>
      <w:bookmarkStart w:id="1775" w:name="_Toc358379936"/>
      <w:bookmarkStart w:id="1776" w:name="_Toc358380477"/>
      <w:bookmarkStart w:id="1777" w:name="_Toc387166657"/>
      <w:bookmarkStart w:id="1778" w:name="_Toc395260942"/>
      <w:bookmarkStart w:id="1779" w:name="_Toc395511721"/>
      <w:bookmarkStart w:id="1780" w:name="_Toc452138631"/>
      <w:bookmarkStart w:id="1781" w:name="_Toc452139080"/>
      <w:bookmarkStart w:id="1782" w:name="_Toc452139444"/>
      <w:bookmarkStart w:id="1783" w:name="_Toc452139845"/>
      <w:bookmarkStart w:id="1784" w:name="_Toc452140719"/>
      <w:bookmarkStart w:id="1785" w:name="_Toc482801509"/>
      <w:bookmarkStart w:id="1786" w:name="_Toc511649481"/>
      <w:bookmarkStart w:id="1787" w:name="_Toc511649851"/>
      <w:bookmarkStart w:id="1788" w:name="_Toc511649967"/>
      <w:bookmarkStart w:id="1789" w:name="_Toc511651225"/>
      <w:bookmarkStart w:id="1790" w:name="_Toc511724090"/>
      <w:bookmarkStart w:id="1791" w:name="_Toc511739079"/>
      <w:bookmarkStart w:id="1792" w:name="_Toc511741248"/>
      <w:bookmarkStart w:id="1793" w:name="_Toc10450754"/>
      <w:bookmarkStart w:id="1794" w:name="_Toc41566354"/>
      <w:bookmarkStart w:id="1795" w:name="_Toc41567362"/>
      <w:bookmarkStart w:id="1796" w:name="_Toc41567865"/>
      <w:bookmarkStart w:id="1797" w:name="_Toc41814960"/>
      <w:bookmarkStart w:id="1798" w:name="_Toc73354449"/>
      <w:bookmarkStart w:id="1799" w:name="_Toc73356425"/>
      <w:r w:rsidRPr="00236418">
        <w:rPr>
          <w:sz w:val="24"/>
          <w:szCs w:val="24"/>
        </w:rPr>
        <w:lastRenderedPageBreak/>
        <w:t>Note 16</w:t>
      </w:r>
      <w:r w:rsidRPr="00236418">
        <w:rPr>
          <w:sz w:val="24"/>
          <w:szCs w:val="24"/>
        </w:rPr>
        <w:tab/>
        <w:t>Emprunts et autres dettes financières</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tbl>
      <w:tblPr>
        <w:tblW w:w="9317" w:type="dxa"/>
        <w:jc w:val="center"/>
        <w:tblLayout w:type="fixed"/>
        <w:tblLook w:val="04A0" w:firstRow="1" w:lastRow="0" w:firstColumn="1" w:lastColumn="0" w:noHBand="0" w:noVBand="1"/>
        <w:tblCaption w:val="E"/>
      </w:tblPr>
      <w:tblGrid>
        <w:gridCol w:w="5082"/>
        <w:gridCol w:w="1275"/>
        <w:gridCol w:w="1480"/>
        <w:gridCol w:w="1480"/>
      </w:tblGrid>
      <w:tr w:rsidR="00761B6C" w:rsidRPr="00236418" w14:paraId="474F936D" w14:textId="77777777" w:rsidTr="00761B6C">
        <w:trPr>
          <w:trHeight w:val="499"/>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DEFC" w14:textId="77777777" w:rsidR="00761B6C" w:rsidRPr="00236418" w:rsidRDefault="00761B6C" w:rsidP="00761B6C">
            <w:pPr>
              <w:pStyle w:val="Tablehead"/>
              <w:keepNext/>
              <w:keepLines/>
              <w:spacing w:before="0" w:after="0"/>
              <w:rPr>
                <w:rFonts w:asciiTheme="minorHAnsi" w:hAnsiTheme="minorHAnsi"/>
                <w:sz w:val="20"/>
              </w:rPr>
            </w:pPr>
            <w:r w:rsidRPr="00236418">
              <w:rPr>
                <w:rFonts w:asciiTheme="minorHAnsi" w:hAnsiTheme="minorHAnsi"/>
                <w:sz w:val="20"/>
              </w:rPr>
              <w:t>En milliers</w:t>
            </w:r>
            <w:r>
              <w:rPr>
                <w:rFonts w:asciiTheme="minorHAnsi" w:hAnsiTheme="minorHAnsi"/>
                <w:sz w:val="20"/>
              </w:rPr>
              <w:t xml:space="preserve"> </w:t>
            </w:r>
            <w:r w:rsidRPr="00236418">
              <w:rPr>
                <w:rFonts w:asciiTheme="minorHAnsi" w:hAnsiTheme="minorHAnsi"/>
                <w:sz w:val="20"/>
              </w:rPr>
              <w:t xml:space="preserve">CHF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0256B" w14:textId="77777777" w:rsidR="00761B6C" w:rsidRPr="00236418" w:rsidRDefault="00761B6C" w:rsidP="00761B6C">
            <w:pPr>
              <w:pStyle w:val="Tablehead"/>
              <w:keepNext/>
              <w:keepLines/>
              <w:spacing w:before="0" w:after="0"/>
              <w:rPr>
                <w:rFonts w:asciiTheme="minorHAnsi" w:hAnsiTheme="minorHAnsi"/>
                <w:sz w:val="20"/>
              </w:rPr>
            </w:pPr>
            <w:r w:rsidRPr="00236418">
              <w:rPr>
                <w:rFonts w:asciiTheme="minorHAnsi" w:hAnsiTheme="minorHAnsi"/>
                <w:sz w:val="20"/>
              </w:rPr>
              <w:t>Échéance</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CC8325E" w14:textId="77777777" w:rsidR="00761B6C" w:rsidRPr="00236418" w:rsidRDefault="00761B6C" w:rsidP="00761B6C">
            <w:pPr>
              <w:pStyle w:val="Tablehead"/>
              <w:keepNext/>
              <w:keepLines/>
              <w:spacing w:before="0" w:after="0"/>
              <w:rPr>
                <w:rFonts w:asciiTheme="minorHAnsi" w:hAnsiTheme="minorHAnsi"/>
                <w:sz w:val="20"/>
              </w:rPr>
            </w:pPr>
            <w:r>
              <w:rPr>
                <w:rFonts w:asciiTheme="minorHAnsi" w:hAnsiTheme="minorHAnsi"/>
                <w:sz w:val="20"/>
              </w:rPr>
              <w:t>31.12.2020</w:t>
            </w:r>
          </w:p>
        </w:tc>
        <w:tc>
          <w:tcPr>
            <w:tcW w:w="1480" w:type="dxa"/>
            <w:tcBorders>
              <w:top w:val="single" w:sz="4" w:space="0" w:color="auto"/>
              <w:left w:val="single" w:sz="4" w:space="0" w:color="auto"/>
              <w:bottom w:val="single" w:sz="4" w:space="0" w:color="auto"/>
              <w:right w:val="single" w:sz="4" w:space="0" w:color="auto"/>
            </w:tcBorders>
            <w:vAlign w:val="center"/>
          </w:tcPr>
          <w:p w14:paraId="67411856" w14:textId="77777777" w:rsidR="00761B6C" w:rsidRPr="00236418" w:rsidRDefault="00761B6C" w:rsidP="00761B6C">
            <w:pPr>
              <w:pStyle w:val="Tablehead"/>
              <w:keepNext/>
              <w:keepLines/>
              <w:spacing w:before="0" w:after="0"/>
              <w:rPr>
                <w:rFonts w:asciiTheme="minorHAnsi" w:hAnsiTheme="minorHAnsi"/>
                <w:sz w:val="20"/>
              </w:rPr>
            </w:pPr>
            <w:r w:rsidRPr="00236418">
              <w:rPr>
                <w:rFonts w:asciiTheme="minorHAnsi" w:hAnsiTheme="minorHAnsi"/>
                <w:sz w:val="20"/>
              </w:rPr>
              <w:t>31.12.2019</w:t>
            </w:r>
          </w:p>
        </w:tc>
      </w:tr>
      <w:tr w:rsidR="00761B6C" w:rsidRPr="00236418" w14:paraId="2EF49E8F" w14:textId="77777777" w:rsidTr="00761B6C">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52D7A3EC" w14:textId="77777777" w:rsidR="00761B6C" w:rsidRPr="00236418" w:rsidRDefault="00761B6C" w:rsidP="00C511D8">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Montants initialement empruntés auprès de la FIPOI</w:t>
            </w:r>
          </w:p>
        </w:tc>
        <w:tc>
          <w:tcPr>
            <w:tcW w:w="1275" w:type="dxa"/>
            <w:tcBorders>
              <w:top w:val="nil"/>
              <w:left w:val="single" w:sz="4" w:space="0" w:color="auto"/>
              <w:bottom w:val="nil"/>
              <w:right w:val="single" w:sz="4" w:space="0" w:color="auto"/>
            </w:tcBorders>
            <w:shd w:val="clear" w:color="auto" w:fill="auto"/>
            <w:noWrap/>
            <w:vAlign w:val="bottom"/>
            <w:hideMark/>
          </w:tcPr>
          <w:p w14:paraId="35B88115"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r w:rsidRPr="00236418">
              <w:rPr>
                <w:rFonts w:asciiTheme="minorHAnsi" w:hAnsiTheme="minorHAnsi"/>
                <w:sz w:val="20"/>
                <w:lang w:eastAsia="fr-FR"/>
              </w:rPr>
              <w:t> </w:t>
            </w:r>
          </w:p>
        </w:tc>
        <w:tc>
          <w:tcPr>
            <w:tcW w:w="1480" w:type="dxa"/>
            <w:tcBorders>
              <w:top w:val="nil"/>
              <w:left w:val="single" w:sz="4" w:space="0" w:color="auto"/>
              <w:bottom w:val="nil"/>
              <w:right w:val="single" w:sz="4" w:space="0" w:color="auto"/>
            </w:tcBorders>
            <w:shd w:val="clear" w:color="auto" w:fill="auto"/>
            <w:noWrap/>
            <w:vAlign w:val="center"/>
          </w:tcPr>
          <w:p w14:paraId="023CCF23"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p>
        </w:tc>
        <w:tc>
          <w:tcPr>
            <w:tcW w:w="1480" w:type="dxa"/>
            <w:tcBorders>
              <w:top w:val="nil"/>
              <w:left w:val="single" w:sz="4" w:space="0" w:color="auto"/>
              <w:bottom w:val="nil"/>
              <w:right w:val="single" w:sz="4" w:space="0" w:color="auto"/>
            </w:tcBorders>
            <w:vAlign w:val="center"/>
          </w:tcPr>
          <w:p w14:paraId="71E31048"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236418">
              <w:rPr>
                <w:rFonts w:asciiTheme="minorHAnsi" w:hAnsiTheme="minorHAnsi"/>
                <w:sz w:val="20"/>
                <w:lang w:eastAsia="fr-FR"/>
              </w:rPr>
              <w:t> </w:t>
            </w:r>
          </w:p>
        </w:tc>
      </w:tr>
      <w:tr w:rsidR="00761B6C" w:rsidRPr="00236418" w14:paraId="4BED9CF1" w14:textId="77777777" w:rsidTr="00761B6C">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40192028" w14:textId="77777777" w:rsidR="00761B6C" w:rsidRPr="00236418" w:rsidRDefault="00761B6C" w:rsidP="00C511D8">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 xml:space="preserve">2 634 780 CHF – dès 1990 </w:t>
            </w:r>
          </w:p>
        </w:tc>
        <w:tc>
          <w:tcPr>
            <w:tcW w:w="1275" w:type="dxa"/>
            <w:tcBorders>
              <w:top w:val="nil"/>
              <w:left w:val="single" w:sz="4" w:space="0" w:color="auto"/>
              <w:bottom w:val="nil"/>
              <w:right w:val="single" w:sz="4" w:space="0" w:color="auto"/>
            </w:tcBorders>
            <w:shd w:val="clear" w:color="auto" w:fill="auto"/>
            <w:noWrap/>
            <w:vAlign w:val="bottom"/>
            <w:hideMark/>
          </w:tcPr>
          <w:p w14:paraId="1EF37E11"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r w:rsidRPr="00236418">
              <w:rPr>
                <w:rFonts w:asciiTheme="minorHAnsi" w:hAnsiTheme="minorHAnsi"/>
                <w:sz w:val="20"/>
                <w:lang w:eastAsia="fr-FR"/>
              </w:rPr>
              <w:t>2020</w:t>
            </w:r>
          </w:p>
        </w:tc>
        <w:tc>
          <w:tcPr>
            <w:tcW w:w="1480" w:type="dxa"/>
            <w:tcBorders>
              <w:top w:val="nil"/>
              <w:left w:val="single" w:sz="4" w:space="0" w:color="auto"/>
              <w:bottom w:val="nil"/>
              <w:right w:val="single" w:sz="4" w:space="0" w:color="auto"/>
            </w:tcBorders>
            <w:shd w:val="clear" w:color="auto" w:fill="auto"/>
            <w:noWrap/>
          </w:tcPr>
          <w:p w14:paraId="7E381C5A"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p>
        </w:tc>
        <w:tc>
          <w:tcPr>
            <w:tcW w:w="1480" w:type="dxa"/>
            <w:tcBorders>
              <w:top w:val="nil"/>
              <w:left w:val="single" w:sz="4" w:space="0" w:color="auto"/>
              <w:bottom w:val="nil"/>
              <w:right w:val="single" w:sz="4" w:space="0" w:color="auto"/>
            </w:tcBorders>
            <w:vAlign w:val="bottom"/>
          </w:tcPr>
          <w:p w14:paraId="49A4A227"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236418">
              <w:rPr>
                <w:rFonts w:cs="Arial"/>
                <w:color w:val="000000"/>
                <w:sz w:val="20"/>
                <w:lang w:eastAsia="zh-CN"/>
              </w:rPr>
              <w:t>102</w:t>
            </w:r>
          </w:p>
        </w:tc>
      </w:tr>
      <w:tr w:rsidR="00761B6C" w:rsidRPr="00236418" w14:paraId="1F01859B" w14:textId="77777777" w:rsidTr="00761B6C">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75AA9D2B" w14:textId="77777777" w:rsidR="00761B6C" w:rsidRPr="00236418" w:rsidRDefault="00761B6C" w:rsidP="00C511D8">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 xml:space="preserve">19 627 590 CHF – dès 1990 </w:t>
            </w:r>
          </w:p>
        </w:tc>
        <w:tc>
          <w:tcPr>
            <w:tcW w:w="1275" w:type="dxa"/>
            <w:tcBorders>
              <w:top w:val="nil"/>
              <w:left w:val="single" w:sz="4" w:space="0" w:color="auto"/>
              <w:bottom w:val="nil"/>
              <w:right w:val="single" w:sz="4" w:space="0" w:color="auto"/>
            </w:tcBorders>
            <w:shd w:val="clear" w:color="auto" w:fill="auto"/>
            <w:noWrap/>
            <w:vAlign w:val="bottom"/>
            <w:hideMark/>
          </w:tcPr>
          <w:p w14:paraId="2D5C6FBC"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r w:rsidRPr="00236418">
              <w:rPr>
                <w:rFonts w:asciiTheme="minorHAnsi" w:hAnsiTheme="minorHAnsi"/>
                <w:sz w:val="20"/>
                <w:lang w:eastAsia="fr-FR"/>
              </w:rPr>
              <w:t>2039</w:t>
            </w:r>
          </w:p>
        </w:tc>
        <w:tc>
          <w:tcPr>
            <w:tcW w:w="1480" w:type="dxa"/>
            <w:tcBorders>
              <w:top w:val="nil"/>
              <w:left w:val="single" w:sz="4" w:space="0" w:color="auto"/>
              <w:bottom w:val="nil"/>
              <w:right w:val="single" w:sz="4" w:space="0" w:color="auto"/>
            </w:tcBorders>
            <w:shd w:val="clear" w:color="auto" w:fill="auto"/>
            <w:noWrap/>
          </w:tcPr>
          <w:p w14:paraId="4E37558A"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8 513</w:t>
            </w:r>
          </w:p>
        </w:tc>
        <w:tc>
          <w:tcPr>
            <w:tcW w:w="1480" w:type="dxa"/>
            <w:tcBorders>
              <w:top w:val="nil"/>
              <w:left w:val="single" w:sz="4" w:space="0" w:color="auto"/>
              <w:bottom w:val="nil"/>
              <w:right w:val="single" w:sz="4" w:space="0" w:color="auto"/>
            </w:tcBorders>
            <w:vAlign w:val="bottom"/>
          </w:tcPr>
          <w:p w14:paraId="3BD96B98"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236418">
              <w:rPr>
                <w:rFonts w:cs="Arial"/>
                <w:color w:val="000000"/>
                <w:sz w:val="20"/>
                <w:lang w:eastAsia="zh-CN"/>
              </w:rPr>
              <w:t>8 856</w:t>
            </w:r>
          </w:p>
        </w:tc>
      </w:tr>
      <w:tr w:rsidR="00761B6C" w:rsidRPr="00236418" w14:paraId="728BEB9A" w14:textId="77777777" w:rsidTr="00761B6C">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186F478E" w14:textId="77777777" w:rsidR="00761B6C" w:rsidRPr="00236418" w:rsidRDefault="00761B6C" w:rsidP="00C511D8">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 xml:space="preserve">45 427 250 CHF – dès 2002 </w:t>
            </w:r>
          </w:p>
        </w:tc>
        <w:tc>
          <w:tcPr>
            <w:tcW w:w="1275" w:type="dxa"/>
            <w:tcBorders>
              <w:top w:val="nil"/>
              <w:left w:val="single" w:sz="4" w:space="0" w:color="auto"/>
              <w:bottom w:val="nil"/>
              <w:right w:val="single" w:sz="4" w:space="0" w:color="auto"/>
            </w:tcBorders>
            <w:shd w:val="clear" w:color="auto" w:fill="auto"/>
            <w:noWrap/>
            <w:vAlign w:val="bottom"/>
            <w:hideMark/>
          </w:tcPr>
          <w:p w14:paraId="0018C791"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r w:rsidRPr="00236418">
              <w:rPr>
                <w:rFonts w:asciiTheme="minorHAnsi" w:hAnsiTheme="minorHAnsi"/>
                <w:sz w:val="20"/>
                <w:lang w:eastAsia="fr-FR"/>
              </w:rPr>
              <w:t>2051</w:t>
            </w:r>
          </w:p>
        </w:tc>
        <w:tc>
          <w:tcPr>
            <w:tcW w:w="1480" w:type="dxa"/>
            <w:tcBorders>
              <w:top w:val="nil"/>
              <w:left w:val="single" w:sz="4" w:space="0" w:color="auto"/>
              <w:bottom w:val="nil"/>
              <w:right w:val="single" w:sz="4" w:space="0" w:color="auto"/>
            </w:tcBorders>
            <w:shd w:val="clear" w:color="auto" w:fill="auto"/>
            <w:noWrap/>
          </w:tcPr>
          <w:p w14:paraId="51ACA2E6"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28 166</w:t>
            </w:r>
          </w:p>
        </w:tc>
        <w:tc>
          <w:tcPr>
            <w:tcW w:w="1480" w:type="dxa"/>
            <w:tcBorders>
              <w:top w:val="nil"/>
              <w:left w:val="single" w:sz="4" w:space="0" w:color="auto"/>
              <w:bottom w:val="nil"/>
              <w:right w:val="single" w:sz="4" w:space="0" w:color="auto"/>
            </w:tcBorders>
            <w:vAlign w:val="bottom"/>
          </w:tcPr>
          <w:p w14:paraId="66F22540"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236418">
              <w:rPr>
                <w:rFonts w:cs="Arial"/>
                <w:color w:val="000000"/>
                <w:sz w:val="20"/>
                <w:lang w:eastAsia="zh-CN"/>
              </w:rPr>
              <w:t>29 074</w:t>
            </w:r>
          </w:p>
        </w:tc>
      </w:tr>
      <w:tr w:rsidR="00761B6C" w:rsidRPr="00236418" w14:paraId="01D51383" w14:textId="77777777" w:rsidTr="00761B6C">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7CDA6D99" w14:textId="77777777" w:rsidR="00761B6C" w:rsidRPr="00236418" w:rsidRDefault="00761B6C" w:rsidP="00C511D8">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 xml:space="preserve">2 000 000 CHF – dès 2002 </w:t>
            </w:r>
          </w:p>
        </w:tc>
        <w:tc>
          <w:tcPr>
            <w:tcW w:w="1275" w:type="dxa"/>
            <w:tcBorders>
              <w:top w:val="nil"/>
              <w:left w:val="single" w:sz="4" w:space="0" w:color="auto"/>
              <w:right w:val="single" w:sz="4" w:space="0" w:color="auto"/>
            </w:tcBorders>
            <w:shd w:val="clear" w:color="auto" w:fill="auto"/>
            <w:noWrap/>
            <w:vAlign w:val="bottom"/>
            <w:hideMark/>
          </w:tcPr>
          <w:p w14:paraId="62AB941F"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r w:rsidRPr="00236418">
              <w:rPr>
                <w:rFonts w:asciiTheme="minorHAnsi" w:hAnsiTheme="minorHAnsi"/>
                <w:sz w:val="20"/>
                <w:lang w:eastAsia="fr-FR"/>
              </w:rPr>
              <w:t>2051</w:t>
            </w:r>
          </w:p>
        </w:tc>
        <w:tc>
          <w:tcPr>
            <w:tcW w:w="1480" w:type="dxa"/>
            <w:tcBorders>
              <w:top w:val="nil"/>
              <w:left w:val="single" w:sz="4" w:space="0" w:color="auto"/>
              <w:right w:val="single" w:sz="4" w:space="0" w:color="auto"/>
            </w:tcBorders>
            <w:shd w:val="clear" w:color="auto" w:fill="auto"/>
            <w:noWrap/>
          </w:tcPr>
          <w:p w14:paraId="6B5E47BE"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1 240</w:t>
            </w:r>
          </w:p>
        </w:tc>
        <w:tc>
          <w:tcPr>
            <w:tcW w:w="1480" w:type="dxa"/>
            <w:tcBorders>
              <w:top w:val="nil"/>
              <w:left w:val="single" w:sz="4" w:space="0" w:color="auto"/>
              <w:right w:val="single" w:sz="4" w:space="0" w:color="auto"/>
            </w:tcBorders>
            <w:vAlign w:val="bottom"/>
          </w:tcPr>
          <w:p w14:paraId="1AF3461A"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236418">
              <w:rPr>
                <w:rFonts w:cs="Arial"/>
                <w:color w:val="000000"/>
                <w:sz w:val="20"/>
                <w:lang w:eastAsia="zh-CN"/>
              </w:rPr>
              <w:t>1 280</w:t>
            </w:r>
          </w:p>
        </w:tc>
      </w:tr>
      <w:tr w:rsidR="00761B6C" w:rsidRPr="00236418" w14:paraId="629D9234" w14:textId="77777777" w:rsidTr="00761B6C">
        <w:trPr>
          <w:trHeight w:val="201"/>
          <w:jc w:val="center"/>
        </w:trPr>
        <w:tc>
          <w:tcPr>
            <w:tcW w:w="5082" w:type="dxa"/>
            <w:tcBorders>
              <w:left w:val="single" w:sz="4" w:space="0" w:color="auto"/>
              <w:bottom w:val="single" w:sz="4" w:space="0" w:color="auto"/>
              <w:right w:val="single" w:sz="4" w:space="0" w:color="auto"/>
            </w:tcBorders>
            <w:shd w:val="clear" w:color="auto" w:fill="auto"/>
            <w:noWrap/>
          </w:tcPr>
          <w:p w14:paraId="665A47AD" w14:textId="77777777" w:rsidR="00761B6C" w:rsidRPr="00236418" w:rsidRDefault="00761B6C" w:rsidP="00C511D8">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Projet de nouveau bâtiment</w:t>
            </w:r>
          </w:p>
        </w:tc>
        <w:tc>
          <w:tcPr>
            <w:tcW w:w="1275" w:type="dxa"/>
            <w:tcBorders>
              <w:left w:val="single" w:sz="4" w:space="0" w:color="auto"/>
              <w:bottom w:val="single" w:sz="4" w:space="0" w:color="auto"/>
              <w:right w:val="single" w:sz="4" w:space="0" w:color="auto"/>
            </w:tcBorders>
            <w:shd w:val="clear" w:color="auto" w:fill="auto"/>
            <w:noWrap/>
          </w:tcPr>
          <w:p w14:paraId="307CB5CE"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r w:rsidRPr="00236418">
              <w:rPr>
                <w:rFonts w:asciiTheme="minorHAnsi" w:hAnsiTheme="minorHAnsi"/>
                <w:sz w:val="20"/>
                <w:lang w:eastAsia="fr-FR"/>
              </w:rPr>
              <w:t>–</w:t>
            </w:r>
          </w:p>
        </w:tc>
        <w:tc>
          <w:tcPr>
            <w:tcW w:w="1480" w:type="dxa"/>
            <w:tcBorders>
              <w:left w:val="single" w:sz="4" w:space="0" w:color="auto"/>
              <w:bottom w:val="single" w:sz="4" w:space="0" w:color="auto"/>
              <w:right w:val="single" w:sz="4" w:space="0" w:color="auto"/>
            </w:tcBorders>
            <w:shd w:val="clear" w:color="auto" w:fill="auto"/>
            <w:noWrap/>
          </w:tcPr>
          <w:p w14:paraId="3B577747"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9 291</w:t>
            </w:r>
          </w:p>
        </w:tc>
        <w:tc>
          <w:tcPr>
            <w:tcW w:w="1480" w:type="dxa"/>
            <w:tcBorders>
              <w:left w:val="single" w:sz="4" w:space="0" w:color="auto"/>
              <w:bottom w:val="single" w:sz="4" w:space="0" w:color="auto"/>
              <w:right w:val="single" w:sz="4" w:space="0" w:color="auto"/>
            </w:tcBorders>
          </w:tcPr>
          <w:p w14:paraId="2587B7A9"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236418">
              <w:rPr>
                <w:rFonts w:cs="Arial"/>
                <w:color w:val="000000"/>
                <w:sz w:val="20"/>
                <w:lang w:eastAsia="zh-CN"/>
              </w:rPr>
              <w:t>5 637</w:t>
            </w:r>
          </w:p>
        </w:tc>
      </w:tr>
      <w:tr w:rsidR="00761B6C" w:rsidRPr="00236418" w14:paraId="6033EE0E" w14:textId="77777777" w:rsidTr="0026263E">
        <w:trPr>
          <w:trHeight w:val="207"/>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EBD7D" w14:textId="77777777" w:rsidR="00761B6C" w:rsidRPr="00236418" w:rsidRDefault="00761B6C" w:rsidP="00C511D8">
            <w:pPr>
              <w:pStyle w:val="Tablehead"/>
              <w:keepNext/>
              <w:keepLines/>
              <w:spacing w:before="20" w:after="20"/>
              <w:jc w:val="left"/>
              <w:rPr>
                <w:rFonts w:asciiTheme="minorHAnsi" w:hAnsiTheme="minorHAnsi"/>
                <w:sz w:val="20"/>
              </w:rPr>
            </w:pPr>
            <w:r w:rsidRPr="00236418">
              <w:rPr>
                <w:rFonts w:asciiTheme="minorHAnsi" w:hAnsiTheme="minorHAnsi"/>
                <w:sz w:val="20"/>
              </w:rPr>
              <w:t>Emprunts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85421" w14:textId="77777777" w:rsidR="00761B6C" w:rsidRPr="00236418" w:rsidRDefault="00761B6C" w:rsidP="00C511D8">
            <w:pPr>
              <w:pStyle w:val="Tablehead"/>
              <w:keepNext/>
              <w:keepLines/>
              <w:spacing w:before="20" w:after="20"/>
              <w:rPr>
                <w:rFonts w:asciiTheme="minorHAnsi" w:hAnsiTheme="minorHAnsi"/>
                <w:sz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04929"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Pr>
                <w:rFonts w:asciiTheme="minorHAnsi" w:hAnsiTheme="minorHAnsi"/>
                <w:b/>
                <w:bCs/>
                <w:sz w:val="20"/>
                <w:lang w:eastAsia="fr-FR"/>
              </w:rPr>
              <w:t>47 110</w:t>
            </w:r>
          </w:p>
        </w:tc>
        <w:tc>
          <w:tcPr>
            <w:tcW w:w="1480" w:type="dxa"/>
            <w:tcBorders>
              <w:top w:val="single" w:sz="4" w:space="0" w:color="auto"/>
              <w:left w:val="single" w:sz="4" w:space="0" w:color="auto"/>
              <w:bottom w:val="single" w:sz="4" w:space="0" w:color="auto"/>
              <w:right w:val="single" w:sz="4" w:space="0" w:color="auto"/>
            </w:tcBorders>
            <w:vAlign w:val="center"/>
          </w:tcPr>
          <w:p w14:paraId="3A837533"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sidRPr="00236418">
              <w:rPr>
                <w:rFonts w:cs="Arial"/>
                <w:b/>
                <w:bCs/>
                <w:color w:val="000000"/>
                <w:sz w:val="20"/>
                <w:lang w:eastAsia="zh-CN"/>
              </w:rPr>
              <w:t>44 949</w:t>
            </w:r>
          </w:p>
        </w:tc>
      </w:tr>
      <w:tr w:rsidR="00761B6C" w:rsidRPr="00236418" w14:paraId="38A607A4" w14:textId="77777777" w:rsidTr="00761B6C">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434088B2" w14:textId="77777777" w:rsidR="00761B6C" w:rsidRPr="00236418" w:rsidRDefault="00761B6C" w:rsidP="00C511D8">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Dont part à court terme</w:t>
            </w:r>
          </w:p>
        </w:tc>
        <w:tc>
          <w:tcPr>
            <w:tcW w:w="1275" w:type="dxa"/>
            <w:tcBorders>
              <w:top w:val="nil"/>
              <w:left w:val="single" w:sz="4" w:space="0" w:color="auto"/>
              <w:right w:val="single" w:sz="4" w:space="0" w:color="auto"/>
            </w:tcBorders>
            <w:shd w:val="clear" w:color="auto" w:fill="auto"/>
            <w:noWrap/>
            <w:vAlign w:val="bottom"/>
            <w:hideMark/>
          </w:tcPr>
          <w:p w14:paraId="1DC8E6F0"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p>
        </w:tc>
        <w:tc>
          <w:tcPr>
            <w:tcW w:w="1480" w:type="dxa"/>
            <w:tcBorders>
              <w:top w:val="nil"/>
              <w:left w:val="single" w:sz="4" w:space="0" w:color="auto"/>
              <w:right w:val="single" w:sz="4" w:space="0" w:color="auto"/>
            </w:tcBorders>
            <w:shd w:val="clear" w:color="auto" w:fill="auto"/>
            <w:noWrap/>
          </w:tcPr>
          <w:p w14:paraId="3F504999"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1 391</w:t>
            </w:r>
          </w:p>
        </w:tc>
        <w:tc>
          <w:tcPr>
            <w:tcW w:w="1480" w:type="dxa"/>
            <w:tcBorders>
              <w:top w:val="nil"/>
              <w:left w:val="single" w:sz="4" w:space="0" w:color="auto"/>
              <w:right w:val="single" w:sz="4" w:space="0" w:color="auto"/>
            </w:tcBorders>
            <w:vAlign w:val="bottom"/>
          </w:tcPr>
          <w:p w14:paraId="06244635"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236418">
              <w:rPr>
                <w:rFonts w:cs="Arial"/>
                <w:color w:val="000000"/>
                <w:sz w:val="20"/>
                <w:lang w:eastAsia="zh-CN"/>
              </w:rPr>
              <w:t>1 493</w:t>
            </w:r>
          </w:p>
        </w:tc>
      </w:tr>
      <w:tr w:rsidR="00761B6C" w:rsidRPr="00236418" w14:paraId="1FD7F20D" w14:textId="77777777" w:rsidTr="00761B6C">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547FF4BF" w14:textId="77777777" w:rsidR="00761B6C" w:rsidRPr="00236418" w:rsidRDefault="00761B6C" w:rsidP="00C511D8">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Dont part à long terme</w:t>
            </w:r>
          </w:p>
        </w:tc>
        <w:tc>
          <w:tcPr>
            <w:tcW w:w="1275" w:type="dxa"/>
            <w:tcBorders>
              <w:top w:val="nil"/>
              <w:left w:val="single" w:sz="4" w:space="0" w:color="auto"/>
              <w:right w:val="single" w:sz="4" w:space="0" w:color="auto"/>
            </w:tcBorders>
            <w:shd w:val="clear" w:color="auto" w:fill="auto"/>
            <w:noWrap/>
            <w:vAlign w:val="bottom"/>
            <w:hideMark/>
          </w:tcPr>
          <w:p w14:paraId="4BDD18E1"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p>
        </w:tc>
        <w:tc>
          <w:tcPr>
            <w:tcW w:w="1480" w:type="dxa"/>
            <w:tcBorders>
              <w:top w:val="nil"/>
              <w:left w:val="single" w:sz="4" w:space="0" w:color="auto"/>
              <w:right w:val="single" w:sz="4" w:space="0" w:color="auto"/>
            </w:tcBorders>
            <w:shd w:val="clear" w:color="auto" w:fill="auto"/>
            <w:noWrap/>
          </w:tcPr>
          <w:p w14:paraId="7C10533D"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45 718</w:t>
            </w:r>
          </w:p>
        </w:tc>
        <w:tc>
          <w:tcPr>
            <w:tcW w:w="1480" w:type="dxa"/>
            <w:tcBorders>
              <w:top w:val="nil"/>
              <w:left w:val="single" w:sz="4" w:space="0" w:color="auto"/>
              <w:right w:val="single" w:sz="4" w:space="0" w:color="auto"/>
            </w:tcBorders>
            <w:vAlign w:val="bottom"/>
          </w:tcPr>
          <w:p w14:paraId="195653C2"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236418">
              <w:rPr>
                <w:rFonts w:cs="Arial"/>
                <w:color w:val="000000"/>
                <w:sz w:val="20"/>
                <w:lang w:eastAsia="zh-CN"/>
              </w:rPr>
              <w:t>43 456</w:t>
            </w:r>
          </w:p>
        </w:tc>
      </w:tr>
      <w:tr w:rsidR="00761B6C" w:rsidRPr="00236418" w14:paraId="27474889" w14:textId="77777777" w:rsidTr="00761B6C">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D9585" w14:textId="77777777" w:rsidR="00761B6C" w:rsidRPr="00236418" w:rsidRDefault="00761B6C" w:rsidP="00C511D8">
            <w:pPr>
              <w:pStyle w:val="Tablehead"/>
              <w:keepNext/>
              <w:keepLines/>
              <w:spacing w:before="20" w:after="20"/>
              <w:jc w:val="left"/>
              <w:rPr>
                <w:rFonts w:asciiTheme="minorHAnsi" w:hAnsiTheme="minorHAnsi"/>
                <w:sz w:val="20"/>
              </w:rPr>
            </w:pPr>
            <w:r w:rsidRPr="00236418">
              <w:rPr>
                <w:rFonts w:asciiTheme="minorHAnsi" w:hAnsiTheme="minorHAnsi"/>
                <w:sz w:val="20"/>
              </w:rPr>
              <w:t>Emprunts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DDD05" w14:textId="77777777" w:rsidR="00761B6C" w:rsidRPr="00236418" w:rsidRDefault="00761B6C" w:rsidP="00C511D8">
            <w:pPr>
              <w:pStyle w:val="Tablehead"/>
              <w:keepNext/>
              <w:keepLines/>
              <w:spacing w:before="20" w:after="20"/>
              <w:rPr>
                <w:rFonts w:asciiTheme="minorHAnsi" w:hAnsiTheme="minorHAnsi"/>
                <w:sz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43E4CA27"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Pr>
                <w:rFonts w:asciiTheme="minorHAnsi" w:hAnsiTheme="minorHAnsi"/>
                <w:b/>
                <w:bCs/>
                <w:sz w:val="20"/>
                <w:lang w:eastAsia="fr-FR"/>
              </w:rPr>
              <w:t>47 110</w:t>
            </w:r>
          </w:p>
        </w:tc>
        <w:tc>
          <w:tcPr>
            <w:tcW w:w="1480" w:type="dxa"/>
            <w:tcBorders>
              <w:top w:val="single" w:sz="4" w:space="0" w:color="auto"/>
              <w:left w:val="single" w:sz="4" w:space="0" w:color="auto"/>
              <w:bottom w:val="single" w:sz="4" w:space="0" w:color="auto"/>
              <w:right w:val="single" w:sz="4" w:space="0" w:color="auto"/>
            </w:tcBorders>
            <w:vAlign w:val="center"/>
          </w:tcPr>
          <w:p w14:paraId="3B2C22FE"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sidRPr="00236418">
              <w:rPr>
                <w:rFonts w:cs="Arial"/>
                <w:b/>
                <w:bCs/>
                <w:color w:val="000000"/>
                <w:sz w:val="20"/>
                <w:lang w:eastAsia="zh-CN"/>
              </w:rPr>
              <w:t>44 949</w:t>
            </w:r>
          </w:p>
        </w:tc>
      </w:tr>
      <w:tr w:rsidR="00761B6C" w:rsidRPr="00236418" w14:paraId="68A2BB55" w14:textId="77777777" w:rsidTr="00761B6C">
        <w:trPr>
          <w:trHeight w:val="255"/>
          <w:jc w:val="center"/>
        </w:trPr>
        <w:tc>
          <w:tcPr>
            <w:tcW w:w="5082" w:type="dxa"/>
            <w:tcBorders>
              <w:left w:val="single" w:sz="4" w:space="0" w:color="auto"/>
              <w:right w:val="single" w:sz="4" w:space="0" w:color="auto"/>
            </w:tcBorders>
            <w:shd w:val="clear" w:color="auto" w:fill="auto"/>
            <w:noWrap/>
            <w:vAlign w:val="bottom"/>
          </w:tcPr>
          <w:p w14:paraId="74B67693" w14:textId="77777777" w:rsidR="00761B6C" w:rsidRPr="00236418" w:rsidRDefault="00761B6C" w:rsidP="00C511D8">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Emprunts – dont part à court terme</w:t>
            </w:r>
          </w:p>
        </w:tc>
        <w:tc>
          <w:tcPr>
            <w:tcW w:w="1275" w:type="dxa"/>
            <w:tcBorders>
              <w:left w:val="single" w:sz="4" w:space="0" w:color="auto"/>
              <w:right w:val="single" w:sz="4" w:space="0" w:color="auto"/>
            </w:tcBorders>
            <w:shd w:val="clear" w:color="auto" w:fill="auto"/>
            <w:noWrap/>
            <w:vAlign w:val="bottom"/>
          </w:tcPr>
          <w:p w14:paraId="16EFD832"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rFonts w:asciiTheme="minorHAnsi" w:hAnsiTheme="minorHAnsi"/>
                <w:sz w:val="20"/>
                <w:lang w:eastAsia="fr-FR"/>
              </w:rPr>
            </w:pPr>
          </w:p>
        </w:tc>
        <w:tc>
          <w:tcPr>
            <w:tcW w:w="1480" w:type="dxa"/>
            <w:tcBorders>
              <w:left w:val="single" w:sz="4" w:space="0" w:color="auto"/>
              <w:right w:val="single" w:sz="4" w:space="0" w:color="auto"/>
            </w:tcBorders>
            <w:shd w:val="clear" w:color="auto" w:fill="auto"/>
            <w:noWrap/>
          </w:tcPr>
          <w:p w14:paraId="0A45B422"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1 391</w:t>
            </w:r>
          </w:p>
        </w:tc>
        <w:tc>
          <w:tcPr>
            <w:tcW w:w="1480" w:type="dxa"/>
            <w:tcBorders>
              <w:left w:val="single" w:sz="4" w:space="0" w:color="auto"/>
              <w:right w:val="single" w:sz="4" w:space="0" w:color="auto"/>
            </w:tcBorders>
            <w:vAlign w:val="bottom"/>
          </w:tcPr>
          <w:p w14:paraId="2F1C3825"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236418">
              <w:rPr>
                <w:rFonts w:cs="Arial"/>
                <w:color w:val="000000"/>
                <w:sz w:val="20"/>
                <w:lang w:eastAsia="zh-CN"/>
              </w:rPr>
              <w:t>1 493</w:t>
            </w:r>
          </w:p>
        </w:tc>
      </w:tr>
      <w:tr w:rsidR="00761B6C" w:rsidRPr="00236418" w14:paraId="53934518" w14:textId="77777777" w:rsidTr="00761B6C">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98831" w14:textId="77777777" w:rsidR="00761B6C" w:rsidRPr="00236418" w:rsidRDefault="00761B6C" w:rsidP="00C511D8">
            <w:pPr>
              <w:pStyle w:val="Tablehead"/>
              <w:keepNext/>
              <w:keepLines/>
              <w:spacing w:before="20" w:after="20"/>
              <w:jc w:val="left"/>
              <w:rPr>
                <w:rFonts w:asciiTheme="minorHAnsi" w:hAnsiTheme="minorHAnsi"/>
                <w:sz w:val="20"/>
              </w:rPr>
            </w:pPr>
            <w:r w:rsidRPr="00236418">
              <w:rPr>
                <w:rFonts w:asciiTheme="minorHAnsi" w:hAnsiTheme="minorHAnsi"/>
                <w:sz w:val="20"/>
              </w:rPr>
              <w:t>Emprunts – courant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A9140" w14:textId="77777777" w:rsidR="00761B6C" w:rsidRPr="00236418" w:rsidRDefault="00761B6C" w:rsidP="00C511D8">
            <w:pPr>
              <w:pStyle w:val="Tablehead"/>
              <w:keepNext/>
              <w:keepLines/>
              <w:spacing w:before="20" w:after="20"/>
              <w:rPr>
                <w:rFonts w:asciiTheme="minorHAnsi" w:hAnsiTheme="minorHAnsi"/>
                <w:sz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11D308BD"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Pr>
                <w:rFonts w:asciiTheme="minorHAnsi" w:hAnsiTheme="minorHAnsi"/>
                <w:b/>
                <w:bCs/>
                <w:sz w:val="20"/>
                <w:lang w:eastAsia="fr-FR"/>
              </w:rPr>
              <w:t>1 393</w:t>
            </w:r>
          </w:p>
        </w:tc>
        <w:tc>
          <w:tcPr>
            <w:tcW w:w="1480" w:type="dxa"/>
            <w:tcBorders>
              <w:top w:val="single" w:sz="4" w:space="0" w:color="auto"/>
              <w:left w:val="single" w:sz="4" w:space="0" w:color="auto"/>
              <w:bottom w:val="single" w:sz="4" w:space="0" w:color="auto"/>
              <w:right w:val="single" w:sz="4" w:space="0" w:color="auto"/>
            </w:tcBorders>
            <w:vAlign w:val="center"/>
          </w:tcPr>
          <w:p w14:paraId="6802EEE2"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sidRPr="00236418">
              <w:rPr>
                <w:rFonts w:cs="Arial"/>
                <w:b/>
                <w:bCs/>
                <w:color w:val="000000"/>
                <w:sz w:val="20"/>
                <w:lang w:eastAsia="zh-CN"/>
              </w:rPr>
              <w:t>1 493</w:t>
            </w:r>
          </w:p>
        </w:tc>
      </w:tr>
      <w:tr w:rsidR="00761B6C" w:rsidRPr="00236418" w14:paraId="20973B36" w14:textId="77777777" w:rsidTr="00761B6C">
        <w:trPr>
          <w:trHeight w:val="255"/>
          <w:jc w:val="center"/>
        </w:trPr>
        <w:tc>
          <w:tcPr>
            <w:tcW w:w="5082" w:type="dxa"/>
            <w:tcBorders>
              <w:left w:val="single" w:sz="4" w:space="0" w:color="auto"/>
              <w:right w:val="single" w:sz="4" w:space="0" w:color="auto"/>
            </w:tcBorders>
            <w:shd w:val="clear" w:color="auto" w:fill="auto"/>
            <w:noWrap/>
            <w:vAlign w:val="bottom"/>
          </w:tcPr>
          <w:p w14:paraId="53CE8043" w14:textId="77777777" w:rsidR="00761B6C" w:rsidRPr="00236418" w:rsidRDefault="00761B6C" w:rsidP="00C511D8">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Emprunts – dont part à long terme</w:t>
            </w:r>
          </w:p>
        </w:tc>
        <w:tc>
          <w:tcPr>
            <w:tcW w:w="1275" w:type="dxa"/>
            <w:tcBorders>
              <w:left w:val="single" w:sz="4" w:space="0" w:color="auto"/>
              <w:right w:val="single" w:sz="4" w:space="0" w:color="auto"/>
            </w:tcBorders>
            <w:shd w:val="clear" w:color="auto" w:fill="auto"/>
            <w:noWrap/>
            <w:vAlign w:val="bottom"/>
          </w:tcPr>
          <w:p w14:paraId="341B5C50" w14:textId="77777777" w:rsidR="00761B6C" w:rsidRPr="00236418" w:rsidRDefault="00761B6C" w:rsidP="00C511D8">
            <w:pPr>
              <w:pStyle w:val="Tabletext"/>
              <w:keepNext/>
              <w:keepLines/>
              <w:spacing w:before="20" w:after="20"/>
              <w:jc w:val="center"/>
              <w:rPr>
                <w:rFonts w:asciiTheme="minorHAnsi" w:hAnsiTheme="minorHAnsi"/>
                <w:sz w:val="20"/>
                <w:lang w:eastAsia="fr-FR"/>
              </w:rPr>
            </w:pPr>
          </w:p>
        </w:tc>
        <w:tc>
          <w:tcPr>
            <w:tcW w:w="1480" w:type="dxa"/>
            <w:tcBorders>
              <w:left w:val="single" w:sz="4" w:space="0" w:color="auto"/>
              <w:right w:val="single" w:sz="4" w:space="0" w:color="auto"/>
            </w:tcBorders>
            <w:shd w:val="clear" w:color="auto" w:fill="auto"/>
            <w:noWrap/>
          </w:tcPr>
          <w:p w14:paraId="18B137F7"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Pr>
                <w:rFonts w:asciiTheme="minorHAnsi" w:hAnsiTheme="minorHAnsi"/>
                <w:sz w:val="20"/>
                <w:lang w:eastAsia="fr-FR"/>
              </w:rPr>
              <w:t>45 718</w:t>
            </w:r>
          </w:p>
        </w:tc>
        <w:tc>
          <w:tcPr>
            <w:tcW w:w="1480" w:type="dxa"/>
            <w:tcBorders>
              <w:left w:val="single" w:sz="4" w:space="0" w:color="auto"/>
              <w:right w:val="single" w:sz="4" w:space="0" w:color="auto"/>
            </w:tcBorders>
            <w:vAlign w:val="bottom"/>
          </w:tcPr>
          <w:p w14:paraId="61BCBC78"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0"/>
                <w:lang w:eastAsia="fr-FR"/>
              </w:rPr>
            </w:pPr>
            <w:r w:rsidRPr="00236418">
              <w:rPr>
                <w:rFonts w:cs="Arial"/>
                <w:color w:val="000000"/>
                <w:sz w:val="20"/>
                <w:lang w:eastAsia="zh-CN"/>
              </w:rPr>
              <w:t>43 456</w:t>
            </w:r>
          </w:p>
        </w:tc>
      </w:tr>
      <w:tr w:rsidR="00761B6C" w:rsidRPr="00236418" w14:paraId="37AF5495" w14:textId="77777777" w:rsidTr="00761B6C">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74482" w14:textId="77777777" w:rsidR="00761B6C" w:rsidRPr="00236418" w:rsidRDefault="00761B6C" w:rsidP="00C511D8">
            <w:pPr>
              <w:pStyle w:val="Tablehead"/>
              <w:keepNext/>
              <w:keepLines/>
              <w:spacing w:before="20" w:after="20"/>
              <w:jc w:val="left"/>
              <w:rPr>
                <w:rFonts w:asciiTheme="minorHAnsi" w:hAnsiTheme="minorHAnsi"/>
                <w:sz w:val="20"/>
              </w:rPr>
            </w:pPr>
            <w:r w:rsidRPr="00236418">
              <w:rPr>
                <w:rFonts w:asciiTheme="minorHAnsi" w:hAnsiTheme="minorHAnsi"/>
                <w:sz w:val="20"/>
              </w:rPr>
              <w:t>Emprunts – non courant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C0A6A" w14:textId="77777777" w:rsidR="00761B6C" w:rsidRPr="00236418" w:rsidRDefault="00761B6C" w:rsidP="00C511D8">
            <w:pPr>
              <w:pStyle w:val="Tablehead"/>
              <w:keepNext/>
              <w:keepLines/>
              <w:spacing w:before="20" w:after="20"/>
              <w:rPr>
                <w:rFonts w:asciiTheme="minorHAnsi" w:hAnsiTheme="minorHAnsi"/>
                <w:sz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3C486085"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Pr>
                <w:rFonts w:asciiTheme="minorHAnsi" w:hAnsiTheme="minorHAnsi"/>
                <w:b/>
                <w:bCs/>
                <w:sz w:val="20"/>
                <w:lang w:eastAsia="fr-FR"/>
              </w:rPr>
              <w:t>45 718</w:t>
            </w:r>
          </w:p>
        </w:tc>
        <w:tc>
          <w:tcPr>
            <w:tcW w:w="1480" w:type="dxa"/>
            <w:tcBorders>
              <w:top w:val="single" w:sz="4" w:space="0" w:color="auto"/>
              <w:left w:val="single" w:sz="4" w:space="0" w:color="auto"/>
              <w:bottom w:val="single" w:sz="4" w:space="0" w:color="auto"/>
              <w:right w:val="single" w:sz="4" w:space="0" w:color="auto"/>
            </w:tcBorders>
            <w:vAlign w:val="center"/>
          </w:tcPr>
          <w:p w14:paraId="3FABAA41" w14:textId="77777777" w:rsidR="00761B6C" w:rsidRPr="00236418" w:rsidRDefault="00761B6C" w:rsidP="00C511D8">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0"/>
                <w:lang w:eastAsia="fr-FR"/>
              </w:rPr>
            </w:pPr>
            <w:r w:rsidRPr="00236418">
              <w:rPr>
                <w:rFonts w:cs="Arial"/>
                <w:b/>
                <w:bCs/>
                <w:color w:val="000000"/>
                <w:sz w:val="20"/>
                <w:lang w:eastAsia="zh-CN"/>
              </w:rPr>
              <w:t>43 456</w:t>
            </w:r>
          </w:p>
        </w:tc>
      </w:tr>
    </w:tbl>
    <w:p w14:paraId="5C4CB138" w14:textId="77777777" w:rsidR="00761B6C" w:rsidRPr="00236418" w:rsidRDefault="00761B6C" w:rsidP="00761B6C">
      <w:pPr>
        <w:spacing w:before="240"/>
      </w:pPr>
      <w:r w:rsidRPr="00236418">
        <w:t>Le remboursement du prêt accordé pour la construction des nouveaux locaux de l</w:t>
      </w:r>
      <w:r>
        <w:t>'</w:t>
      </w:r>
      <w:r w:rsidRPr="00236418">
        <w:t xml:space="preserve">UIT débutera </w:t>
      </w:r>
      <w:r w:rsidRPr="00236418">
        <w:rPr>
          <w:color w:val="000000"/>
        </w:rPr>
        <w:t>après réception du nouveau bâtiment seulement, au plus tôt début 2026.</w:t>
      </w:r>
    </w:p>
    <w:p w14:paraId="05378A10" w14:textId="77777777" w:rsidR="00761B6C" w:rsidRPr="00236418" w:rsidRDefault="00761B6C" w:rsidP="00761B6C">
      <w:r w:rsidRPr="00236418">
        <w:t>La valeur actualisée des emprunts au 31 décembre 20</w:t>
      </w:r>
      <w:r>
        <w:t>20</w:t>
      </w:r>
      <w:r w:rsidRPr="00236418">
        <w:t xml:space="preserve"> est de 2</w:t>
      </w:r>
      <w:r>
        <w:t>4</w:t>
      </w:r>
      <w:r w:rsidRPr="00236418">
        <w:t>,</w:t>
      </w:r>
      <w:r>
        <w:t>5</w:t>
      </w:r>
      <w:r w:rsidRPr="00236418">
        <w:t xml:space="preserve"> millions CHF, contre 2</w:t>
      </w:r>
      <w:r>
        <w:t>5</w:t>
      </w:r>
      <w:r w:rsidRPr="00236418">
        <w:t>,</w:t>
      </w:r>
      <w:r>
        <w:t>2</w:t>
      </w:r>
      <w:r w:rsidRPr="00236418">
        <w:t> millions CHF au 31 décembre 201</w:t>
      </w:r>
      <w:r>
        <w:t>9</w:t>
      </w:r>
      <w:r w:rsidRPr="00236418">
        <w:t>. Le différentiel avec la valeur brute représente la valeur actualisée du total des intérêts non versés jusqu</w:t>
      </w:r>
      <w:r>
        <w:t>'</w:t>
      </w:r>
      <w:r w:rsidRPr="00236418">
        <w:t>à la fin de la durée de l</w:t>
      </w:r>
      <w:r>
        <w:t>'</w:t>
      </w:r>
      <w:r w:rsidRPr="00236418">
        <w:t>emprunt.</w:t>
      </w:r>
      <w:bookmarkStart w:id="1800" w:name="_Toc268007553"/>
      <w:bookmarkStart w:id="1801" w:name="_Toc329178789"/>
      <w:bookmarkStart w:id="1802" w:name="_Toc329181762"/>
    </w:p>
    <w:p w14:paraId="3EB83DB0" w14:textId="77777777" w:rsidR="00761B6C" w:rsidRPr="00236418" w:rsidRDefault="00761B6C" w:rsidP="00761B6C">
      <w:pPr>
        <w:pStyle w:val="Heading1"/>
        <w:spacing w:before="240"/>
        <w:rPr>
          <w:sz w:val="24"/>
          <w:szCs w:val="24"/>
        </w:rPr>
      </w:pPr>
      <w:bookmarkStart w:id="1803" w:name="_Toc329202583"/>
      <w:bookmarkStart w:id="1804" w:name="_Toc329205015"/>
      <w:bookmarkStart w:id="1805" w:name="_Toc329206852"/>
      <w:bookmarkStart w:id="1806" w:name="_Toc358379937"/>
      <w:bookmarkStart w:id="1807" w:name="_Toc358380478"/>
      <w:bookmarkStart w:id="1808" w:name="_Toc387166658"/>
      <w:bookmarkStart w:id="1809" w:name="_Toc395260943"/>
      <w:bookmarkStart w:id="1810" w:name="_Toc395511722"/>
      <w:bookmarkStart w:id="1811" w:name="_Toc452138632"/>
      <w:bookmarkStart w:id="1812" w:name="_Toc452139081"/>
      <w:bookmarkStart w:id="1813" w:name="_Toc452139445"/>
      <w:bookmarkStart w:id="1814" w:name="_Toc452139846"/>
      <w:bookmarkStart w:id="1815" w:name="_Toc452140720"/>
      <w:bookmarkStart w:id="1816" w:name="_Toc482801510"/>
      <w:bookmarkStart w:id="1817" w:name="_Toc511649482"/>
      <w:bookmarkStart w:id="1818" w:name="_Toc511649852"/>
      <w:bookmarkStart w:id="1819" w:name="_Toc511649968"/>
      <w:bookmarkStart w:id="1820" w:name="_Toc511651226"/>
      <w:bookmarkStart w:id="1821" w:name="_Toc511724091"/>
      <w:bookmarkStart w:id="1822" w:name="_Toc511739080"/>
      <w:bookmarkStart w:id="1823" w:name="_Toc511741249"/>
      <w:bookmarkStart w:id="1824" w:name="_Toc10450755"/>
      <w:bookmarkStart w:id="1825" w:name="_Toc41566355"/>
      <w:bookmarkStart w:id="1826" w:name="_Toc41567363"/>
      <w:bookmarkStart w:id="1827" w:name="_Toc41567866"/>
      <w:bookmarkStart w:id="1828" w:name="_Toc41814961"/>
      <w:bookmarkStart w:id="1829" w:name="_Toc73354450"/>
      <w:bookmarkStart w:id="1830" w:name="_Toc73356426"/>
      <w:r w:rsidRPr="00236418">
        <w:rPr>
          <w:sz w:val="24"/>
          <w:szCs w:val="24"/>
        </w:rPr>
        <w:t>Note 17</w:t>
      </w:r>
      <w:r w:rsidRPr="00236418">
        <w:rPr>
          <w:sz w:val="24"/>
          <w:szCs w:val="24"/>
        </w:rPr>
        <w:tab/>
        <w:t>Avantages du personnel</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3D23536B" w14:textId="77777777" w:rsidR="00761B6C" w:rsidRPr="00236418" w:rsidRDefault="00761B6C" w:rsidP="00761B6C">
      <w:r w:rsidRPr="00236418">
        <w:t>Les avantages du personnel désignent toutes formes de contreparties données par l</w:t>
      </w:r>
      <w:r>
        <w:t>'</w:t>
      </w:r>
      <w:r w:rsidRPr="00236418">
        <w:t>UIT au titre des services rendus par ses employés. Ils sont comptabilisés à mesure qu</w:t>
      </w:r>
      <w:r>
        <w:t>'</w:t>
      </w:r>
      <w:r w:rsidRPr="00236418">
        <w:t>ils sont acquis par les membres du personnel.</w:t>
      </w:r>
    </w:p>
    <w:p w14:paraId="0F43F87B" w14:textId="77777777" w:rsidR="00761B6C" w:rsidRPr="00236418" w:rsidRDefault="00761B6C" w:rsidP="00761B6C">
      <w:pPr>
        <w:pStyle w:val="Heading2"/>
        <w:spacing w:before="120"/>
      </w:pPr>
      <w:bookmarkStart w:id="1831" w:name="_Toc329178790"/>
      <w:bookmarkStart w:id="1832" w:name="_Toc329181763"/>
      <w:bookmarkStart w:id="1833" w:name="_Toc329202584"/>
      <w:bookmarkStart w:id="1834" w:name="_Toc329205016"/>
      <w:bookmarkStart w:id="1835" w:name="_Toc329206853"/>
      <w:bookmarkStart w:id="1836" w:name="_Toc358380479"/>
      <w:bookmarkStart w:id="1837" w:name="_Toc395261097"/>
      <w:bookmarkStart w:id="1838" w:name="_Toc395511723"/>
      <w:bookmarkStart w:id="1839" w:name="_Toc452139847"/>
      <w:bookmarkStart w:id="1840" w:name="_Toc452140721"/>
      <w:bookmarkStart w:id="1841" w:name="_Toc511651227"/>
      <w:bookmarkStart w:id="1842" w:name="_Toc511740820"/>
      <w:bookmarkStart w:id="1843" w:name="_Toc511741250"/>
      <w:bookmarkStart w:id="1844" w:name="_Toc10450756"/>
      <w:bookmarkStart w:id="1845" w:name="_Toc41566356"/>
      <w:bookmarkStart w:id="1846" w:name="_Toc41567364"/>
      <w:bookmarkStart w:id="1847" w:name="_Toc41567867"/>
      <w:bookmarkStart w:id="1848" w:name="_Toc73354451"/>
      <w:bookmarkStart w:id="1849" w:name="_Toc73356427"/>
      <w:r w:rsidRPr="00236418">
        <w:t>17.1</w:t>
      </w:r>
      <w:r w:rsidRPr="00236418">
        <w:tab/>
        <w:t>Avantages du personnel à court terme</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14:paraId="3DA03A89" w14:textId="77777777" w:rsidR="00761B6C" w:rsidRPr="00236418" w:rsidRDefault="00761B6C" w:rsidP="00761B6C">
      <w:pPr>
        <w:pStyle w:val="Headingb"/>
        <w:spacing w:before="120" w:after="120"/>
      </w:pPr>
      <w:bookmarkStart w:id="1850" w:name="_Toc329178791"/>
      <w:bookmarkStart w:id="1851" w:name="_Toc329181764"/>
      <w:bookmarkStart w:id="1852" w:name="_Toc358379938"/>
      <w:bookmarkStart w:id="1853" w:name="_Toc358380480"/>
      <w:bookmarkStart w:id="1854" w:name="_Toc387166659"/>
      <w:bookmarkStart w:id="1855" w:name="_Toc387167479"/>
      <w:bookmarkStart w:id="1856" w:name="_Toc395260944"/>
      <w:bookmarkStart w:id="1857" w:name="_Toc395511724"/>
      <w:bookmarkStart w:id="1858" w:name="_Toc452138633"/>
      <w:bookmarkStart w:id="1859" w:name="_Toc452139082"/>
      <w:bookmarkStart w:id="1860" w:name="_Toc452139446"/>
      <w:bookmarkStart w:id="1861" w:name="_Toc452139848"/>
      <w:bookmarkStart w:id="1862" w:name="_Toc452140722"/>
      <w:bookmarkStart w:id="1863" w:name="_Toc482801511"/>
      <w:bookmarkStart w:id="1864" w:name="_Toc482888768"/>
      <w:bookmarkStart w:id="1865" w:name="_Toc511649483"/>
      <w:bookmarkStart w:id="1866" w:name="_Toc511649853"/>
      <w:bookmarkStart w:id="1867" w:name="_Toc511649969"/>
      <w:bookmarkStart w:id="1868" w:name="_Toc511650088"/>
      <w:bookmarkStart w:id="1869" w:name="_Toc511650582"/>
      <w:bookmarkStart w:id="1870" w:name="_Toc511651228"/>
      <w:bookmarkStart w:id="1871" w:name="_Toc511724092"/>
      <w:bookmarkStart w:id="1872" w:name="_Toc511739081"/>
      <w:bookmarkStart w:id="1873" w:name="_Toc511741251"/>
      <w:bookmarkStart w:id="1874" w:name="_Toc9605743"/>
      <w:bookmarkStart w:id="1875" w:name="_Toc10450757"/>
      <w:bookmarkStart w:id="1876" w:name="_Toc41566357"/>
      <w:bookmarkStart w:id="1877" w:name="_Toc41814962"/>
      <w:bookmarkStart w:id="1878" w:name="_Toc73354452"/>
      <w:bookmarkStart w:id="1879" w:name="_Toc73356428"/>
      <w:r w:rsidRPr="00236418">
        <w:t>Chiffres au 31.12.</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rsidRPr="00236418">
        <w:t>20</w:t>
      </w:r>
      <w:bookmarkEnd w:id="1874"/>
      <w:bookmarkEnd w:id="1875"/>
      <w:bookmarkEnd w:id="1876"/>
      <w:bookmarkEnd w:id="1877"/>
      <w:r>
        <w:t>20</w:t>
      </w:r>
      <w:bookmarkEnd w:id="1878"/>
      <w:bookmarkEnd w:id="18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
      </w:tblPr>
      <w:tblGrid>
        <w:gridCol w:w="2408"/>
        <w:gridCol w:w="2407"/>
        <w:gridCol w:w="2407"/>
        <w:gridCol w:w="2407"/>
      </w:tblGrid>
      <w:tr w:rsidR="00761B6C" w:rsidRPr="00236418" w14:paraId="2406F76B" w14:textId="77777777" w:rsidTr="00761B6C">
        <w:trPr>
          <w:jc w:val="center"/>
        </w:trPr>
        <w:tc>
          <w:tcPr>
            <w:tcW w:w="2408" w:type="dxa"/>
            <w:vAlign w:val="center"/>
          </w:tcPr>
          <w:p w14:paraId="46F267EB" w14:textId="77777777" w:rsidR="00761B6C" w:rsidRPr="00236418" w:rsidRDefault="00761B6C" w:rsidP="0026263E">
            <w:pPr>
              <w:pStyle w:val="Tablehead"/>
              <w:keepNext/>
              <w:keepLines/>
              <w:spacing w:before="60" w:after="60"/>
              <w:rPr>
                <w:rFonts w:asciiTheme="minorHAnsi" w:hAnsiTheme="minorHAnsi"/>
                <w:sz w:val="20"/>
              </w:rPr>
            </w:pPr>
          </w:p>
        </w:tc>
        <w:tc>
          <w:tcPr>
            <w:tcW w:w="7221" w:type="dxa"/>
            <w:gridSpan w:val="3"/>
          </w:tcPr>
          <w:p w14:paraId="5C898D84" w14:textId="77777777" w:rsidR="00761B6C" w:rsidRPr="00236418" w:rsidRDefault="00761B6C" w:rsidP="0026263E">
            <w:pPr>
              <w:pStyle w:val="Tablehead"/>
              <w:keepNext/>
              <w:keepLines/>
              <w:spacing w:before="60" w:after="60"/>
              <w:rPr>
                <w:rFonts w:asciiTheme="minorHAnsi" w:hAnsiTheme="minorHAnsi"/>
                <w:sz w:val="20"/>
              </w:rPr>
            </w:pPr>
            <w:r w:rsidRPr="00236418">
              <w:rPr>
                <w:rFonts w:asciiTheme="minorHAnsi" w:hAnsiTheme="minorHAnsi"/>
                <w:sz w:val="20"/>
              </w:rPr>
              <w:t>Avantages du personnel – court terme</w:t>
            </w:r>
          </w:p>
        </w:tc>
      </w:tr>
      <w:tr w:rsidR="00761B6C" w:rsidRPr="00236418" w14:paraId="09F92CF2" w14:textId="77777777" w:rsidTr="00761B6C">
        <w:trPr>
          <w:jc w:val="center"/>
        </w:trPr>
        <w:tc>
          <w:tcPr>
            <w:tcW w:w="2408" w:type="dxa"/>
            <w:vAlign w:val="center"/>
          </w:tcPr>
          <w:p w14:paraId="3A4E7E04" w14:textId="77777777" w:rsidR="00761B6C" w:rsidRPr="00236418" w:rsidRDefault="00761B6C" w:rsidP="0026263E">
            <w:pPr>
              <w:pStyle w:val="Tablehead"/>
              <w:keepNext/>
              <w:keepLines/>
              <w:spacing w:before="20" w:after="20"/>
              <w:rPr>
                <w:rFonts w:asciiTheme="minorHAnsi" w:hAnsiTheme="minorHAnsi"/>
                <w:sz w:val="20"/>
              </w:rPr>
            </w:pPr>
            <w:r w:rsidRPr="00236418">
              <w:rPr>
                <w:rFonts w:asciiTheme="minorHAnsi" w:hAnsiTheme="minorHAnsi"/>
                <w:sz w:val="20"/>
              </w:rPr>
              <w:t>En milliers</w:t>
            </w:r>
            <w:r>
              <w:rPr>
                <w:rFonts w:asciiTheme="minorHAnsi" w:hAnsiTheme="minorHAnsi"/>
                <w:sz w:val="20"/>
              </w:rPr>
              <w:t xml:space="preserve"> </w:t>
            </w:r>
            <w:r w:rsidRPr="00236418">
              <w:rPr>
                <w:rFonts w:asciiTheme="minorHAnsi" w:hAnsiTheme="minorHAnsi"/>
                <w:sz w:val="20"/>
              </w:rPr>
              <w:t>CHF</w:t>
            </w:r>
          </w:p>
        </w:tc>
        <w:tc>
          <w:tcPr>
            <w:tcW w:w="2407" w:type="dxa"/>
            <w:vAlign w:val="center"/>
          </w:tcPr>
          <w:p w14:paraId="7045377E" w14:textId="77777777" w:rsidR="00761B6C" w:rsidRPr="00236418" w:rsidRDefault="00761B6C" w:rsidP="0026263E">
            <w:pPr>
              <w:pStyle w:val="Tablehead"/>
              <w:keepNext/>
              <w:keepLines/>
              <w:spacing w:before="20" w:after="20"/>
              <w:rPr>
                <w:rFonts w:asciiTheme="minorHAnsi" w:hAnsiTheme="minorHAnsi"/>
                <w:sz w:val="20"/>
              </w:rPr>
            </w:pPr>
            <w:r w:rsidRPr="00236418">
              <w:rPr>
                <w:rFonts w:asciiTheme="minorHAnsi" w:hAnsiTheme="minorHAnsi"/>
                <w:sz w:val="20"/>
              </w:rPr>
              <w:t>Heures supplémentaires</w:t>
            </w:r>
          </w:p>
        </w:tc>
        <w:tc>
          <w:tcPr>
            <w:tcW w:w="2407" w:type="dxa"/>
            <w:vAlign w:val="center"/>
          </w:tcPr>
          <w:p w14:paraId="2A6EC706" w14:textId="77777777" w:rsidR="00761B6C" w:rsidRPr="00236418" w:rsidRDefault="00761B6C" w:rsidP="0026263E">
            <w:pPr>
              <w:pStyle w:val="Tablehead"/>
              <w:keepNext/>
              <w:keepLines/>
              <w:spacing w:before="20" w:after="20"/>
              <w:rPr>
                <w:rFonts w:asciiTheme="minorHAnsi" w:hAnsiTheme="minorHAnsi"/>
                <w:sz w:val="20"/>
              </w:rPr>
            </w:pPr>
            <w:r w:rsidRPr="00236418">
              <w:rPr>
                <w:rFonts w:asciiTheme="minorHAnsi" w:hAnsiTheme="minorHAnsi"/>
                <w:sz w:val="20"/>
              </w:rPr>
              <w:t>Congés accumulés</w:t>
            </w:r>
          </w:p>
        </w:tc>
        <w:tc>
          <w:tcPr>
            <w:tcW w:w="2407" w:type="dxa"/>
            <w:vAlign w:val="center"/>
          </w:tcPr>
          <w:p w14:paraId="76D5FA88" w14:textId="77777777" w:rsidR="00761B6C" w:rsidRPr="00236418" w:rsidRDefault="00761B6C" w:rsidP="0026263E">
            <w:pPr>
              <w:pStyle w:val="Tablehead"/>
              <w:keepNext/>
              <w:keepLines/>
              <w:spacing w:before="20" w:after="20"/>
              <w:rPr>
                <w:rFonts w:asciiTheme="minorHAnsi" w:hAnsiTheme="minorHAnsi"/>
                <w:sz w:val="20"/>
              </w:rPr>
            </w:pPr>
            <w:r w:rsidRPr="00236418">
              <w:rPr>
                <w:rFonts w:asciiTheme="minorHAnsi" w:hAnsiTheme="minorHAnsi"/>
                <w:sz w:val="20"/>
              </w:rPr>
              <w:t xml:space="preserve">Total avantages du personnel </w:t>
            </w:r>
            <w:r w:rsidRPr="00236418">
              <w:rPr>
                <w:rFonts w:asciiTheme="minorHAnsi" w:hAnsiTheme="minorHAnsi"/>
                <w:sz w:val="20"/>
              </w:rPr>
              <w:sym w:font="Symbol" w:char="F02D"/>
            </w:r>
            <w:r w:rsidRPr="00236418">
              <w:rPr>
                <w:rFonts w:asciiTheme="minorHAnsi" w:hAnsiTheme="minorHAnsi"/>
                <w:sz w:val="20"/>
              </w:rPr>
              <w:t xml:space="preserve"> court terme</w:t>
            </w:r>
          </w:p>
        </w:tc>
      </w:tr>
      <w:tr w:rsidR="00761B6C" w:rsidRPr="00236418" w14:paraId="2CB3B87E" w14:textId="77777777" w:rsidTr="00761B6C">
        <w:trPr>
          <w:jc w:val="center"/>
        </w:trPr>
        <w:tc>
          <w:tcPr>
            <w:tcW w:w="2408" w:type="dxa"/>
            <w:tcBorders>
              <w:bottom w:val="single" w:sz="4" w:space="0" w:color="auto"/>
            </w:tcBorders>
          </w:tcPr>
          <w:p w14:paraId="373DE501" w14:textId="77777777" w:rsidR="00761B6C" w:rsidRPr="00236418" w:rsidRDefault="00761B6C" w:rsidP="0026263E">
            <w:pPr>
              <w:pStyle w:val="Tablehead"/>
              <w:keepNext/>
              <w:keepLines/>
              <w:spacing w:before="20" w:after="20"/>
              <w:jc w:val="left"/>
              <w:rPr>
                <w:rFonts w:asciiTheme="minorHAnsi" w:hAnsiTheme="minorHAnsi"/>
                <w:sz w:val="20"/>
              </w:rPr>
            </w:pPr>
            <w:r w:rsidRPr="00236418">
              <w:rPr>
                <w:rFonts w:asciiTheme="minorHAnsi" w:hAnsiTheme="minorHAnsi"/>
                <w:sz w:val="20"/>
              </w:rPr>
              <w:t>Solde d</w:t>
            </w:r>
            <w:r>
              <w:rPr>
                <w:rFonts w:asciiTheme="minorHAnsi" w:hAnsiTheme="minorHAnsi"/>
                <w:sz w:val="20"/>
              </w:rPr>
              <w:t>'</w:t>
            </w:r>
            <w:r w:rsidRPr="00236418">
              <w:rPr>
                <w:rFonts w:asciiTheme="minorHAnsi" w:hAnsiTheme="minorHAnsi"/>
                <w:sz w:val="20"/>
              </w:rPr>
              <w:t xml:space="preserve">ouverture </w:t>
            </w:r>
          </w:p>
        </w:tc>
        <w:tc>
          <w:tcPr>
            <w:tcW w:w="2407" w:type="dxa"/>
            <w:tcBorders>
              <w:bottom w:val="single" w:sz="4" w:space="0" w:color="auto"/>
            </w:tcBorders>
            <w:vAlign w:val="center"/>
          </w:tcPr>
          <w:p w14:paraId="5C872DD4"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46</w:t>
            </w:r>
          </w:p>
        </w:tc>
        <w:tc>
          <w:tcPr>
            <w:tcW w:w="2407" w:type="dxa"/>
            <w:tcBorders>
              <w:bottom w:val="single" w:sz="4" w:space="0" w:color="auto"/>
            </w:tcBorders>
            <w:vAlign w:val="center"/>
          </w:tcPr>
          <w:p w14:paraId="48F60F62"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132</w:t>
            </w:r>
          </w:p>
        </w:tc>
        <w:tc>
          <w:tcPr>
            <w:tcW w:w="2407" w:type="dxa"/>
            <w:tcBorders>
              <w:bottom w:val="single" w:sz="4" w:space="0" w:color="auto"/>
            </w:tcBorders>
            <w:vAlign w:val="center"/>
          </w:tcPr>
          <w:p w14:paraId="22B8F5A0"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178</w:t>
            </w:r>
          </w:p>
        </w:tc>
      </w:tr>
      <w:tr w:rsidR="00761B6C" w:rsidRPr="00236418" w14:paraId="4F543139" w14:textId="77777777" w:rsidTr="00761B6C">
        <w:trPr>
          <w:jc w:val="center"/>
        </w:trPr>
        <w:tc>
          <w:tcPr>
            <w:tcW w:w="2408" w:type="dxa"/>
            <w:tcBorders>
              <w:bottom w:val="nil"/>
            </w:tcBorders>
          </w:tcPr>
          <w:p w14:paraId="05B98A8D" w14:textId="77777777" w:rsidR="00761B6C" w:rsidRPr="00236418" w:rsidRDefault="00761B6C" w:rsidP="0026263E">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Augmentation</w:t>
            </w:r>
          </w:p>
        </w:tc>
        <w:tc>
          <w:tcPr>
            <w:tcW w:w="2407" w:type="dxa"/>
            <w:tcBorders>
              <w:bottom w:val="nil"/>
            </w:tcBorders>
            <w:vAlign w:val="bottom"/>
          </w:tcPr>
          <w:p w14:paraId="3A04EF5B"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sidRPr="00CB156B">
              <w:rPr>
                <w:rFonts w:cs="Arial"/>
                <w:sz w:val="20"/>
                <w:lang w:val="en-US" w:eastAsia="zh-CN"/>
              </w:rPr>
              <w:t>10</w:t>
            </w:r>
          </w:p>
        </w:tc>
        <w:tc>
          <w:tcPr>
            <w:tcW w:w="2407" w:type="dxa"/>
            <w:tcBorders>
              <w:bottom w:val="nil"/>
            </w:tcBorders>
            <w:vAlign w:val="bottom"/>
          </w:tcPr>
          <w:p w14:paraId="6A5F4F5F"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2407" w:type="dxa"/>
            <w:tcBorders>
              <w:bottom w:val="nil"/>
            </w:tcBorders>
            <w:vAlign w:val="bottom"/>
          </w:tcPr>
          <w:p w14:paraId="6574DD21"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sidRPr="00CB156B">
              <w:rPr>
                <w:rFonts w:cs="Arial"/>
                <w:color w:val="000000"/>
                <w:sz w:val="20"/>
                <w:lang w:val="en-US" w:eastAsia="zh-CN"/>
              </w:rPr>
              <w:t>10</w:t>
            </w:r>
          </w:p>
        </w:tc>
      </w:tr>
      <w:tr w:rsidR="00761B6C" w:rsidRPr="00236418" w14:paraId="38FBFAD0" w14:textId="77777777" w:rsidTr="00761B6C">
        <w:trPr>
          <w:jc w:val="center"/>
        </w:trPr>
        <w:tc>
          <w:tcPr>
            <w:tcW w:w="2408" w:type="dxa"/>
            <w:tcBorders>
              <w:top w:val="nil"/>
              <w:bottom w:val="nil"/>
            </w:tcBorders>
          </w:tcPr>
          <w:p w14:paraId="6BF149AC" w14:textId="77777777" w:rsidR="00761B6C" w:rsidRPr="00236418" w:rsidRDefault="00761B6C" w:rsidP="0026263E">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Utilisé en cours d</w:t>
            </w:r>
            <w:r>
              <w:rPr>
                <w:rFonts w:asciiTheme="minorHAnsi" w:hAnsiTheme="minorHAnsi"/>
                <w:sz w:val="20"/>
                <w:lang w:eastAsia="fr-FR"/>
              </w:rPr>
              <w:t>'</w:t>
            </w:r>
            <w:r w:rsidRPr="00236418">
              <w:rPr>
                <w:rFonts w:asciiTheme="minorHAnsi" w:hAnsiTheme="minorHAnsi"/>
                <w:sz w:val="20"/>
                <w:lang w:eastAsia="fr-FR"/>
              </w:rPr>
              <w:t>exercice</w:t>
            </w:r>
          </w:p>
        </w:tc>
        <w:tc>
          <w:tcPr>
            <w:tcW w:w="2407" w:type="dxa"/>
            <w:tcBorders>
              <w:top w:val="nil"/>
              <w:bottom w:val="nil"/>
            </w:tcBorders>
            <w:vAlign w:val="bottom"/>
          </w:tcPr>
          <w:p w14:paraId="22A42FE4"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sidRPr="00CB156B">
              <w:rPr>
                <w:rFonts w:cs="Arial"/>
                <w:color w:val="000000"/>
                <w:sz w:val="20"/>
                <w:lang w:val="en-US" w:eastAsia="zh-CN"/>
              </w:rPr>
              <w:t>–42</w:t>
            </w:r>
          </w:p>
        </w:tc>
        <w:tc>
          <w:tcPr>
            <w:tcW w:w="2407" w:type="dxa"/>
            <w:tcBorders>
              <w:top w:val="nil"/>
              <w:bottom w:val="nil"/>
            </w:tcBorders>
            <w:vAlign w:val="bottom"/>
          </w:tcPr>
          <w:p w14:paraId="0FCE0098"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2</w:t>
            </w:r>
          </w:p>
        </w:tc>
        <w:tc>
          <w:tcPr>
            <w:tcW w:w="2407" w:type="dxa"/>
            <w:tcBorders>
              <w:top w:val="nil"/>
              <w:bottom w:val="nil"/>
            </w:tcBorders>
            <w:vAlign w:val="bottom"/>
          </w:tcPr>
          <w:p w14:paraId="6CF9749F"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44</w:t>
            </w:r>
          </w:p>
        </w:tc>
      </w:tr>
      <w:tr w:rsidR="00761B6C" w:rsidRPr="00236418" w14:paraId="2F6AAE7D" w14:textId="77777777" w:rsidTr="00761B6C">
        <w:trPr>
          <w:jc w:val="center"/>
        </w:trPr>
        <w:tc>
          <w:tcPr>
            <w:tcW w:w="2408" w:type="dxa"/>
            <w:tcBorders>
              <w:top w:val="nil"/>
              <w:bottom w:val="nil"/>
            </w:tcBorders>
          </w:tcPr>
          <w:p w14:paraId="35D1CB90" w14:textId="77777777" w:rsidR="00761B6C" w:rsidRPr="00236418" w:rsidRDefault="00761B6C" w:rsidP="0026263E">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Débloqué</w:t>
            </w:r>
          </w:p>
        </w:tc>
        <w:tc>
          <w:tcPr>
            <w:tcW w:w="2407" w:type="dxa"/>
            <w:tcBorders>
              <w:top w:val="nil"/>
              <w:bottom w:val="nil"/>
            </w:tcBorders>
            <w:vAlign w:val="bottom"/>
          </w:tcPr>
          <w:p w14:paraId="4C7B3086"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4</w:t>
            </w:r>
          </w:p>
        </w:tc>
        <w:tc>
          <w:tcPr>
            <w:tcW w:w="2407" w:type="dxa"/>
            <w:tcBorders>
              <w:top w:val="nil"/>
              <w:bottom w:val="nil"/>
            </w:tcBorders>
            <w:vAlign w:val="bottom"/>
          </w:tcPr>
          <w:p w14:paraId="2D015D06"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33</w:t>
            </w:r>
          </w:p>
        </w:tc>
        <w:tc>
          <w:tcPr>
            <w:tcW w:w="2407" w:type="dxa"/>
            <w:tcBorders>
              <w:top w:val="nil"/>
              <w:bottom w:val="nil"/>
            </w:tcBorders>
            <w:vAlign w:val="bottom"/>
          </w:tcPr>
          <w:p w14:paraId="285A6894"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37</w:t>
            </w:r>
          </w:p>
        </w:tc>
      </w:tr>
      <w:tr w:rsidR="00761B6C" w:rsidRPr="00236418" w14:paraId="29843699" w14:textId="77777777" w:rsidTr="00761B6C">
        <w:trPr>
          <w:jc w:val="center"/>
        </w:trPr>
        <w:tc>
          <w:tcPr>
            <w:tcW w:w="2408" w:type="dxa"/>
            <w:tcBorders>
              <w:top w:val="nil"/>
              <w:bottom w:val="nil"/>
            </w:tcBorders>
          </w:tcPr>
          <w:p w14:paraId="2AB4B825" w14:textId="77777777" w:rsidR="00761B6C" w:rsidRPr="00236418" w:rsidRDefault="00761B6C" w:rsidP="0026263E">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Transfert</w:t>
            </w:r>
          </w:p>
        </w:tc>
        <w:tc>
          <w:tcPr>
            <w:tcW w:w="2407" w:type="dxa"/>
            <w:tcBorders>
              <w:top w:val="nil"/>
              <w:bottom w:val="nil"/>
            </w:tcBorders>
            <w:vAlign w:val="bottom"/>
          </w:tcPr>
          <w:p w14:paraId="720928E6"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2407" w:type="dxa"/>
            <w:tcBorders>
              <w:top w:val="nil"/>
              <w:bottom w:val="nil"/>
            </w:tcBorders>
            <w:vAlign w:val="bottom"/>
          </w:tcPr>
          <w:p w14:paraId="6472E801"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97</w:t>
            </w:r>
          </w:p>
        </w:tc>
        <w:tc>
          <w:tcPr>
            <w:tcW w:w="2407" w:type="dxa"/>
            <w:tcBorders>
              <w:top w:val="nil"/>
              <w:bottom w:val="nil"/>
            </w:tcBorders>
            <w:vAlign w:val="bottom"/>
          </w:tcPr>
          <w:p w14:paraId="273B504C"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97</w:t>
            </w:r>
          </w:p>
        </w:tc>
      </w:tr>
      <w:tr w:rsidR="00761B6C" w:rsidRPr="00236418" w14:paraId="0B0C6602" w14:textId="77777777" w:rsidTr="00761B6C">
        <w:trPr>
          <w:jc w:val="center"/>
        </w:trPr>
        <w:tc>
          <w:tcPr>
            <w:tcW w:w="2408" w:type="dxa"/>
            <w:tcBorders>
              <w:top w:val="nil"/>
              <w:bottom w:val="nil"/>
            </w:tcBorders>
          </w:tcPr>
          <w:p w14:paraId="502F4DE5" w14:textId="77777777" w:rsidR="00761B6C" w:rsidRPr="00236418" w:rsidRDefault="00761B6C" w:rsidP="0026263E">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Gains de change non réalisés</w:t>
            </w:r>
          </w:p>
        </w:tc>
        <w:tc>
          <w:tcPr>
            <w:tcW w:w="2407" w:type="dxa"/>
            <w:tcBorders>
              <w:top w:val="nil"/>
              <w:bottom w:val="nil"/>
            </w:tcBorders>
            <w:vAlign w:val="bottom"/>
          </w:tcPr>
          <w:p w14:paraId="41CC1A84"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2407" w:type="dxa"/>
            <w:tcBorders>
              <w:top w:val="nil"/>
              <w:bottom w:val="nil"/>
            </w:tcBorders>
            <w:vAlign w:val="bottom"/>
          </w:tcPr>
          <w:p w14:paraId="4E220900"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2407" w:type="dxa"/>
            <w:tcBorders>
              <w:top w:val="nil"/>
              <w:bottom w:val="nil"/>
            </w:tcBorders>
            <w:vAlign w:val="bottom"/>
          </w:tcPr>
          <w:p w14:paraId="0AC0370B"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r>
      <w:tr w:rsidR="00761B6C" w:rsidRPr="00236418" w14:paraId="64CC972B" w14:textId="77777777" w:rsidTr="00761B6C">
        <w:trPr>
          <w:jc w:val="center"/>
        </w:trPr>
        <w:tc>
          <w:tcPr>
            <w:tcW w:w="2408" w:type="dxa"/>
          </w:tcPr>
          <w:p w14:paraId="75B2195D" w14:textId="77777777" w:rsidR="00761B6C" w:rsidRPr="00236418" w:rsidRDefault="00761B6C" w:rsidP="0026263E">
            <w:pPr>
              <w:pStyle w:val="Tablehead"/>
              <w:keepNext/>
              <w:keepLines/>
              <w:spacing w:before="20" w:after="20"/>
              <w:jc w:val="left"/>
              <w:rPr>
                <w:rFonts w:asciiTheme="minorHAnsi" w:hAnsiTheme="minorHAnsi"/>
                <w:sz w:val="20"/>
              </w:rPr>
            </w:pPr>
            <w:r w:rsidRPr="00236418">
              <w:rPr>
                <w:rFonts w:asciiTheme="minorHAnsi" w:hAnsiTheme="minorHAnsi"/>
                <w:sz w:val="20"/>
              </w:rPr>
              <w:t xml:space="preserve">Solde de clôture </w:t>
            </w:r>
          </w:p>
        </w:tc>
        <w:tc>
          <w:tcPr>
            <w:tcW w:w="2407" w:type="dxa"/>
            <w:vAlign w:val="center"/>
          </w:tcPr>
          <w:p w14:paraId="4C83FF4B"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10</w:t>
            </w:r>
          </w:p>
        </w:tc>
        <w:tc>
          <w:tcPr>
            <w:tcW w:w="2407" w:type="dxa"/>
            <w:vAlign w:val="center"/>
          </w:tcPr>
          <w:p w14:paraId="7EE5B97B"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Pr>
                <w:rFonts w:cs="Arial"/>
                <w:color w:val="000000"/>
                <w:sz w:val="20"/>
                <w:lang w:val="en-US" w:eastAsia="zh-CN"/>
              </w:rPr>
              <w:t>–</w:t>
            </w:r>
          </w:p>
        </w:tc>
        <w:tc>
          <w:tcPr>
            <w:tcW w:w="2407" w:type="dxa"/>
            <w:vAlign w:val="center"/>
          </w:tcPr>
          <w:p w14:paraId="4E09B0B3"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10</w:t>
            </w:r>
          </w:p>
        </w:tc>
      </w:tr>
    </w:tbl>
    <w:p w14:paraId="17D04C27" w14:textId="77777777" w:rsidR="00761B6C" w:rsidRPr="00236418" w:rsidRDefault="00761B6C" w:rsidP="0026263E">
      <w:pPr>
        <w:spacing w:before="240"/>
      </w:pPr>
      <w:r w:rsidRPr="00236418">
        <w:t>Les heures supplémentaires sont calculées suivant les modalités établies dans les Statut et Règlement du personnel, sur la base des conditions et pratiques locales des organisations locales appliquant le régime commun des Nations Unies.</w:t>
      </w:r>
    </w:p>
    <w:p w14:paraId="2D062D7D" w14:textId="77777777" w:rsidR="00761B6C" w:rsidRPr="00236418" w:rsidRDefault="00761B6C" w:rsidP="00761B6C">
      <w:pPr>
        <w:pStyle w:val="Heading2"/>
      </w:pPr>
      <w:bookmarkStart w:id="1880" w:name="_Toc329178792"/>
      <w:bookmarkStart w:id="1881" w:name="_Toc329181765"/>
      <w:bookmarkStart w:id="1882" w:name="_Toc329202586"/>
      <w:bookmarkStart w:id="1883" w:name="_Toc329205018"/>
      <w:bookmarkStart w:id="1884" w:name="_Toc329206855"/>
      <w:bookmarkStart w:id="1885" w:name="_Toc358380481"/>
      <w:bookmarkStart w:id="1886" w:name="_Toc395261098"/>
      <w:bookmarkStart w:id="1887" w:name="_Toc395511725"/>
      <w:bookmarkStart w:id="1888" w:name="_Toc452139849"/>
      <w:bookmarkStart w:id="1889" w:name="_Toc452140723"/>
      <w:bookmarkStart w:id="1890" w:name="_Toc511651229"/>
      <w:bookmarkStart w:id="1891" w:name="_Toc511740821"/>
      <w:bookmarkStart w:id="1892" w:name="_Toc511741252"/>
      <w:bookmarkStart w:id="1893" w:name="_Toc10450758"/>
      <w:bookmarkStart w:id="1894" w:name="_Toc41566358"/>
      <w:bookmarkStart w:id="1895" w:name="_Toc41567365"/>
      <w:bookmarkStart w:id="1896" w:name="_Toc41567868"/>
      <w:bookmarkStart w:id="1897" w:name="_Toc73354453"/>
      <w:bookmarkStart w:id="1898" w:name="_Toc73356429"/>
      <w:r w:rsidRPr="00236418">
        <w:lastRenderedPageBreak/>
        <w:t>17.2</w:t>
      </w:r>
      <w:r w:rsidRPr="00236418">
        <w:tab/>
        <w:t>Avantages du personnel à long terme</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610BEC86" w14:textId="77777777" w:rsidR="00761B6C" w:rsidRPr="00236418" w:rsidRDefault="00761B6C" w:rsidP="00761B6C">
      <w:pPr>
        <w:pStyle w:val="Tabletitle"/>
        <w:keepLines/>
        <w:spacing w:before="120"/>
        <w:ind w:left="567" w:hanging="567"/>
        <w:jc w:val="left"/>
        <w:outlineLvl w:val="0"/>
      </w:pPr>
      <w:bookmarkStart w:id="1899" w:name="_Toc329178793"/>
      <w:bookmarkStart w:id="1900" w:name="_Toc329181766"/>
      <w:bookmarkStart w:id="1901" w:name="_Toc358379939"/>
      <w:bookmarkStart w:id="1902" w:name="_Toc358380482"/>
      <w:r w:rsidRPr="00236418">
        <w:t>Chiffres au 31.12.</w:t>
      </w:r>
      <w:bookmarkEnd w:id="1899"/>
      <w:bookmarkEnd w:id="1900"/>
      <w:bookmarkEnd w:id="1901"/>
      <w:bookmarkEnd w:id="1902"/>
      <w:r w:rsidRPr="00236418">
        <w:t>20</w:t>
      </w:r>
      <w:r>
        <w:t>20</w:t>
      </w:r>
    </w:p>
    <w:tbl>
      <w:tblPr>
        <w:tblW w:w="99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hiffres au 31.12.2015"/>
      </w:tblPr>
      <w:tblGrid>
        <w:gridCol w:w="2297"/>
        <w:gridCol w:w="1418"/>
        <w:gridCol w:w="1134"/>
        <w:gridCol w:w="1984"/>
        <w:gridCol w:w="1276"/>
        <w:gridCol w:w="1814"/>
      </w:tblGrid>
      <w:tr w:rsidR="00761B6C" w:rsidRPr="00236418" w14:paraId="206FAE30" w14:textId="77777777" w:rsidTr="00761B6C">
        <w:tc>
          <w:tcPr>
            <w:tcW w:w="2297" w:type="dxa"/>
            <w:tcBorders>
              <w:top w:val="nil"/>
              <w:left w:val="nil"/>
            </w:tcBorders>
            <w:vAlign w:val="center"/>
          </w:tcPr>
          <w:p w14:paraId="217DC1E6" w14:textId="77777777" w:rsidR="00761B6C" w:rsidRPr="00236418" w:rsidRDefault="00761B6C" w:rsidP="0026263E">
            <w:pPr>
              <w:pStyle w:val="Tablehead"/>
              <w:keepNext/>
              <w:keepLines/>
              <w:spacing w:before="20" w:after="20"/>
              <w:rPr>
                <w:rFonts w:asciiTheme="minorHAnsi" w:hAnsiTheme="minorHAnsi"/>
                <w:sz w:val="20"/>
              </w:rPr>
            </w:pPr>
          </w:p>
        </w:tc>
        <w:tc>
          <w:tcPr>
            <w:tcW w:w="7626" w:type="dxa"/>
            <w:gridSpan w:val="5"/>
            <w:tcBorders>
              <w:bottom w:val="single" w:sz="4" w:space="0" w:color="auto"/>
            </w:tcBorders>
            <w:vAlign w:val="center"/>
          </w:tcPr>
          <w:p w14:paraId="708459A3" w14:textId="77777777" w:rsidR="00761B6C" w:rsidRPr="00236418" w:rsidRDefault="00761B6C" w:rsidP="0026263E">
            <w:pPr>
              <w:pStyle w:val="Tablehead"/>
              <w:keepNext/>
              <w:keepLines/>
              <w:snapToGrid w:val="0"/>
              <w:spacing w:before="20" w:after="20"/>
              <w:rPr>
                <w:rFonts w:asciiTheme="minorHAnsi" w:hAnsiTheme="minorHAnsi"/>
                <w:sz w:val="20"/>
              </w:rPr>
            </w:pPr>
            <w:r w:rsidRPr="00236418">
              <w:rPr>
                <w:rFonts w:asciiTheme="minorHAnsi" w:hAnsiTheme="minorHAnsi"/>
                <w:sz w:val="20"/>
              </w:rPr>
              <w:t>Avantages du personnel – long terme</w:t>
            </w:r>
          </w:p>
        </w:tc>
      </w:tr>
      <w:tr w:rsidR="00761B6C" w:rsidRPr="00236418" w14:paraId="05B35809" w14:textId="77777777" w:rsidTr="00761B6C">
        <w:tc>
          <w:tcPr>
            <w:tcW w:w="2297" w:type="dxa"/>
            <w:vAlign w:val="center"/>
          </w:tcPr>
          <w:p w14:paraId="777A3788" w14:textId="77777777" w:rsidR="00761B6C" w:rsidRPr="00236418" w:rsidRDefault="00761B6C" w:rsidP="0026263E">
            <w:pPr>
              <w:pStyle w:val="Tablehead"/>
              <w:keepNext/>
              <w:keepLines/>
              <w:spacing w:before="20" w:after="20"/>
              <w:rPr>
                <w:rFonts w:asciiTheme="minorHAnsi" w:hAnsiTheme="minorHAnsi"/>
                <w:sz w:val="20"/>
              </w:rPr>
            </w:pPr>
            <w:r w:rsidRPr="00236418">
              <w:rPr>
                <w:rFonts w:asciiTheme="minorHAnsi" w:hAnsiTheme="minorHAnsi"/>
                <w:sz w:val="20"/>
              </w:rPr>
              <w:t>En milliers</w:t>
            </w:r>
            <w:r>
              <w:rPr>
                <w:rFonts w:asciiTheme="minorHAnsi" w:hAnsiTheme="minorHAnsi"/>
                <w:sz w:val="20"/>
              </w:rPr>
              <w:t xml:space="preserve"> </w:t>
            </w:r>
            <w:r w:rsidRPr="00236418">
              <w:rPr>
                <w:rFonts w:asciiTheme="minorHAnsi" w:hAnsiTheme="minorHAnsi"/>
                <w:sz w:val="20"/>
              </w:rPr>
              <w:t>CHF</w:t>
            </w:r>
          </w:p>
        </w:tc>
        <w:tc>
          <w:tcPr>
            <w:tcW w:w="1418" w:type="dxa"/>
            <w:tcBorders>
              <w:bottom w:val="single" w:sz="4" w:space="0" w:color="auto"/>
            </w:tcBorders>
            <w:vAlign w:val="center"/>
          </w:tcPr>
          <w:p w14:paraId="26B16347" w14:textId="77777777" w:rsidR="00761B6C" w:rsidRPr="00236418" w:rsidRDefault="00761B6C" w:rsidP="0026263E">
            <w:pPr>
              <w:pStyle w:val="Tablehead"/>
              <w:keepNext/>
              <w:keepLines/>
              <w:snapToGrid w:val="0"/>
              <w:spacing w:before="20" w:after="20"/>
              <w:rPr>
                <w:rFonts w:asciiTheme="minorHAnsi" w:hAnsiTheme="minorHAnsi"/>
                <w:sz w:val="20"/>
              </w:rPr>
            </w:pPr>
            <w:r w:rsidRPr="00236418">
              <w:rPr>
                <w:rFonts w:asciiTheme="minorHAnsi" w:hAnsiTheme="minorHAnsi"/>
                <w:sz w:val="20"/>
              </w:rPr>
              <w:t>ASHI</w:t>
            </w:r>
          </w:p>
        </w:tc>
        <w:tc>
          <w:tcPr>
            <w:tcW w:w="1134" w:type="dxa"/>
            <w:tcBorders>
              <w:bottom w:val="single" w:sz="4" w:space="0" w:color="auto"/>
            </w:tcBorders>
            <w:vAlign w:val="center"/>
          </w:tcPr>
          <w:p w14:paraId="7E3A72D5" w14:textId="77777777" w:rsidR="00761B6C" w:rsidRPr="00236418" w:rsidRDefault="00761B6C" w:rsidP="0026263E">
            <w:pPr>
              <w:pStyle w:val="Tablehead"/>
              <w:keepNext/>
              <w:keepLines/>
              <w:snapToGrid w:val="0"/>
              <w:spacing w:before="20" w:after="20"/>
              <w:rPr>
                <w:rFonts w:asciiTheme="minorHAnsi" w:hAnsiTheme="minorHAnsi"/>
                <w:sz w:val="20"/>
              </w:rPr>
            </w:pPr>
            <w:r w:rsidRPr="00236418">
              <w:rPr>
                <w:rFonts w:asciiTheme="minorHAnsi" w:hAnsiTheme="minorHAnsi"/>
                <w:sz w:val="20"/>
              </w:rPr>
              <w:t>Pensions</w:t>
            </w:r>
          </w:p>
        </w:tc>
        <w:tc>
          <w:tcPr>
            <w:tcW w:w="1984" w:type="dxa"/>
            <w:tcBorders>
              <w:bottom w:val="single" w:sz="4" w:space="0" w:color="auto"/>
            </w:tcBorders>
            <w:vAlign w:val="center"/>
          </w:tcPr>
          <w:p w14:paraId="23543FA1" w14:textId="77777777" w:rsidR="00761B6C" w:rsidRPr="00236418" w:rsidRDefault="00761B6C" w:rsidP="0026263E">
            <w:pPr>
              <w:pStyle w:val="Tablehead"/>
              <w:keepNext/>
              <w:keepLines/>
              <w:snapToGrid w:val="0"/>
              <w:spacing w:before="20" w:after="20"/>
              <w:rPr>
                <w:rFonts w:asciiTheme="minorHAnsi" w:hAnsiTheme="minorHAnsi"/>
                <w:sz w:val="20"/>
              </w:rPr>
            </w:pPr>
            <w:r w:rsidRPr="00236418">
              <w:rPr>
                <w:rFonts w:asciiTheme="minorHAnsi" w:hAnsiTheme="minorHAnsi"/>
                <w:sz w:val="20"/>
              </w:rPr>
              <w:t>Prime d</w:t>
            </w:r>
            <w:r>
              <w:rPr>
                <w:rFonts w:asciiTheme="minorHAnsi" w:hAnsiTheme="minorHAnsi"/>
                <w:sz w:val="20"/>
              </w:rPr>
              <w:t>'</w:t>
            </w:r>
            <w:r w:rsidRPr="00236418">
              <w:rPr>
                <w:rFonts w:asciiTheme="minorHAnsi" w:hAnsiTheme="minorHAnsi"/>
                <w:sz w:val="20"/>
              </w:rPr>
              <w:t>installation/de rapatriement</w:t>
            </w:r>
          </w:p>
        </w:tc>
        <w:tc>
          <w:tcPr>
            <w:tcW w:w="1276" w:type="dxa"/>
            <w:tcBorders>
              <w:bottom w:val="single" w:sz="4" w:space="0" w:color="auto"/>
            </w:tcBorders>
            <w:vAlign w:val="center"/>
          </w:tcPr>
          <w:p w14:paraId="7219CCD7" w14:textId="77777777" w:rsidR="00761B6C" w:rsidRPr="00236418" w:rsidRDefault="00761B6C" w:rsidP="0026263E">
            <w:pPr>
              <w:pStyle w:val="Tablehead"/>
              <w:keepNext/>
              <w:keepLines/>
              <w:snapToGrid w:val="0"/>
              <w:spacing w:before="20" w:after="20"/>
              <w:rPr>
                <w:rFonts w:asciiTheme="minorHAnsi" w:hAnsiTheme="minorHAnsi"/>
                <w:sz w:val="20"/>
              </w:rPr>
            </w:pPr>
            <w:r w:rsidRPr="00236418">
              <w:rPr>
                <w:rFonts w:asciiTheme="minorHAnsi" w:hAnsiTheme="minorHAnsi"/>
                <w:sz w:val="20"/>
              </w:rPr>
              <w:t>Congés accumulés</w:t>
            </w:r>
          </w:p>
        </w:tc>
        <w:tc>
          <w:tcPr>
            <w:tcW w:w="1814" w:type="dxa"/>
            <w:tcBorders>
              <w:bottom w:val="single" w:sz="4" w:space="0" w:color="auto"/>
            </w:tcBorders>
            <w:vAlign w:val="center"/>
          </w:tcPr>
          <w:p w14:paraId="62D44DA3" w14:textId="77777777" w:rsidR="00761B6C" w:rsidRPr="00236418" w:rsidRDefault="00761B6C" w:rsidP="0026263E">
            <w:pPr>
              <w:pStyle w:val="Tablehead"/>
              <w:keepNext/>
              <w:keepLines/>
              <w:snapToGrid w:val="0"/>
              <w:spacing w:before="20" w:after="20"/>
              <w:rPr>
                <w:rFonts w:asciiTheme="minorHAnsi" w:hAnsiTheme="minorHAnsi"/>
                <w:sz w:val="20"/>
              </w:rPr>
            </w:pPr>
            <w:r w:rsidRPr="00236418">
              <w:rPr>
                <w:rFonts w:asciiTheme="minorHAnsi" w:hAnsiTheme="minorHAnsi"/>
                <w:sz w:val="20"/>
              </w:rPr>
              <w:t>Total avantages du personnel – long terme</w:t>
            </w:r>
          </w:p>
        </w:tc>
      </w:tr>
      <w:tr w:rsidR="00761B6C" w:rsidRPr="00236418" w14:paraId="3B00E7F3" w14:textId="77777777" w:rsidTr="00761B6C">
        <w:tc>
          <w:tcPr>
            <w:tcW w:w="2297" w:type="dxa"/>
            <w:tcBorders>
              <w:bottom w:val="single" w:sz="4" w:space="0" w:color="auto"/>
            </w:tcBorders>
          </w:tcPr>
          <w:p w14:paraId="4C450160" w14:textId="77777777" w:rsidR="00761B6C" w:rsidRPr="00236418" w:rsidRDefault="00761B6C" w:rsidP="0026263E">
            <w:pPr>
              <w:pStyle w:val="Tablehead"/>
              <w:keepNext/>
              <w:keepLines/>
              <w:spacing w:before="20" w:after="20"/>
              <w:jc w:val="left"/>
              <w:rPr>
                <w:rFonts w:asciiTheme="minorHAnsi" w:hAnsiTheme="minorHAnsi"/>
                <w:sz w:val="20"/>
              </w:rPr>
            </w:pPr>
            <w:r w:rsidRPr="00236418">
              <w:rPr>
                <w:rFonts w:asciiTheme="minorHAnsi" w:hAnsiTheme="minorHAnsi"/>
                <w:sz w:val="20"/>
              </w:rPr>
              <w:t>Solde d</w:t>
            </w:r>
            <w:r>
              <w:rPr>
                <w:rFonts w:asciiTheme="minorHAnsi" w:hAnsiTheme="minorHAnsi"/>
                <w:sz w:val="20"/>
              </w:rPr>
              <w:t>'</w:t>
            </w:r>
            <w:r w:rsidRPr="00236418">
              <w:rPr>
                <w:rFonts w:asciiTheme="minorHAnsi" w:hAnsiTheme="minorHAnsi"/>
                <w:sz w:val="20"/>
              </w:rPr>
              <w:t xml:space="preserve">ouverture </w:t>
            </w:r>
          </w:p>
        </w:tc>
        <w:tc>
          <w:tcPr>
            <w:tcW w:w="1418" w:type="dxa"/>
            <w:tcBorders>
              <w:bottom w:val="single" w:sz="4" w:space="0" w:color="auto"/>
            </w:tcBorders>
            <w:vAlign w:val="center"/>
          </w:tcPr>
          <w:p w14:paraId="0E528AE2"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611</w:t>
            </w:r>
            <w:r>
              <w:rPr>
                <w:rFonts w:cs="Arial"/>
                <w:b/>
                <w:bCs/>
                <w:color w:val="000000"/>
                <w:sz w:val="20"/>
                <w:lang w:val="en-US" w:eastAsia="zh-CN"/>
              </w:rPr>
              <w:t xml:space="preserve"> </w:t>
            </w:r>
            <w:r w:rsidRPr="00CB156B">
              <w:rPr>
                <w:rFonts w:cs="Arial"/>
                <w:b/>
                <w:bCs/>
                <w:color w:val="000000"/>
                <w:sz w:val="20"/>
                <w:lang w:val="en-US" w:eastAsia="zh-CN"/>
              </w:rPr>
              <w:t>896</w:t>
            </w:r>
          </w:p>
        </w:tc>
        <w:tc>
          <w:tcPr>
            <w:tcW w:w="1134" w:type="dxa"/>
            <w:tcBorders>
              <w:bottom w:val="single" w:sz="4" w:space="0" w:color="auto"/>
            </w:tcBorders>
            <w:vAlign w:val="center"/>
          </w:tcPr>
          <w:p w14:paraId="0FA6ACC3"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54</w:t>
            </w:r>
          </w:p>
        </w:tc>
        <w:tc>
          <w:tcPr>
            <w:tcW w:w="1984" w:type="dxa"/>
            <w:tcBorders>
              <w:bottom w:val="single" w:sz="4" w:space="0" w:color="auto"/>
            </w:tcBorders>
            <w:vAlign w:val="center"/>
          </w:tcPr>
          <w:p w14:paraId="083E7236"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13</w:t>
            </w:r>
            <w:r>
              <w:rPr>
                <w:rFonts w:cs="Arial"/>
                <w:b/>
                <w:bCs/>
                <w:color w:val="000000"/>
                <w:sz w:val="20"/>
                <w:lang w:val="en-US" w:eastAsia="zh-CN"/>
              </w:rPr>
              <w:t xml:space="preserve"> </w:t>
            </w:r>
            <w:r w:rsidRPr="00CB156B">
              <w:rPr>
                <w:rFonts w:cs="Arial"/>
                <w:b/>
                <w:bCs/>
                <w:color w:val="000000"/>
                <w:sz w:val="20"/>
                <w:lang w:val="en-US" w:eastAsia="zh-CN"/>
              </w:rPr>
              <w:t>500</w:t>
            </w:r>
          </w:p>
        </w:tc>
        <w:tc>
          <w:tcPr>
            <w:tcW w:w="1276" w:type="dxa"/>
            <w:tcBorders>
              <w:bottom w:val="single" w:sz="4" w:space="0" w:color="auto"/>
            </w:tcBorders>
            <w:vAlign w:val="center"/>
          </w:tcPr>
          <w:p w14:paraId="5EB02C06"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9</w:t>
            </w:r>
            <w:r>
              <w:rPr>
                <w:rFonts w:cs="Arial"/>
                <w:b/>
                <w:bCs/>
                <w:color w:val="000000"/>
                <w:sz w:val="20"/>
                <w:lang w:val="en-US" w:eastAsia="zh-CN"/>
              </w:rPr>
              <w:t xml:space="preserve"> </w:t>
            </w:r>
            <w:r w:rsidRPr="00CB156B">
              <w:rPr>
                <w:rFonts w:cs="Arial"/>
                <w:b/>
                <w:bCs/>
                <w:color w:val="000000"/>
                <w:sz w:val="20"/>
                <w:lang w:val="en-US" w:eastAsia="zh-CN"/>
              </w:rPr>
              <w:t>407</w:t>
            </w:r>
          </w:p>
        </w:tc>
        <w:tc>
          <w:tcPr>
            <w:tcW w:w="1814" w:type="dxa"/>
            <w:tcBorders>
              <w:bottom w:val="single" w:sz="4" w:space="0" w:color="auto"/>
            </w:tcBorders>
            <w:vAlign w:val="center"/>
          </w:tcPr>
          <w:p w14:paraId="2795DB0A"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634</w:t>
            </w:r>
            <w:r>
              <w:rPr>
                <w:rFonts w:cs="Arial"/>
                <w:b/>
                <w:bCs/>
                <w:color w:val="000000"/>
                <w:sz w:val="20"/>
                <w:lang w:val="en-US" w:eastAsia="zh-CN"/>
              </w:rPr>
              <w:t xml:space="preserve"> </w:t>
            </w:r>
            <w:r w:rsidRPr="00CB156B">
              <w:rPr>
                <w:rFonts w:cs="Arial"/>
                <w:b/>
                <w:bCs/>
                <w:color w:val="000000"/>
                <w:sz w:val="20"/>
                <w:lang w:val="en-US" w:eastAsia="zh-CN"/>
              </w:rPr>
              <w:t>857</w:t>
            </w:r>
          </w:p>
        </w:tc>
      </w:tr>
      <w:tr w:rsidR="00761B6C" w:rsidRPr="00236418" w14:paraId="08D2DBE0" w14:textId="77777777" w:rsidTr="00761B6C">
        <w:tc>
          <w:tcPr>
            <w:tcW w:w="2297" w:type="dxa"/>
            <w:tcBorders>
              <w:bottom w:val="nil"/>
            </w:tcBorders>
          </w:tcPr>
          <w:p w14:paraId="2CCF1C89" w14:textId="77777777" w:rsidR="00761B6C" w:rsidRPr="00236418" w:rsidRDefault="00761B6C" w:rsidP="0026263E">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Augmentation</w:t>
            </w:r>
          </w:p>
        </w:tc>
        <w:tc>
          <w:tcPr>
            <w:tcW w:w="1418" w:type="dxa"/>
            <w:tcBorders>
              <w:bottom w:val="nil"/>
            </w:tcBorders>
            <w:vAlign w:val="bottom"/>
          </w:tcPr>
          <w:p w14:paraId="208683A5"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sidRPr="00CB156B">
              <w:rPr>
                <w:rFonts w:cs="Arial"/>
                <w:color w:val="000000"/>
                <w:sz w:val="20"/>
                <w:lang w:val="en-US" w:eastAsia="zh-CN"/>
              </w:rPr>
              <w:t>19</w:t>
            </w:r>
            <w:r>
              <w:rPr>
                <w:rFonts w:cs="Arial"/>
                <w:color w:val="000000"/>
                <w:sz w:val="20"/>
                <w:lang w:val="en-US" w:eastAsia="zh-CN"/>
              </w:rPr>
              <w:t xml:space="preserve"> </w:t>
            </w:r>
            <w:r w:rsidRPr="00CB156B">
              <w:rPr>
                <w:rFonts w:cs="Arial"/>
                <w:color w:val="000000"/>
                <w:sz w:val="20"/>
                <w:lang w:val="en-US" w:eastAsia="zh-CN"/>
              </w:rPr>
              <w:t>974</w:t>
            </w:r>
          </w:p>
        </w:tc>
        <w:tc>
          <w:tcPr>
            <w:tcW w:w="1134" w:type="dxa"/>
            <w:tcBorders>
              <w:bottom w:val="nil"/>
            </w:tcBorders>
            <w:vAlign w:val="bottom"/>
          </w:tcPr>
          <w:p w14:paraId="63751C8B"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984" w:type="dxa"/>
            <w:tcBorders>
              <w:bottom w:val="nil"/>
            </w:tcBorders>
            <w:vAlign w:val="bottom"/>
          </w:tcPr>
          <w:p w14:paraId="1ED4E4E7"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sidRPr="00CB156B">
              <w:rPr>
                <w:rFonts w:cs="Arial"/>
                <w:color w:val="000000"/>
                <w:sz w:val="20"/>
                <w:lang w:val="en-US" w:eastAsia="zh-CN"/>
              </w:rPr>
              <w:t>821</w:t>
            </w:r>
          </w:p>
        </w:tc>
        <w:tc>
          <w:tcPr>
            <w:tcW w:w="1276" w:type="dxa"/>
            <w:tcBorders>
              <w:bottom w:val="nil"/>
            </w:tcBorders>
            <w:vAlign w:val="bottom"/>
          </w:tcPr>
          <w:p w14:paraId="685E34AD"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sidRPr="00CB156B">
              <w:rPr>
                <w:rFonts w:cs="Arial"/>
                <w:color w:val="000000"/>
                <w:sz w:val="20"/>
                <w:lang w:val="en-US" w:eastAsia="zh-CN"/>
              </w:rPr>
              <w:t>2</w:t>
            </w:r>
            <w:r>
              <w:rPr>
                <w:rFonts w:cs="Arial"/>
                <w:color w:val="000000"/>
                <w:sz w:val="20"/>
                <w:lang w:val="en-US" w:eastAsia="zh-CN"/>
              </w:rPr>
              <w:t xml:space="preserve"> </w:t>
            </w:r>
            <w:r w:rsidRPr="00CB156B">
              <w:rPr>
                <w:rFonts w:cs="Arial"/>
                <w:color w:val="000000"/>
                <w:sz w:val="20"/>
                <w:lang w:val="en-US" w:eastAsia="zh-CN"/>
              </w:rPr>
              <w:t>513</w:t>
            </w:r>
          </w:p>
        </w:tc>
        <w:tc>
          <w:tcPr>
            <w:tcW w:w="1814" w:type="dxa"/>
            <w:tcBorders>
              <w:bottom w:val="nil"/>
            </w:tcBorders>
            <w:vAlign w:val="bottom"/>
          </w:tcPr>
          <w:p w14:paraId="0117CAFC"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sidRPr="00CB156B">
              <w:rPr>
                <w:rFonts w:cs="Arial"/>
                <w:color w:val="000000"/>
                <w:sz w:val="20"/>
                <w:lang w:val="en-US" w:eastAsia="zh-CN"/>
              </w:rPr>
              <w:t>23</w:t>
            </w:r>
            <w:r>
              <w:rPr>
                <w:rFonts w:cs="Arial"/>
                <w:color w:val="000000"/>
                <w:sz w:val="20"/>
                <w:lang w:val="en-US" w:eastAsia="zh-CN"/>
              </w:rPr>
              <w:t xml:space="preserve"> </w:t>
            </w:r>
            <w:r w:rsidRPr="00CB156B">
              <w:rPr>
                <w:rFonts w:cs="Arial"/>
                <w:color w:val="000000"/>
                <w:sz w:val="20"/>
                <w:lang w:val="en-US" w:eastAsia="zh-CN"/>
              </w:rPr>
              <w:t>308</w:t>
            </w:r>
          </w:p>
        </w:tc>
      </w:tr>
      <w:tr w:rsidR="00761B6C" w:rsidRPr="00236418" w14:paraId="693655E2" w14:textId="77777777" w:rsidTr="00761B6C">
        <w:tc>
          <w:tcPr>
            <w:tcW w:w="2297" w:type="dxa"/>
            <w:tcBorders>
              <w:top w:val="nil"/>
              <w:bottom w:val="nil"/>
            </w:tcBorders>
          </w:tcPr>
          <w:p w14:paraId="1C49C7F1" w14:textId="77777777" w:rsidR="00761B6C" w:rsidRPr="00236418" w:rsidRDefault="00761B6C" w:rsidP="0026263E">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Utilisé en cours d</w:t>
            </w:r>
            <w:r>
              <w:rPr>
                <w:rFonts w:asciiTheme="minorHAnsi" w:hAnsiTheme="minorHAnsi"/>
                <w:sz w:val="20"/>
                <w:lang w:eastAsia="fr-FR"/>
              </w:rPr>
              <w:t>'</w:t>
            </w:r>
            <w:r w:rsidRPr="00236418">
              <w:rPr>
                <w:rFonts w:asciiTheme="minorHAnsi" w:hAnsiTheme="minorHAnsi"/>
                <w:sz w:val="20"/>
                <w:lang w:eastAsia="fr-FR"/>
              </w:rPr>
              <w:t>exercice</w:t>
            </w:r>
          </w:p>
        </w:tc>
        <w:tc>
          <w:tcPr>
            <w:tcW w:w="1418" w:type="dxa"/>
            <w:tcBorders>
              <w:top w:val="nil"/>
              <w:bottom w:val="nil"/>
            </w:tcBorders>
            <w:vAlign w:val="bottom"/>
          </w:tcPr>
          <w:p w14:paraId="558823EE"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134" w:type="dxa"/>
            <w:tcBorders>
              <w:top w:val="nil"/>
              <w:bottom w:val="nil"/>
            </w:tcBorders>
            <w:vAlign w:val="bottom"/>
          </w:tcPr>
          <w:p w14:paraId="62D74C92"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984" w:type="dxa"/>
            <w:tcBorders>
              <w:top w:val="nil"/>
              <w:bottom w:val="nil"/>
            </w:tcBorders>
            <w:vAlign w:val="bottom"/>
          </w:tcPr>
          <w:p w14:paraId="78A15CCB"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265</w:t>
            </w:r>
          </w:p>
        </w:tc>
        <w:tc>
          <w:tcPr>
            <w:tcW w:w="1276" w:type="dxa"/>
            <w:tcBorders>
              <w:top w:val="nil"/>
              <w:bottom w:val="nil"/>
            </w:tcBorders>
            <w:vAlign w:val="bottom"/>
          </w:tcPr>
          <w:p w14:paraId="6171DD31"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597</w:t>
            </w:r>
          </w:p>
        </w:tc>
        <w:tc>
          <w:tcPr>
            <w:tcW w:w="1814" w:type="dxa"/>
            <w:tcBorders>
              <w:top w:val="nil"/>
              <w:bottom w:val="nil"/>
            </w:tcBorders>
            <w:vAlign w:val="bottom"/>
          </w:tcPr>
          <w:p w14:paraId="683F8DF8"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862</w:t>
            </w:r>
          </w:p>
        </w:tc>
      </w:tr>
      <w:tr w:rsidR="00761B6C" w:rsidRPr="00236418" w14:paraId="1A17BD47" w14:textId="77777777" w:rsidTr="00761B6C">
        <w:tc>
          <w:tcPr>
            <w:tcW w:w="2297" w:type="dxa"/>
            <w:tcBorders>
              <w:top w:val="nil"/>
              <w:bottom w:val="nil"/>
            </w:tcBorders>
          </w:tcPr>
          <w:p w14:paraId="6489A36E" w14:textId="77777777" w:rsidR="00761B6C" w:rsidRPr="00236418" w:rsidRDefault="00761B6C" w:rsidP="0026263E">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Débloqué</w:t>
            </w:r>
          </w:p>
        </w:tc>
        <w:tc>
          <w:tcPr>
            <w:tcW w:w="1418" w:type="dxa"/>
            <w:tcBorders>
              <w:top w:val="nil"/>
              <w:bottom w:val="nil"/>
            </w:tcBorders>
            <w:vAlign w:val="bottom"/>
          </w:tcPr>
          <w:p w14:paraId="0F4F951F"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134" w:type="dxa"/>
            <w:tcBorders>
              <w:top w:val="nil"/>
              <w:bottom w:val="nil"/>
            </w:tcBorders>
            <w:vAlign w:val="bottom"/>
          </w:tcPr>
          <w:p w14:paraId="7B1877C9"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984" w:type="dxa"/>
            <w:tcBorders>
              <w:top w:val="nil"/>
              <w:bottom w:val="nil"/>
            </w:tcBorders>
            <w:vAlign w:val="bottom"/>
          </w:tcPr>
          <w:p w14:paraId="74B85CB1"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1</w:t>
            </w:r>
            <w:r>
              <w:rPr>
                <w:rFonts w:cs="Arial"/>
                <w:color w:val="000000"/>
                <w:sz w:val="20"/>
                <w:lang w:val="en-US" w:eastAsia="zh-CN"/>
              </w:rPr>
              <w:t xml:space="preserve"> </w:t>
            </w:r>
            <w:r w:rsidRPr="00CB156B">
              <w:rPr>
                <w:rFonts w:cs="Arial"/>
                <w:color w:val="000000"/>
                <w:sz w:val="20"/>
                <w:lang w:val="en-US" w:eastAsia="zh-CN"/>
              </w:rPr>
              <w:t>339</w:t>
            </w:r>
          </w:p>
        </w:tc>
        <w:tc>
          <w:tcPr>
            <w:tcW w:w="1276" w:type="dxa"/>
            <w:tcBorders>
              <w:top w:val="nil"/>
              <w:bottom w:val="nil"/>
            </w:tcBorders>
            <w:vAlign w:val="bottom"/>
          </w:tcPr>
          <w:p w14:paraId="5FC8EA1C"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40</w:t>
            </w:r>
          </w:p>
        </w:tc>
        <w:tc>
          <w:tcPr>
            <w:tcW w:w="1814" w:type="dxa"/>
            <w:tcBorders>
              <w:top w:val="nil"/>
              <w:bottom w:val="nil"/>
            </w:tcBorders>
            <w:vAlign w:val="bottom"/>
          </w:tcPr>
          <w:p w14:paraId="39CA1F18"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r w:rsidRPr="00CB156B">
              <w:rPr>
                <w:rFonts w:cs="Arial"/>
                <w:color w:val="000000"/>
                <w:sz w:val="20"/>
                <w:lang w:val="en-US" w:eastAsia="zh-CN"/>
              </w:rPr>
              <w:t>1</w:t>
            </w:r>
            <w:r>
              <w:rPr>
                <w:rFonts w:cs="Arial"/>
                <w:color w:val="000000"/>
                <w:sz w:val="20"/>
                <w:lang w:val="en-US" w:eastAsia="zh-CN"/>
              </w:rPr>
              <w:t xml:space="preserve"> </w:t>
            </w:r>
            <w:r w:rsidRPr="00CB156B">
              <w:rPr>
                <w:rFonts w:cs="Arial"/>
                <w:color w:val="000000"/>
                <w:sz w:val="20"/>
                <w:lang w:val="en-US" w:eastAsia="zh-CN"/>
              </w:rPr>
              <w:t>379</w:t>
            </w:r>
          </w:p>
        </w:tc>
      </w:tr>
      <w:tr w:rsidR="00761B6C" w:rsidRPr="00236418" w14:paraId="3404166B" w14:textId="77777777" w:rsidTr="00761B6C">
        <w:tc>
          <w:tcPr>
            <w:tcW w:w="2297" w:type="dxa"/>
            <w:tcBorders>
              <w:top w:val="nil"/>
              <w:bottom w:val="nil"/>
            </w:tcBorders>
          </w:tcPr>
          <w:p w14:paraId="1BC5134E" w14:textId="77777777" w:rsidR="00761B6C" w:rsidRPr="00236418" w:rsidRDefault="00761B6C" w:rsidP="0026263E">
            <w:pPr>
              <w:pStyle w:val="Tabletext"/>
              <w:keepNext/>
              <w:keepLines/>
              <w:spacing w:before="20" w:after="20"/>
              <w:rPr>
                <w:rFonts w:asciiTheme="minorHAnsi" w:hAnsiTheme="minorHAnsi"/>
                <w:sz w:val="20"/>
                <w:lang w:eastAsia="fr-FR"/>
              </w:rPr>
            </w:pPr>
            <w:r w:rsidRPr="00236418">
              <w:rPr>
                <w:rFonts w:asciiTheme="minorHAnsi" w:hAnsiTheme="minorHAnsi"/>
                <w:sz w:val="20"/>
                <w:lang w:eastAsia="fr-FR"/>
              </w:rPr>
              <w:t>Transfert à court terme</w:t>
            </w:r>
          </w:p>
        </w:tc>
        <w:tc>
          <w:tcPr>
            <w:tcW w:w="1418" w:type="dxa"/>
            <w:tcBorders>
              <w:top w:val="nil"/>
              <w:bottom w:val="nil"/>
            </w:tcBorders>
          </w:tcPr>
          <w:p w14:paraId="728247E3"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134" w:type="dxa"/>
            <w:tcBorders>
              <w:top w:val="nil"/>
              <w:bottom w:val="nil"/>
            </w:tcBorders>
          </w:tcPr>
          <w:p w14:paraId="0B0CC448"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984" w:type="dxa"/>
            <w:tcBorders>
              <w:top w:val="nil"/>
              <w:bottom w:val="nil"/>
            </w:tcBorders>
          </w:tcPr>
          <w:p w14:paraId="03D2B888"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Pr>
                <w:rFonts w:cs="Arial"/>
                <w:color w:val="000000"/>
                <w:sz w:val="20"/>
                <w:lang w:val="en-US" w:eastAsia="zh-CN"/>
              </w:rPr>
              <w:t>–</w:t>
            </w:r>
          </w:p>
        </w:tc>
        <w:tc>
          <w:tcPr>
            <w:tcW w:w="1276" w:type="dxa"/>
            <w:tcBorders>
              <w:top w:val="nil"/>
              <w:bottom w:val="nil"/>
            </w:tcBorders>
          </w:tcPr>
          <w:p w14:paraId="45FDD9A0" w14:textId="77777777" w:rsidR="00761B6C" w:rsidRPr="00CB156B" w:rsidRDefault="00761B6C" w:rsidP="0026263E">
            <w:pPr>
              <w:pStyle w:val="Tabletext"/>
              <w:keepNext/>
              <w:keepLines/>
              <w:spacing w:before="20" w:after="20"/>
              <w:jc w:val="right"/>
              <w:rPr>
                <w:rFonts w:asciiTheme="minorHAnsi" w:hAnsiTheme="minorHAnsi"/>
                <w:sz w:val="20"/>
                <w:lang w:eastAsia="fr-FR"/>
              </w:rPr>
            </w:pPr>
            <w:r w:rsidRPr="00CB156B">
              <w:rPr>
                <w:rFonts w:cs="Arial"/>
                <w:color w:val="000000"/>
                <w:sz w:val="20"/>
                <w:lang w:val="en-US" w:eastAsia="zh-CN"/>
              </w:rPr>
              <w:t>97</w:t>
            </w:r>
          </w:p>
        </w:tc>
        <w:tc>
          <w:tcPr>
            <w:tcW w:w="1814" w:type="dxa"/>
            <w:tcBorders>
              <w:top w:val="nil"/>
              <w:bottom w:val="nil"/>
            </w:tcBorders>
          </w:tcPr>
          <w:p w14:paraId="3692AD03" w14:textId="77777777" w:rsidR="00761B6C" w:rsidRPr="00CB156B" w:rsidRDefault="00761B6C" w:rsidP="0026263E">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0"/>
                <w:lang w:val="en-US" w:eastAsia="zh-CN"/>
              </w:rPr>
            </w:pPr>
            <w:r w:rsidRPr="00CB156B">
              <w:rPr>
                <w:rFonts w:cs="Arial"/>
                <w:color w:val="000000"/>
                <w:sz w:val="20"/>
                <w:lang w:val="en-US" w:eastAsia="zh-CN"/>
              </w:rPr>
              <w:t>97</w:t>
            </w:r>
          </w:p>
        </w:tc>
      </w:tr>
      <w:tr w:rsidR="00761B6C" w:rsidRPr="00236418" w14:paraId="4951C8B8" w14:textId="77777777" w:rsidTr="00761B6C">
        <w:tc>
          <w:tcPr>
            <w:tcW w:w="2297" w:type="dxa"/>
          </w:tcPr>
          <w:p w14:paraId="1BDCE7E8" w14:textId="77777777" w:rsidR="00761B6C" w:rsidRPr="00236418" w:rsidRDefault="00761B6C" w:rsidP="0026263E">
            <w:pPr>
              <w:pStyle w:val="Tablehead"/>
              <w:keepNext/>
              <w:keepLines/>
              <w:spacing w:before="20" w:after="20"/>
              <w:jc w:val="left"/>
              <w:rPr>
                <w:rFonts w:asciiTheme="minorHAnsi" w:hAnsiTheme="minorHAnsi"/>
                <w:sz w:val="20"/>
              </w:rPr>
            </w:pPr>
            <w:r w:rsidRPr="00236418">
              <w:rPr>
                <w:rFonts w:asciiTheme="minorHAnsi" w:hAnsiTheme="minorHAnsi"/>
                <w:sz w:val="20"/>
              </w:rPr>
              <w:t xml:space="preserve">Solde de clôture </w:t>
            </w:r>
          </w:p>
        </w:tc>
        <w:tc>
          <w:tcPr>
            <w:tcW w:w="1418" w:type="dxa"/>
            <w:vAlign w:val="center"/>
          </w:tcPr>
          <w:p w14:paraId="04B96B61"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631</w:t>
            </w:r>
            <w:r>
              <w:rPr>
                <w:rFonts w:cs="Arial"/>
                <w:b/>
                <w:bCs/>
                <w:color w:val="000000"/>
                <w:sz w:val="20"/>
                <w:lang w:val="en-US" w:eastAsia="zh-CN"/>
              </w:rPr>
              <w:t xml:space="preserve"> </w:t>
            </w:r>
            <w:r w:rsidRPr="00CB156B">
              <w:rPr>
                <w:rFonts w:cs="Arial"/>
                <w:b/>
                <w:bCs/>
                <w:color w:val="000000"/>
                <w:sz w:val="20"/>
                <w:lang w:val="en-US" w:eastAsia="zh-CN"/>
              </w:rPr>
              <w:t>870</w:t>
            </w:r>
          </w:p>
        </w:tc>
        <w:tc>
          <w:tcPr>
            <w:tcW w:w="1134" w:type="dxa"/>
            <w:vAlign w:val="center"/>
          </w:tcPr>
          <w:p w14:paraId="58590F46"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54</w:t>
            </w:r>
          </w:p>
        </w:tc>
        <w:tc>
          <w:tcPr>
            <w:tcW w:w="1984" w:type="dxa"/>
            <w:vAlign w:val="center"/>
          </w:tcPr>
          <w:p w14:paraId="6BABE29E"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12</w:t>
            </w:r>
            <w:r>
              <w:rPr>
                <w:rFonts w:cs="Arial"/>
                <w:b/>
                <w:bCs/>
                <w:color w:val="000000"/>
                <w:sz w:val="20"/>
                <w:lang w:val="en-US" w:eastAsia="zh-CN"/>
              </w:rPr>
              <w:t xml:space="preserve"> </w:t>
            </w:r>
            <w:r w:rsidRPr="00CB156B">
              <w:rPr>
                <w:rFonts w:cs="Arial"/>
                <w:b/>
                <w:bCs/>
                <w:color w:val="000000"/>
                <w:sz w:val="20"/>
                <w:lang w:val="en-US" w:eastAsia="zh-CN"/>
              </w:rPr>
              <w:t>717</w:t>
            </w:r>
          </w:p>
        </w:tc>
        <w:tc>
          <w:tcPr>
            <w:tcW w:w="1276" w:type="dxa"/>
            <w:vAlign w:val="center"/>
          </w:tcPr>
          <w:p w14:paraId="3C21C0B5"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11</w:t>
            </w:r>
            <w:r>
              <w:rPr>
                <w:rFonts w:cs="Arial"/>
                <w:b/>
                <w:bCs/>
                <w:color w:val="000000"/>
                <w:sz w:val="20"/>
                <w:lang w:val="en-US" w:eastAsia="zh-CN"/>
              </w:rPr>
              <w:t xml:space="preserve"> </w:t>
            </w:r>
            <w:r w:rsidRPr="00CB156B">
              <w:rPr>
                <w:rFonts w:cs="Arial"/>
                <w:b/>
                <w:bCs/>
                <w:color w:val="000000"/>
                <w:sz w:val="20"/>
                <w:lang w:val="en-US" w:eastAsia="zh-CN"/>
              </w:rPr>
              <w:t>380</w:t>
            </w:r>
          </w:p>
        </w:tc>
        <w:tc>
          <w:tcPr>
            <w:tcW w:w="1814" w:type="dxa"/>
            <w:vAlign w:val="bottom"/>
          </w:tcPr>
          <w:p w14:paraId="75EABC96" w14:textId="77777777" w:rsidR="00761B6C" w:rsidRPr="00CB156B" w:rsidRDefault="00761B6C" w:rsidP="0026263E">
            <w:pPr>
              <w:pStyle w:val="Tabletext"/>
              <w:keepNext/>
              <w:keepLines/>
              <w:spacing w:before="20" w:after="20"/>
              <w:jc w:val="right"/>
              <w:rPr>
                <w:rFonts w:asciiTheme="minorHAnsi" w:hAnsiTheme="minorHAnsi"/>
                <w:b/>
                <w:bCs/>
                <w:sz w:val="20"/>
                <w:lang w:eastAsia="fr-FR"/>
              </w:rPr>
            </w:pPr>
            <w:r w:rsidRPr="00CB156B">
              <w:rPr>
                <w:rFonts w:cs="Arial"/>
                <w:b/>
                <w:bCs/>
                <w:color w:val="000000"/>
                <w:sz w:val="20"/>
                <w:lang w:val="en-US" w:eastAsia="zh-CN"/>
              </w:rPr>
              <w:t>656</w:t>
            </w:r>
            <w:r>
              <w:rPr>
                <w:rFonts w:cs="Arial"/>
                <w:b/>
                <w:bCs/>
                <w:color w:val="000000"/>
                <w:sz w:val="20"/>
                <w:lang w:val="en-US" w:eastAsia="zh-CN"/>
              </w:rPr>
              <w:t xml:space="preserve"> </w:t>
            </w:r>
            <w:r w:rsidRPr="00CB156B">
              <w:rPr>
                <w:rFonts w:cs="Arial"/>
                <w:b/>
                <w:bCs/>
                <w:color w:val="000000"/>
                <w:sz w:val="20"/>
                <w:lang w:val="en-US" w:eastAsia="zh-CN"/>
              </w:rPr>
              <w:t>021</w:t>
            </w:r>
          </w:p>
        </w:tc>
      </w:tr>
    </w:tbl>
    <w:p w14:paraId="618E08FE" w14:textId="77777777" w:rsidR="00761B6C" w:rsidRDefault="00761B6C" w:rsidP="00761B6C">
      <w:pPr>
        <w:spacing w:before="240"/>
      </w:pPr>
      <w:bookmarkStart w:id="1903" w:name="_MON_1395749926"/>
      <w:bookmarkStart w:id="1904" w:name="_MON_1395749936"/>
      <w:bookmarkStart w:id="1905" w:name="_MON_1395749951"/>
      <w:bookmarkStart w:id="1906" w:name="_MON_1395749958"/>
      <w:bookmarkStart w:id="1907" w:name="_MON_1395750072"/>
      <w:bookmarkStart w:id="1908" w:name="_MON_1395749877"/>
      <w:bookmarkEnd w:id="1903"/>
      <w:bookmarkEnd w:id="1904"/>
      <w:bookmarkEnd w:id="1905"/>
      <w:bookmarkEnd w:id="1906"/>
      <w:bookmarkEnd w:id="1907"/>
      <w:bookmarkEnd w:id="1908"/>
      <w:r w:rsidRPr="00236418">
        <w:t>Les avantages à long terme concernent les prestations après la cessation de service qui correspondent au plan ASHI (assurance maladie après la cessation de service), les primes de rapatriement, les congés accumulés et les engagements concernant les anciens régimes de pension et d</w:t>
      </w:r>
      <w:r>
        <w:t>'</w:t>
      </w:r>
      <w:r w:rsidRPr="00236418">
        <w:t>assurance maladie pour certains anciens employés de l</w:t>
      </w:r>
      <w:r>
        <w:t>'</w:t>
      </w:r>
      <w:r w:rsidRPr="00236418">
        <w:t>UIT.</w:t>
      </w:r>
    </w:p>
    <w:p w14:paraId="20FBE36C" w14:textId="77777777" w:rsidR="00761B6C" w:rsidRPr="0044662E" w:rsidRDefault="00761B6C" w:rsidP="0026263E">
      <w:r w:rsidRPr="0044662E">
        <w:t>On constate une augmentation d</w:t>
      </w:r>
      <w:r>
        <w:t xml:space="preserve">e 21% du montant correspondant aux congés accumulés, qui s'est établi à 11,38 millions CHF en 2020 (contre 9,4 millions CHF en 2019). </w:t>
      </w:r>
      <w:r w:rsidRPr="0044662E">
        <w:t>En raison de la pandémie en</w:t>
      </w:r>
      <w:r>
        <w:t> </w:t>
      </w:r>
      <w:r w:rsidRPr="0044662E">
        <w:t xml:space="preserve">2020 et des restrictions </w:t>
      </w:r>
      <w:r>
        <w:t xml:space="preserve">de voyage imposées partout dans le monde, les congés annuels n'ont pas été utilisés. </w:t>
      </w:r>
      <w:r w:rsidRPr="0044662E">
        <w:t>À titre exceptionnel, le Secrétaire général a autorisé le r</w:t>
      </w:r>
      <w:r>
        <w:t xml:space="preserve">eport des congés annuel à 2021, au-delà de la </w:t>
      </w:r>
      <w:r w:rsidRPr="00D03EEE">
        <w:t>limite maximale</w:t>
      </w:r>
      <w:r>
        <w:t xml:space="preserve"> de 60 jours</w:t>
      </w:r>
      <w:r w:rsidRPr="0044662E">
        <w:t>.</w:t>
      </w:r>
    </w:p>
    <w:p w14:paraId="7A507654" w14:textId="77777777" w:rsidR="00761B6C" w:rsidRPr="00236418" w:rsidRDefault="00761B6C" w:rsidP="00761B6C">
      <w:pPr>
        <w:pStyle w:val="Heading3"/>
        <w:ind w:left="1134" w:hanging="1134"/>
        <w:rPr>
          <w:b w:val="0"/>
          <w:bCs/>
          <w:i/>
          <w:iCs/>
        </w:rPr>
      </w:pPr>
      <w:bookmarkStart w:id="1909" w:name="_Toc395511726"/>
      <w:bookmarkStart w:id="1910" w:name="_Toc10450759"/>
      <w:bookmarkStart w:id="1911" w:name="_Toc73354454"/>
      <w:bookmarkStart w:id="1912" w:name="_Toc73356430"/>
      <w:r w:rsidRPr="00236418">
        <w:rPr>
          <w:b w:val="0"/>
          <w:bCs/>
          <w:i/>
          <w:iCs/>
        </w:rPr>
        <w:t>17.2.1</w:t>
      </w:r>
      <w:r w:rsidRPr="00236418">
        <w:rPr>
          <w:b w:val="0"/>
          <w:bCs/>
          <w:i/>
          <w:iCs/>
        </w:rPr>
        <w:tab/>
        <w:t>Évaluation actuarielle des prestations dues après la cessation de service au titre du plan ASHI</w:t>
      </w:r>
      <w:bookmarkEnd w:id="1909"/>
      <w:bookmarkEnd w:id="1910"/>
      <w:bookmarkEnd w:id="1911"/>
      <w:bookmarkEnd w:id="1912"/>
    </w:p>
    <w:p w14:paraId="7BD87B62" w14:textId="77777777" w:rsidR="00761B6C" w:rsidRPr="00236418" w:rsidRDefault="00761B6C" w:rsidP="00761B6C">
      <w:pPr>
        <w:keepNext/>
        <w:keepLines/>
      </w:pPr>
      <w:r w:rsidRPr="00236418">
        <w:t>Le montant des engagements liés à l</w:t>
      </w:r>
      <w:r>
        <w:t>'</w:t>
      </w:r>
      <w:r w:rsidRPr="00236418">
        <w:t>assurance maladie après la cessation de service (ASHI) est déterminé sur la base d</w:t>
      </w:r>
      <w:r>
        <w:t>'</w:t>
      </w:r>
      <w:r w:rsidRPr="00236418">
        <w:t>une étude actuarielle annuelle conduite par un cabinet indépendant. La dernière évaluation a été effectuée en janvier 202</w:t>
      </w:r>
      <w:r>
        <w:t>1</w:t>
      </w:r>
      <w:r w:rsidRPr="00236418">
        <w:t xml:space="preserve"> et a établi à 6</w:t>
      </w:r>
      <w:r>
        <w:t>31</w:t>
      </w:r>
      <w:r w:rsidRPr="00236418">
        <w:t>,89 millions CHF les engagements de l</w:t>
      </w:r>
      <w:r>
        <w:t>'</w:t>
      </w:r>
      <w:r w:rsidRPr="00236418">
        <w:t>UIT au titre des prestations en cas de maladie après la cessation de service dues aux fonctionnaires remplissant les conditions requises au 31 décembre 20</w:t>
      </w:r>
      <w:r>
        <w:t>20</w:t>
      </w:r>
      <w:r w:rsidRPr="00236418">
        <w:t>. L</w:t>
      </w:r>
      <w:r>
        <w:t>'</w:t>
      </w:r>
      <w:r w:rsidRPr="00236418">
        <w:t>étude actuarielle a été conduite sur la base des données fournies par l</w:t>
      </w:r>
      <w:r>
        <w:t>'</w:t>
      </w:r>
      <w:r w:rsidRPr="00236418">
        <w:t>UIT.</w:t>
      </w:r>
    </w:p>
    <w:p w14:paraId="3B025D02" w14:textId="77777777" w:rsidR="00761B6C" w:rsidRPr="00236418" w:rsidRDefault="00761B6C" w:rsidP="00761B6C">
      <w:pPr>
        <w:pStyle w:val="Heading3"/>
        <w:rPr>
          <w:b w:val="0"/>
          <w:bCs/>
          <w:i/>
          <w:iCs/>
        </w:rPr>
      </w:pPr>
      <w:bookmarkStart w:id="1913" w:name="_Toc395511727"/>
      <w:bookmarkStart w:id="1914" w:name="_Toc10450760"/>
      <w:bookmarkStart w:id="1915" w:name="_Toc73354455"/>
      <w:bookmarkStart w:id="1916" w:name="_Toc73356431"/>
      <w:r w:rsidRPr="00236418">
        <w:rPr>
          <w:b w:val="0"/>
          <w:bCs/>
          <w:i/>
          <w:iCs/>
        </w:rPr>
        <w:t>17.2.2</w:t>
      </w:r>
      <w:r w:rsidRPr="00236418">
        <w:rPr>
          <w:b w:val="0"/>
          <w:bCs/>
          <w:i/>
          <w:iCs/>
        </w:rPr>
        <w:tab/>
        <w:t>Hypothèses et méthodes d</w:t>
      </w:r>
      <w:r>
        <w:rPr>
          <w:b w:val="0"/>
          <w:bCs/>
          <w:i/>
          <w:iCs/>
        </w:rPr>
        <w:t>'</w:t>
      </w:r>
      <w:r w:rsidRPr="00236418">
        <w:rPr>
          <w:b w:val="0"/>
          <w:bCs/>
          <w:i/>
          <w:iCs/>
        </w:rPr>
        <w:t>évaluation actuarielle</w:t>
      </w:r>
      <w:bookmarkEnd w:id="1913"/>
      <w:bookmarkEnd w:id="1914"/>
      <w:bookmarkEnd w:id="1915"/>
      <w:bookmarkEnd w:id="1916"/>
    </w:p>
    <w:p w14:paraId="64B6D9AF" w14:textId="0BD2B78C" w:rsidR="00761B6C" w:rsidRDefault="00761B6C" w:rsidP="00761B6C">
      <w:r w:rsidRPr="00236418">
        <w:t>Dans le cadre de l</w:t>
      </w:r>
      <w:r>
        <w:t>'</w:t>
      </w:r>
      <w:r w:rsidRPr="00236418">
        <w:t>évaluation des engagements liés au plan ASHI au 31 décembre 20</w:t>
      </w:r>
      <w:r>
        <w:t>20</w:t>
      </w:r>
      <w:r w:rsidRPr="00236418">
        <w:t xml:space="preserve"> et de la contribution de l</w:t>
      </w:r>
      <w:r>
        <w:t>'</w:t>
      </w:r>
      <w:r w:rsidRPr="00236418">
        <w:t>exercice 20</w:t>
      </w:r>
      <w:r>
        <w:t>20</w:t>
      </w:r>
      <w:r w:rsidRPr="00236418">
        <w:t>, l</w:t>
      </w:r>
      <w:r>
        <w:t>'</w:t>
      </w:r>
      <w:r w:rsidRPr="00236418">
        <w:t>UIT valide les hypothèses et méthodes qui sont utilisées par les actuaires. Les hypothèses et méthodes utilisées pour l</w:t>
      </w:r>
      <w:r>
        <w:t>'</w:t>
      </w:r>
      <w:r w:rsidRPr="00236418">
        <w:t>évaluation couvrant l</w:t>
      </w:r>
      <w:r>
        <w:t>'</w:t>
      </w:r>
      <w:r w:rsidRPr="00236418">
        <w:t>exercice 20</w:t>
      </w:r>
      <w:r>
        <w:t>20</w:t>
      </w:r>
      <w:r w:rsidRPr="00236418">
        <w:t xml:space="preserve"> sont décrites ci-dessous.</w:t>
      </w:r>
    </w:p>
    <w:p w14:paraId="2DD81A93" w14:textId="592FB46A" w:rsidR="0026263E" w:rsidRDefault="0026263E" w:rsidP="00761B6C">
      <w:r>
        <w:br w:type="page"/>
      </w:r>
    </w:p>
    <w:p w14:paraId="55CA051C" w14:textId="77777777" w:rsidR="00761B6C" w:rsidRPr="00236418" w:rsidRDefault="00761B6C" w:rsidP="00761B6C">
      <w:pPr>
        <w:rPr>
          <w:sz w:val="2"/>
          <w:szCs w:val="2"/>
        </w:rPr>
      </w:pPr>
    </w:p>
    <w:tbl>
      <w:tblPr>
        <w:tblStyle w:val="TableGrid"/>
        <w:tblW w:w="9634" w:type="dxa"/>
        <w:jc w:val="center"/>
        <w:tblLayout w:type="fixed"/>
        <w:tblLook w:val="04A0" w:firstRow="1" w:lastRow="0" w:firstColumn="1" w:lastColumn="0" w:noHBand="0" w:noVBand="1"/>
        <w:tblCaption w:val="T"/>
      </w:tblPr>
      <w:tblGrid>
        <w:gridCol w:w="3397"/>
        <w:gridCol w:w="6237"/>
      </w:tblGrid>
      <w:tr w:rsidR="00761B6C" w:rsidRPr="00236418" w14:paraId="373B9355" w14:textId="77777777" w:rsidTr="0026263E">
        <w:trPr>
          <w:trHeight w:val="255"/>
          <w:jc w:val="center"/>
        </w:trPr>
        <w:tc>
          <w:tcPr>
            <w:tcW w:w="3397" w:type="dxa"/>
            <w:hideMark/>
          </w:tcPr>
          <w:p w14:paraId="4232EAA6" w14:textId="77777777" w:rsidR="00761B6C" w:rsidRPr="00236418" w:rsidRDefault="00761B6C" w:rsidP="00761B6C">
            <w:pPr>
              <w:pStyle w:val="Tabletext"/>
              <w:spacing w:before="20" w:after="20"/>
              <w:rPr>
                <w:sz w:val="20"/>
              </w:rPr>
            </w:pPr>
            <w:bookmarkStart w:id="1917" w:name="_MON_1401715165"/>
            <w:bookmarkStart w:id="1918" w:name="_MON_1401715216"/>
            <w:bookmarkStart w:id="1919" w:name="_MON_1401715232"/>
            <w:bookmarkStart w:id="1920" w:name="_MON_1401715246"/>
            <w:bookmarkStart w:id="1921" w:name="_MON_1396085032"/>
            <w:bookmarkStart w:id="1922" w:name="_MON_1396085038"/>
            <w:bookmarkStart w:id="1923" w:name="_MON_1396085079"/>
            <w:bookmarkStart w:id="1924" w:name="_MON_1396085356"/>
            <w:bookmarkEnd w:id="1917"/>
            <w:bookmarkEnd w:id="1918"/>
            <w:bookmarkEnd w:id="1919"/>
            <w:bookmarkEnd w:id="1920"/>
            <w:bookmarkEnd w:id="1921"/>
            <w:bookmarkEnd w:id="1922"/>
            <w:bookmarkEnd w:id="1923"/>
            <w:bookmarkEnd w:id="1924"/>
            <w:r w:rsidRPr="00236418">
              <w:rPr>
                <w:sz w:val="20"/>
              </w:rPr>
              <w:t>Taux d</w:t>
            </w:r>
            <w:r>
              <w:rPr>
                <w:sz w:val="20"/>
              </w:rPr>
              <w:t>'</w:t>
            </w:r>
            <w:r w:rsidRPr="00236418">
              <w:rPr>
                <w:sz w:val="20"/>
              </w:rPr>
              <w:t>actualisation</w:t>
            </w:r>
          </w:p>
        </w:tc>
        <w:tc>
          <w:tcPr>
            <w:tcW w:w="6237" w:type="dxa"/>
            <w:hideMark/>
          </w:tcPr>
          <w:p w14:paraId="3660B63A" w14:textId="77777777" w:rsidR="00761B6C" w:rsidRPr="00236418" w:rsidRDefault="00761B6C" w:rsidP="00761B6C">
            <w:pPr>
              <w:pStyle w:val="Tabletext"/>
              <w:spacing w:before="20" w:after="20"/>
              <w:rPr>
                <w:sz w:val="20"/>
              </w:rPr>
            </w:pPr>
            <w:r>
              <w:rPr>
                <w:sz w:val="20"/>
              </w:rPr>
              <w:t xml:space="preserve">0,20% pour 2020 et </w:t>
            </w:r>
            <w:r w:rsidRPr="00236418">
              <w:rPr>
                <w:sz w:val="20"/>
              </w:rPr>
              <w:t>0,60% pour 201</w:t>
            </w:r>
            <w:r>
              <w:rPr>
                <w:sz w:val="20"/>
              </w:rPr>
              <w:t>9</w:t>
            </w:r>
            <w:r w:rsidRPr="00236418">
              <w:rPr>
                <w:sz w:val="20"/>
              </w:rPr>
              <w:t>.</w:t>
            </w:r>
          </w:p>
        </w:tc>
      </w:tr>
      <w:tr w:rsidR="00761B6C" w:rsidRPr="00236418" w14:paraId="747E55C0" w14:textId="77777777" w:rsidTr="0026263E">
        <w:trPr>
          <w:trHeight w:val="255"/>
          <w:jc w:val="center"/>
        </w:trPr>
        <w:tc>
          <w:tcPr>
            <w:tcW w:w="3397" w:type="dxa"/>
            <w:hideMark/>
          </w:tcPr>
          <w:p w14:paraId="038FE991" w14:textId="77777777" w:rsidR="00761B6C" w:rsidRPr="00236418" w:rsidRDefault="00761B6C" w:rsidP="00761B6C">
            <w:pPr>
              <w:pStyle w:val="Tabletext"/>
              <w:spacing w:before="20" w:after="20"/>
              <w:rPr>
                <w:sz w:val="20"/>
              </w:rPr>
            </w:pPr>
            <w:r w:rsidRPr="00236418">
              <w:rPr>
                <w:sz w:val="20"/>
              </w:rPr>
              <w:t>Hausse des coûts médicaux</w:t>
            </w:r>
          </w:p>
        </w:tc>
        <w:tc>
          <w:tcPr>
            <w:tcW w:w="6237" w:type="dxa"/>
            <w:hideMark/>
          </w:tcPr>
          <w:p w14:paraId="4300104E" w14:textId="77777777" w:rsidR="00761B6C" w:rsidRPr="00236418" w:rsidRDefault="00761B6C" w:rsidP="00761B6C">
            <w:pPr>
              <w:pStyle w:val="Tabletext"/>
              <w:spacing w:before="20" w:after="20"/>
              <w:rPr>
                <w:sz w:val="20"/>
              </w:rPr>
            </w:pPr>
            <w:r>
              <w:rPr>
                <w:sz w:val="20"/>
              </w:rPr>
              <w:t>2</w:t>
            </w:r>
            <w:r w:rsidRPr="00236418">
              <w:rPr>
                <w:sz w:val="20"/>
              </w:rPr>
              <w:t>,</w:t>
            </w:r>
            <w:r>
              <w:rPr>
                <w:sz w:val="20"/>
              </w:rPr>
              <w:t>8</w:t>
            </w:r>
            <w:r w:rsidRPr="00236418">
              <w:rPr>
                <w:sz w:val="20"/>
              </w:rPr>
              <w:t>0% pour 20</w:t>
            </w:r>
            <w:r>
              <w:rPr>
                <w:sz w:val="20"/>
              </w:rPr>
              <w:t>20</w:t>
            </w:r>
            <w:r w:rsidRPr="00236418">
              <w:rPr>
                <w:sz w:val="20"/>
              </w:rPr>
              <w:t xml:space="preserve"> </w:t>
            </w:r>
            <w:r>
              <w:rPr>
                <w:sz w:val="20"/>
              </w:rPr>
              <w:t>et 3% en 2019</w:t>
            </w:r>
            <w:r w:rsidRPr="00236418">
              <w:rPr>
                <w:sz w:val="20"/>
              </w:rPr>
              <w:t>.</w:t>
            </w:r>
          </w:p>
        </w:tc>
      </w:tr>
      <w:tr w:rsidR="00761B6C" w:rsidRPr="00236418" w14:paraId="7F9B8A62" w14:textId="77777777" w:rsidTr="0026263E">
        <w:trPr>
          <w:trHeight w:val="421"/>
          <w:jc w:val="center"/>
        </w:trPr>
        <w:tc>
          <w:tcPr>
            <w:tcW w:w="3397" w:type="dxa"/>
            <w:hideMark/>
          </w:tcPr>
          <w:p w14:paraId="2DACA9A7" w14:textId="77777777" w:rsidR="00761B6C" w:rsidRPr="00236418" w:rsidRDefault="00761B6C" w:rsidP="00761B6C">
            <w:pPr>
              <w:pStyle w:val="Tabletext"/>
              <w:spacing w:before="20" w:after="20"/>
              <w:rPr>
                <w:sz w:val="20"/>
              </w:rPr>
            </w:pPr>
            <w:r w:rsidRPr="00236418">
              <w:rPr>
                <w:sz w:val="20"/>
              </w:rPr>
              <w:t>Rendement comptable escompté des actifs</w:t>
            </w:r>
          </w:p>
        </w:tc>
        <w:tc>
          <w:tcPr>
            <w:tcW w:w="6237" w:type="dxa"/>
            <w:hideMark/>
          </w:tcPr>
          <w:p w14:paraId="53F52BBB" w14:textId="77777777" w:rsidR="00761B6C" w:rsidRPr="00236418" w:rsidRDefault="00761B6C" w:rsidP="00761B6C">
            <w:pPr>
              <w:pStyle w:val="Tabletext"/>
              <w:spacing w:before="20" w:after="20"/>
              <w:rPr>
                <w:sz w:val="20"/>
              </w:rPr>
            </w:pPr>
            <w:r w:rsidRPr="00236418">
              <w:rPr>
                <w:sz w:val="20"/>
              </w:rPr>
              <w:t>Sans objet pour 20</w:t>
            </w:r>
            <w:r>
              <w:rPr>
                <w:sz w:val="20"/>
              </w:rPr>
              <w:t>20</w:t>
            </w:r>
            <w:r w:rsidRPr="00236418">
              <w:rPr>
                <w:sz w:val="20"/>
              </w:rPr>
              <w:t>.</w:t>
            </w:r>
          </w:p>
        </w:tc>
      </w:tr>
      <w:tr w:rsidR="00761B6C" w:rsidRPr="00236418" w14:paraId="13AAD4C5" w14:textId="77777777" w:rsidTr="0026263E">
        <w:trPr>
          <w:trHeight w:val="457"/>
          <w:jc w:val="center"/>
        </w:trPr>
        <w:tc>
          <w:tcPr>
            <w:tcW w:w="3397" w:type="dxa"/>
            <w:hideMark/>
          </w:tcPr>
          <w:p w14:paraId="0D18CF8F" w14:textId="77777777" w:rsidR="00761B6C" w:rsidRPr="00236418" w:rsidRDefault="00761B6C" w:rsidP="00761B6C">
            <w:pPr>
              <w:pStyle w:val="Tabletext"/>
              <w:spacing w:before="20" w:after="20"/>
              <w:rPr>
                <w:sz w:val="20"/>
              </w:rPr>
            </w:pPr>
            <w:r w:rsidRPr="00236418">
              <w:rPr>
                <w:sz w:val="20"/>
              </w:rPr>
              <w:t>Augmentation des traitements</w:t>
            </w:r>
          </w:p>
        </w:tc>
        <w:tc>
          <w:tcPr>
            <w:tcW w:w="6237" w:type="dxa"/>
            <w:hideMark/>
          </w:tcPr>
          <w:p w14:paraId="0BDF6177" w14:textId="77777777" w:rsidR="00761B6C" w:rsidRPr="00236418" w:rsidRDefault="00761B6C" w:rsidP="00761B6C">
            <w:pPr>
              <w:pStyle w:val="Tabletext"/>
              <w:spacing w:before="20" w:after="20"/>
              <w:rPr>
                <w:sz w:val="20"/>
              </w:rPr>
            </w:pPr>
            <w:r w:rsidRPr="00236418">
              <w:rPr>
                <w:sz w:val="20"/>
              </w:rPr>
              <w:t>3% par rapport au barème des traitements statique de la CCPPNU</w:t>
            </w:r>
          </w:p>
        </w:tc>
      </w:tr>
      <w:tr w:rsidR="00761B6C" w:rsidRPr="00236418" w14:paraId="2A1278E5" w14:textId="77777777" w:rsidTr="0026263E">
        <w:trPr>
          <w:trHeight w:val="255"/>
          <w:jc w:val="center"/>
        </w:trPr>
        <w:tc>
          <w:tcPr>
            <w:tcW w:w="3397" w:type="dxa"/>
            <w:hideMark/>
          </w:tcPr>
          <w:p w14:paraId="1BB1486F" w14:textId="77777777" w:rsidR="00761B6C" w:rsidRPr="00236418" w:rsidRDefault="00761B6C" w:rsidP="00761B6C">
            <w:pPr>
              <w:pStyle w:val="Tabletext"/>
              <w:spacing w:before="20" w:after="20"/>
              <w:rPr>
                <w:sz w:val="20"/>
              </w:rPr>
            </w:pPr>
            <w:r w:rsidRPr="00236418">
              <w:rPr>
                <w:sz w:val="20"/>
              </w:rPr>
              <w:t>Augmentation des retraites</w:t>
            </w:r>
          </w:p>
        </w:tc>
        <w:tc>
          <w:tcPr>
            <w:tcW w:w="6237" w:type="dxa"/>
            <w:hideMark/>
          </w:tcPr>
          <w:p w14:paraId="7B348D02" w14:textId="77777777" w:rsidR="00761B6C" w:rsidRPr="00236418" w:rsidRDefault="00761B6C" w:rsidP="00761B6C">
            <w:pPr>
              <w:pStyle w:val="Tabletext"/>
              <w:spacing w:before="20" w:after="20"/>
              <w:rPr>
                <w:sz w:val="20"/>
              </w:rPr>
            </w:pPr>
            <w:r w:rsidRPr="00236418">
              <w:rPr>
                <w:sz w:val="20"/>
              </w:rPr>
              <w:t>2,50% pour 20</w:t>
            </w:r>
            <w:r>
              <w:rPr>
                <w:sz w:val="20"/>
              </w:rPr>
              <w:t>20</w:t>
            </w:r>
            <w:r w:rsidRPr="00236418">
              <w:rPr>
                <w:sz w:val="20"/>
              </w:rPr>
              <w:t xml:space="preserve"> et 201</w:t>
            </w:r>
            <w:r>
              <w:rPr>
                <w:sz w:val="20"/>
              </w:rPr>
              <w:t>9.</w:t>
            </w:r>
          </w:p>
        </w:tc>
      </w:tr>
      <w:tr w:rsidR="00761B6C" w:rsidRPr="00236418" w14:paraId="5CBDAFDB" w14:textId="77777777" w:rsidTr="0026263E">
        <w:trPr>
          <w:trHeight w:val="1358"/>
          <w:jc w:val="center"/>
        </w:trPr>
        <w:tc>
          <w:tcPr>
            <w:tcW w:w="3397" w:type="dxa"/>
            <w:hideMark/>
          </w:tcPr>
          <w:p w14:paraId="21B4A3B6" w14:textId="77777777" w:rsidR="00761B6C" w:rsidRPr="00236418" w:rsidRDefault="00761B6C" w:rsidP="00761B6C">
            <w:pPr>
              <w:pStyle w:val="Tabletext"/>
              <w:spacing w:before="20" w:after="20"/>
              <w:rPr>
                <w:sz w:val="20"/>
              </w:rPr>
            </w:pPr>
            <w:r w:rsidRPr="00236418">
              <w:rPr>
                <w:sz w:val="20"/>
              </w:rPr>
              <w:t>Coût annuel moyen estimé des demandes de remboursement des frais médicaux en 2018 et variation des frais médicaux en fonction de l</w:t>
            </w:r>
            <w:r>
              <w:rPr>
                <w:sz w:val="20"/>
              </w:rPr>
              <w:t>'</w:t>
            </w:r>
            <w:r w:rsidRPr="00236418">
              <w:rPr>
                <w:sz w:val="20"/>
              </w:rPr>
              <w:t xml:space="preserve">âge </w:t>
            </w:r>
          </w:p>
        </w:tc>
        <w:tc>
          <w:tcPr>
            <w:tcW w:w="6237" w:type="dxa"/>
            <w:hideMark/>
          </w:tcPr>
          <w:p w14:paraId="29F951A3" w14:textId="23957E4A" w:rsidR="00761B6C" w:rsidRPr="00236418" w:rsidRDefault="00761B6C" w:rsidP="00761B6C">
            <w:pPr>
              <w:pStyle w:val="Tabletext"/>
              <w:spacing w:before="20" w:after="20"/>
              <w:rPr>
                <w:sz w:val="20"/>
              </w:rPr>
            </w:pPr>
            <w:r w:rsidRPr="00236418">
              <w:rPr>
                <w:sz w:val="20"/>
              </w:rPr>
              <w:t>Le rapport actuariel pour 20</w:t>
            </w:r>
            <w:r>
              <w:rPr>
                <w:sz w:val="20"/>
              </w:rPr>
              <w:t>20</w:t>
            </w:r>
            <w:r w:rsidRPr="00236418">
              <w:rPr>
                <w:sz w:val="20"/>
              </w:rPr>
              <w:t xml:space="preserve"> se fonde sur un coût moyen des demandes de remboursement estimé en CHF, à la fin de l</w:t>
            </w:r>
            <w:r>
              <w:rPr>
                <w:sz w:val="20"/>
              </w:rPr>
              <w:t>'</w:t>
            </w:r>
            <w:r w:rsidRPr="00236418">
              <w:rPr>
                <w:sz w:val="20"/>
              </w:rPr>
              <w:t>exercice 20</w:t>
            </w:r>
            <w:r>
              <w:rPr>
                <w:sz w:val="20"/>
              </w:rPr>
              <w:t>20</w:t>
            </w:r>
            <w:r w:rsidRPr="00236418">
              <w:rPr>
                <w:sz w:val="20"/>
              </w:rPr>
              <w:t>, par tranche d</w:t>
            </w:r>
            <w:r>
              <w:rPr>
                <w:sz w:val="20"/>
              </w:rPr>
              <w:t>'</w:t>
            </w:r>
            <w:r w:rsidRPr="00236418">
              <w:rPr>
                <w:sz w:val="20"/>
              </w:rPr>
              <w:t>âge de 50, 55, 60, 65, 70, 75 et 80 ans</w:t>
            </w:r>
            <w:r w:rsidR="0026263E">
              <w:rPr>
                <w:sz w:val="20"/>
              </w:rPr>
              <w:t>, à respectivement 3 487 CHF, 4 </w:t>
            </w:r>
            <w:r w:rsidRPr="00236418">
              <w:rPr>
                <w:sz w:val="20"/>
              </w:rPr>
              <w:t>365 CHF,</w:t>
            </w:r>
            <w:r w:rsidR="0026263E">
              <w:rPr>
                <w:sz w:val="20"/>
              </w:rPr>
              <w:t xml:space="preserve"> 5 472 CHF,</w:t>
            </w:r>
            <w:r w:rsidRPr="00236418">
              <w:rPr>
                <w:sz w:val="20"/>
              </w:rPr>
              <w:t xml:space="preserve"> 6 871 CHF, 8 641 CHF, 10 889 CHF, 13 743 CHF.</w:t>
            </w:r>
          </w:p>
        </w:tc>
      </w:tr>
      <w:tr w:rsidR="00761B6C" w:rsidRPr="00236418" w14:paraId="31652498" w14:textId="77777777" w:rsidTr="0026263E">
        <w:trPr>
          <w:trHeight w:val="255"/>
          <w:jc w:val="center"/>
        </w:trPr>
        <w:tc>
          <w:tcPr>
            <w:tcW w:w="3397" w:type="dxa"/>
            <w:hideMark/>
          </w:tcPr>
          <w:p w14:paraId="741055FF" w14:textId="77777777" w:rsidR="00761B6C" w:rsidRPr="00236418" w:rsidRDefault="00761B6C" w:rsidP="00761B6C">
            <w:pPr>
              <w:pStyle w:val="Tabletext"/>
              <w:spacing w:before="20" w:after="20"/>
              <w:rPr>
                <w:sz w:val="20"/>
              </w:rPr>
            </w:pPr>
            <w:r w:rsidRPr="00236418">
              <w:rPr>
                <w:sz w:val="20"/>
              </w:rPr>
              <w:t>Dépenses d</w:t>
            </w:r>
            <w:r>
              <w:rPr>
                <w:sz w:val="20"/>
              </w:rPr>
              <w:t>'</w:t>
            </w:r>
            <w:r w:rsidRPr="00236418">
              <w:rPr>
                <w:sz w:val="20"/>
              </w:rPr>
              <w:t>administration</w:t>
            </w:r>
          </w:p>
        </w:tc>
        <w:tc>
          <w:tcPr>
            <w:tcW w:w="6237" w:type="dxa"/>
            <w:hideMark/>
          </w:tcPr>
          <w:p w14:paraId="31C017FD" w14:textId="77777777" w:rsidR="00761B6C" w:rsidRPr="00236418" w:rsidRDefault="00761B6C" w:rsidP="00761B6C">
            <w:pPr>
              <w:pStyle w:val="Tabletext"/>
              <w:spacing w:before="20" w:after="20"/>
              <w:rPr>
                <w:sz w:val="20"/>
              </w:rPr>
            </w:pPr>
            <w:r w:rsidRPr="00236418">
              <w:rPr>
                <w:sz w:val="20"/>
              </w:rPr>
              <w:t>Le coût administratif annuel a été estimé en moyenne à 1</w:t>
            </w:r>
            <w:r>
              <w:rPr>
                <w:sz w:val="20"/>
              </w:rPr>
              <w:t>61</w:t>
            </w:r>
            <w:r w:rsidRPr="00236418">
              <w:rPr>
                <w:sz w:val="20"/>
              </w:rPr>
              <w:t> CHF par personne.</w:t>
            </w:r>
          </w:p>
        </w:tc>
      </w:tr>
      <w:tr w:rsidR="00761B6C" w:rsidRPr="00236418" w14:paraId="26AD452B" w14:textId="77777777" w:rsidTr="0026263E">
        <w:trPr>
          <w:trHeight w:val="2295"/>
          <w:jc w:val="center"/>
        </w:trPr>
        <w:tc>
          <w:tcPr>
            <w:tcW w:w="3397" w:type="dxa"/>
            <w:hideMark/>
          </w:tcPr>
          <w:p w14:paraId="1039B356" w14:textId="77777777" w:rsidR="00761B6C" w:rsidRPr="00236418" w:rsidRDefault="00761B6C" w:rsidP="00761B6C">
            <w:pPr>
              <w:pStyle w:val="Tabletext"/>
              <w:spacing w:before="20" w:after="20"/>
              <w:rPr>
                <w:sz w:val="20"/>
              </w:rPr>
            </w:pPr>
            <w:r w:rsidRPr="00236418">
              <w:rPr>
                <w:sz w:val="20"/>
              </w:rPr>
              <w:t>Mortalité</w:t>
            </w:r>
          </w:p>
        </w:tc>
        <w:tc>
          <w:tcPr>
            <w:tcW w:w="6237" w:type="dxa"/>
            <w:hideMark/>
          </w:tcPr>
          <w:p w14:paraId="10A1B519" w14:textId="77777777" w:rsidR="00761B6C" w:rsidRPr="00236418" w:rsidRDefault="00761B6C" w:rsidP="00761B6C">
            <w:pPr>
              <w:pStyle w:val="Tabletext"/>
              <w:spacing w:before="20" w:after="20"/>
              <w:rPr>
                <w:sz w:val="20"/>
              </w:rPr>
            </w:pPr>
            <w:r w:rsidRPr="00236418">
              <w:rPr>
                <w:sz w:val="20"/>
              </w:rPr>
              <w:t>Le taux de mortalité est basé sur les dernières tables de mortalité des Nations Unies ventilées par sexe (</w:t>
            </w:r>
            <w:r>
              <w:rPr>
                <w:sz w:val="20"/>
              </w:rPr>
              <w:t>janvier</w:t>
            </w:r>
            <w:r w:rsidRPr="00236418">
              <w:rPr>
                <w:sz w:val="20"/>
              </w:rPr>
              <w:t xml:space="preserve"> 202</w:t>
            </w:r>
            <w:r>
              <w:rPr>
                <w:sz w:val="20"/>
              </w:rPr>
              <w:t>1</w:t>
            </w:r>
            <w:r w:rsidRPr="00236418">
              <w:rPr>
                <w:sz w:val="20"/>
              </w:rPr>
              <w:t>) sans amélioration liée à l</w:t>
            </w:r>
            <w:r>
              <w:rPr>
                <w:sz w:val="20"/>
              </w:rPr>
              <w:t>'</w:t>
            </w:r>
            <w:r w:rsidRPr="00236418">
              <w:rPr>
                <w:sz w:val="20"/>
              </w:rPr>
              <w:t>augmentation de l</w:t>
            </w:r>
            <w:r>
              <w:rPr>
                <w:sz w:val="20"/>
              </w:rPr>
              <w:t>'</w:t>
            </w:r>
            <w:r w:rsidRPr="00236418">
              <w:rPr>
                <w:sz w:val="20"/>
              </w:rPr>
              <w:t>espérance de vie pour les fonctionnaires en service et les bénéficiaires d</w:t>
            </w:r>
            <w:r>
              <w:rPr>
                <w:sz w:val="20"/>
              </w:rPr>
              <w:t>'</w:t>
            </w:r>
            <w:r w:rsidRPr="00236418">
              <w:rPr>
                <w:sz w:val="20"/>
              </w:rPr>
              <w:t>une pension d</w:t>
            </w:r>
            <w:r>
              <w:rPr>
                <w:sz w:val="20"/>
              </w:rPr>
              <w:t>'</w:t>
            </w:r>
            <w:r w:rsidRPr="00236418">
              <w:rPr>
                <w:sz w:val="20"/>
              </w:rPr>
              <w:t>invalidité, et avec une amélioration</w:t>
            </w:r>
            <w:r>
              <w:rPr>
                <w:sz w:val="20"/>
              </w:rPr>
              <w:t xml:space="preserve"> </w:t>
            </w:r>
            <w:r w:rsidRPr="00236418">
              <w:rPr>
                <w:sz w:val="20"/>
              </w:rPr>
              <w:t>liée à l</w:t>
            </w:r>
            <w:r>
              <w:rPr>
                <w:sz w:val="20"/>
              </w:rPr>
              <w:t>'</w:t>
            </w:r>
            <w:r w:rsidRPr="00236418">
              <w:rPr>
                <w:sz w:val="20"/>
              </w:rPr>
              <w:t>augmentation de l</w:t>
            </w:r>
            <w:r>
              <w:rPr>
                <w:sz w:val="20"/>
              </w:rPr>
              <w:t>'</w:t>
            </w:r>
            <w:r w:rsidRPr="00236418">
              <w:rPr>
                <w:sz w:val="20"/>
              </w:rPr>
              <w:t>espérance de vie jusqu</w:t>
            </w:r>
            <w:r>
              <w:rPr>
                <w:sz w:val="20"/>
              </w:rPr>
              <w:t>'</w:t>
            </w:r>
            <w:r w:rsidRPr="00236418">
              <w:rPr>
                <w:sz w:val="20"/>
              </w:rPr>
              <w:t>en 20</w:t>
            </w:r>
            <w:r>
              <w:rPr>
                <w:sz w:val="20"/>
              </w:rPr>
              <w:t>40</w:t>
            </w:r>
            <w:r w:rsidRPr="00236418">
              <w:rPr>
                <w:sz w:val="20"/>
              </w:rPr>
              <w:t xml:space="preserve"> pour les bénéficiaires d</w:t>
            </w:r>
            <w:r>
              <w:rPr>
                <w:sz w:val="20"/>
              </w:rPr>
              <w:t>'</w:t>
            </w:r>
            <w:r w:rsidRPr="00236418">
              <w:rPr>
                <w:sz w:val="20"/>
              </w:rPr>
              <w:t>une pension de retraite, pour les veuves et les veufs. L</w:t>
            </w:r>
            <w:r>
              <w:rPr>
                <w:sz w:val="20"/>
              </w:rPr>
              <w:t>'</w:t>
            </w:r>
            <w:r w:rsidRPr="00236418">
              <w:rPr>
                <w:sz w:val="20"/>
              </w:rPr>
              <w:t>année de référence est 2017, et une amélioration liée à l</w:t>
            </w:r>
            <w:r>
              <w:rPr>
                <w:sz w:val="20"/>
              </w:rPr>
              <w:t>'</w:t>
            </w:r>
            <w:r w:rsidRPr="00236418">
              <w:rPr>
                <w:sz w:val="20"/>
              </w:rPr>
              <w:t>augmentation de l</w:t>
            </w:r>
            <w:r>
              <w:rPr>
                <w:sz w:val="20"/>
              </w:rPr>
              <w:t>'</w:t>
            </w:r>
            <w:r w:rsidRPr="00236418">
              <w:rPr>
                <w:sz w:val="20"/>
              </w:rPr>
              <w:t>espérance de vie est appliquée jusqu</w:t>
            </w:r>
            <w:r>
              <w:rPr>
                <w:sz w:val="20"/>
              </w:rPr>
              <w:t>'</w:t>
            </w:r>
            <w:r w:rsidRPr="00236418">
              <w:rPr>
                <w:sz w:val="20"/>
              </w:rPr>
              <w:t>à l</w:t>
            </w:r>
            <w:r>
              <w:rPr>
                <w:sz w:val="20"/>
              </w:rPr>
              <w:t>'</w:t>
            </w:r>
            <w:r w:rsidRPr="00236418">
              <w:rPr>
                <w:sz w:val="20"/>
              </w:rPr>
              <w:t>année 20</w:t>
            </w:r>
            <w:r>
              <w:rPr>
                <w:sz w:val="20"/>
              </w:rPr>
              <w:t>40</w:t>
            </w:r>
            <w:r w:rsidRPr="00236418">
              <w:rPr>
                <w:sz w:val="20"/>
              </w:rPr>
              <w:t xml:space="preserve"> pour le personnel actuellement en service et en bonne santé.</w:t>
            </w:r>
          </w:p>
        </w:tc>
      </w:tr>
      <w:tr w:rsidR="00761B6C" w:rsidRPr="00236418" w14:paraId="21C1950C" w14:textId="77777777" w:rsidTr="0026263E">
        <w:trPr>
          <w:trHeight w:val="99"/>
          <w:jc w:val="center"/>
        </w:trPr>
        <w:tc>
          <w:tcPr>
            <w:tcW w:w="3397" w:type="dxa"/>
            <w:hideMark/>
          </w:tcPr>
          <w:p w14:paraId="6043483A" w14:textId="77777777" w:rsidR="00761B6C" w:rsidRPr="00236418" w:rsidRDefault="00761B6C" w:rsidP="00761B6C">
            <w:pPr>
              <w:pStyle w:val="Tabletext"/>
              <w:spacing w:before="20" w:after="20"/>
              <w:rPr>
                <w:sz w:val="20"/>
              </w:rPr>
            </w:pPr>
            <w:r w:rsidRPr="00236418">
              <w:rPr>
                <w:sz w:val="20"/>
              </w:rPr>
              <w:t>Valorisation des actifs</w:t>
            </w:r>
          </w:p>
        </w:tc>
        <w:tc>
          <w:tcPr>
            <w:tcW w:w="6237" w:type="dxa"/>
            <w:hideMark/>
          </w:tcPr>
          <w:p w14:paraId="1036CF76" w14:textId="77777777" w:rsidR="00761B6C" w:rsidRPr="00236418" w:rsidRDefault="00761B6C" w:rsidP="00761B6C">
            <w:pPr>
              <w:pStyle w:val="Tabletext"/>
              <w:spacing w:before="20" w:after="20"/>
              <w:rPr>
                <w:sz w:val="20"/>
              </w:rPr>
            </w:pPr>
            <w:r w:rsidRPr="00236418">
              <w:rPr>
                <w:sz w:val="20"/>
              </w:rPr>
              <w:t>L</w:t>
            </w:r>
            <w:r>
              <w:rPr>
                <w:sz w:val="20"/>
              </w:rPr>
              <w:t>'</w:t>
            </w:r>
            <w:r w:rsidRPr="00236418">
              <w:rPr>
                <w:sz w:val="20"/>
              </w:rPr>
              <w:t>UIT n</w:t>
            </w:r>
            <w:r>
              <w:rPr>
                <w:sz w:val="20"/>
              </w:rPr>
              <w:t>'</w:t>
            </w:r>
            <w:r w:rsidRPr="00236418">
              <w:rPr>
                <w:sz w:val="20"/>
              </w:rPr>
              <w:t xml:space="preserve">avait </w:t>
            </w:r>
            <w:r>
              <w:rPr>
                <w:sz w:val="20"/>
              </w:rPr>
              <w:t xml:space="preserve">aucun </w:t>
            </w:r>
            <w:r w:rsidRPr="00236418">
              <w:rPr>
                <w:sz w:val="20"/>
              </w:rPr>
              <w:t>actif sous le Fonds de garantie au 31 décembre 20</w:t>
            </w:r>
            <w:r>
              <w:rPr>
                <w:sz w:val="20"/>
              </w:rPr>
              <w:t>20</w:t>
            </w:r>
            <w:r w:rsidRPr="00236418">
              <w:rPr>
                <w:sz w:val="20"/>
              </w:rPr>
              <w:t>.</w:t>
            </w:r>
          </w:p>
        </w:tc>
      </w:tr>
      <w:tr w:rsidR="00761B6C" w:rsidRPr="00236418" w14:paraId="65F8A581" w14:textId="77777777" w:rsidTr="0026263E">
        <w:trPr>
          <w:trHeight w:val="510"/>
          <w:jc w:val="center"/>
        </w:trPr>
        <w:tc>
          <w:tcPr>
            <w:tcW w:w="3397" w:type="dxa"/>
            <w:hideMark/>
          </w:tcPr>
          <w:p w14:paraId="1A7FA329" w14:textId="77777777" w:rsidR="00761B6C" w:rsidRPr="00236418" w:rsidRDefault="00761B6C" w:rsidP="00761B6C">
            <w:pPr>
              <w:pStyle w:val="Tabletext"/>
              <w:spacing w:before="20" w:after="20"/>
              <w:rPr>
                <w:sz w:val="20"/>
              </w:rPr>
            </w:pPr>
            <w:r w:rsidRPr="00236418">
              <w:rPr>
                <w:sz w:val="20"/>
              </w:rPr>
              <w:t>Taux d</w:t>
            </w:r>
            <w:r>
              <w:rPr>
                <w:sz w:val="20"/>
              </w:rPr>
              <w:t>'</w:t>
            </w:r>
            <w:r w:rsidRPr="00236418">
              <w:rPr>
                <w:sz w:val="20"/>
              </w:rPr>
              <w:t>invalidité</w:t>
            </w:r>
          </w:p>
        </w:tc>
        <w:tc>
          <w:tcPr>
            <w:tcW w:w="6237" w:type="dxa"/>
            <w:hideMark/>
          </w:tcPr>
          <w:p w14:paraId="2DA31F68" w14:textId="77777777" w:rsidR="00761B6C" w:rsidRPr="00236418" w:rsidRDefault="00761B6C" w:rsidP="00761B6C">
            <w:pPr>
              <w:pStyle w:val="Tabletext"/>
              <w:spacing w:before="20" w:after="20"/>
              <w:rPr>
                <w:sz w:val="20"/>
              </w:rPr>
            </w:pPr>
            <w:r w:rsidRPr="00236418">
              <w:rPr>
                <w:sz w:val="20"/>
              </w:rPr>
              <w:t>Il varie selon l</w:t>
            </w:r>
            <w:r>
              <w:rPr>
                <w:sz w:val="20"/>
              </w:rPr>
              <w:t>'</w:t>
            </w:r>
            <w:r w:rsidRPr="00236418">
              <w:rPr>
                <w:sz w:val="20"/>
              </w:rPr>
              <w:t>âge et le sexe et pour le personnel de la catégorie professionnelle ainsi que le personnel de la catégorie des services généraux, et il augmente avec l</w:t>
            </w:r>
            <w:r>
              <w:rPr>
                <w:sz w:val="20"/>
              </w:rPr>
              <w:t>'</w:t>
            </w:r>
            <w:r w:rsidRPr="00236418">
              <w:rPr>
                <w:sz w:val="20"/>
              </w:rPr>
              <w:t>âge. Le taux est basé sur les tables d</w:t>
            </w:r>
            <w:r>
              <w:rPr>
                <w:sz w:val="20"/>
              </w:rPr>
              <w:t>'</w:t>
            </w:r>
            <w:r w:rsidRPr="00236418">
              <w:rPr>
                <w:sz w:val="20"/>
              </w:rPr>
              <w:t>invalidité des Nations Unies communiquées en février 2020.</w:t>
            </w:r>
          </w:p>
        </w:tc>
      </w:tr>
      <w:tr w:rsidR="00761B6C" w:rsidRPr="00236418" w14:paraId="0B771D3A" w14:textId="77777777" w:rsidTr="0026263E">
        <w:trPr>
          <w:trHeight w:val="510"/>
          <w:jc w:val="center"/>
        </w:trPr>
        <w:tc>
          <w:tcPr>
            <w:tcW w:w="3397" w:type="dxa"/>
            <w:hideMark/>
          </w:tcPr>
          <w:p w14:paraId="0EF24612" w14:textId="77777777" w:rsidR="00761B6C" w:rsidRPr="00236418" w:rsidRDefault="00761B6C" w:rsidP="00761B6C">
            <w:pPr>
              <w:pStyle w:val="Tabletext"/>
              <w:spacing w:before="20" w:after="20"/>
              <w:rPr>
                <w:sz w:val="20"/>
              </w:rPr>
            </w:pPr>
            <w:r w:rsidRPr="00236418">
              <w:rPr>
                <w:sz w:val="20"/>
              </w:rPr>
              <w:t>Taux de conversion des droits à prestation</w:t>
            </w:r>
          </w:p>
        </w:tc>
        <w:tc>
          <w:tcPr>
            <w:tcW w:w="6237" w:type="dxa"/>
            <w:hideMark/>
          </w:tcPr>
          <w:p w14:paraId="7F76CBD8" w14:textId="77777777" w:rsidR="00761B6C" w:rsidRPr="00236418" w:rsidRDefault="00761B6C" w:rsidP="00761B6C">
            <w:pPr>
              <w:pStyle w:val="Tabletext"/>
              <w:spacing w:before="20" w:after="20"/>
              <w:rPr>
                <w:sz w:val="20"/>
              </w:rPr>
            </w:pPr>
            <w:r w:rsidRPr="00236418">
              <w:rPr>
                <w:sz w:val="20"/>
              </w:rPr>
              <w:t>Varient selon l</w:t>
            </w:r>
            <w:r>
              <w:rPr>
                <w:sz w:val="20"/>
              </w:rPr>
              <w:t>'</w:t>
            </w:r>
            <w:r w:rsidRPr="00236418">
              <w:rPr>
                <w:sz w:val="20"/>
              </w:rPr>
              <w:t>âge et le nombre d</w:t>
            </w:r>
            <w:r>
              <w:rPr>
                <w:sz w:val="20"/>
              </w:rPr>
              <w:t>'</w:t>
            </w:r>
            <w:r w:rsidRPr="00236418">
              <w:rPr>
                <w:sz w:val="20"/>
              </w:rPr>
              <w:t>années de service, les demandes de conversion étant plus fréquentes la première année.</w:t>
            </w:r>
          </w:p>
        </w:tc>
      </w:tr>
      <w:tr w:rsidR="00761B6C" w:rsidRPr="00236418" w14:paraId="7DEFB8A1" w14:textId="77777777" w:rsidTr="0026263E">
        <w:trPr>
          <w:trHeight w:val="510"/>
          <w:jc w:val="center"/>
        </w:trPr>
        <w:tc>
          <w:tcPr>
            <w:tcW w:w="3397" w:type="dxa"/>
            <w:hideMark/>
          </w:tcPr>
          <w:p w14:paraId="73A8E201" w14:textId="77777777" w:rsidR="00761B6C" w:rsidRPr="00236418" w:rsidRDefault="00761B6C" w:rsidP="00761B6C">
            <w:pPr>
              <w:pStyle w:val="Tabletext"/>
              <w:spacing w:before="20" w:after="20"/>
              <w:rPr>
                <w:sz w:val="20"/>
              </w:rPr>
            </w:pPr>
            <w:r w:rsidRPr="00236418">
              <w:rPr>
                <w:sz w:val="20"/>
              </w:rPr>
              <w:t>Rotation du personnel</w:t>
            </w:r>
          </w:p>
        </w:tc>
        <w:tc>
          <w:tcPr>
            <w:tcW w:w="6237" w:type="dxa"/>
            <w:hideMark/>
          </w:tcPr>
          <w:p w14:paraId="30F33973" w14:textId="77777777" w:rsidR="00761B6C" w:rsidRPr="00236418" w:rsidRDefault="00761B6C" w:rsidP="00761B6C">
            <w:pPr>
              <w:pStyle w:val="Tabletext"/>
              <w:spacing w:before="20" w:after="20"/>
              <w:rPr>
                <w:sz w:val="20"/>
              </w:rPr>
            </w:pPr>
            <w:r w:rsidRPr="00236418">
              <w:rPr>
                <w:sz w:val="20"/>
              </w:rPr>
              <w:t>Le taux de départ d</w:t>
            </w:r>
            <w:r>
              <w:rPr>
                <w:sz w:val="20"/>
              </w:rPr>
              <w:t>'</w:t>
            </w:r>
            <w:r w:rsidRPr="00236418">
              <w:rPr>
                <w:sz w:val="20"/>
              </w:rPr>
              <w:t>employés quittant les organisations considérées dans l</w:t>
            </w:r>
            <w:r>
              <w:rPr>
                <w:sz w:val="20"/>
              </w:rPr>
              <w:t>'</w:t>
            </w:r>
            <w:r w:rsidRPr="00236418">
              <w:rPr>
                <w:sz w:val="20"/>
              </w:rPr>
              <w:t>évaluation varie selon l</w:t>
            </w:r>
            <w:r>
              <w:rPr>
                <w:sz w:val="20"/>
              </w:rPr>
              <w:t>'</w:t>
            </w:r>
            <w:r w:rsidRPr="00236418">
              <w:rPr>
                <w:sz w:val="20"/>
              </w:rPr>
              <w:t>âge et le sexe.</w:t>
            </w:r>
          </w:p>
        </w:tc>
      </w:tr>
      <w:tr w:rsidR="00761B6C" w:rsidRPr="00236418" w14:paraId="72DC2FD6" w14:textId="77777777" w:rsidTr="0026263E">
        <w:trPr>
          <w:trHeight w:val="510"/>
          <w:jc w:val="center"/>
        </w:trPr>
        <w:tc>
          <w:tcPr>
            <w:tcW w:w="3397" w:type="dxa"/>
            <w:hideMark/>
          </w:tcPr>
          <w:p w14:paraId="708B001B" w14:textId="77777777" w:rsidR="00761B6C" w:rsidRPr="00236418" w:rsidRDefault="00761B6C" w:rsidP="00761B6C">
            <w:pPr>
              <w:pStyle w:val="Tabletext"/>
              <w:spacing w:before="20" w:after="20"/>
              <w:rPr>
                <w:sz w:val="20"/>
              </w:rPr>
            </w:pPr>
            <w:r w:rsidRPr="00236418">
              <w:rPr>
                <w:sz w:val="20"/>
              </w:rPr>
              <w:t>Taux de retraite</w:t>
            </w:r>
          </w:p>
        </w:tc>
        <w:tc>
          <w:tcPr>
            <w:tcW w:w="6237" w:type="dxa"/>
            <w:hideMark/>
          </w:tcPr>
          <w:p w14:paraId="1F900352" w14:textId="494E5656" w:rsidR="00761B6C" w:rsidRPr="00236418" w:rsidRDefault="00761B6C" w:rsidP="00761B6C">
            <w:pPr>
              <w:pStyle w:val="Tabletext"/>
              <w:spacing w:before="20" w:after="20"/>
              <w:rPr>
                <w:sz w:val="20"/>
              </w:rPr>
            </w:pPr>
            <w:r w:rsidRPr="00236418">
              <w:rPr>
                <w:sz w:val="20"/>
              </w:rPr>
              <w:t>Pour tous les fonctionnaires, les taux de ret</w:t>
            </w:r>
            <w:r w:rsidR="0026263E">
              <w:rPr>
                <w:sz w:val="20"/>
              </w:rPr>
              <w:t>raite sont équivalents aux taux </w:t>
            </w:r>
            <w:r w:rsidRPr="00236418">
              <w:rPr>
                <w:sz w:val="20"/>
              </w:rPr>
              <w:t>définis dans le message du Groupe spécial des Nations Unies de février 2020. Les taux varient selon l</w:t>
            </w:r>
            <w:r>
              <w:rPr>
                <w:sz w:val="20"/>
              </w:rPr>
              <w:t>'</w:t>
            </w:r>
            <w:r w:rsidRPr="00236418">
              <w:rPr>
                <w:sz w:val="20"/>
              </w:rPr>
              <w:t>âge, le nombre d</w:t>
            </w:r>
            <w:r>
              <w:rPr>
                <w:sz w:val="20"/>
              </w:rPr>
              <w:t>'</w:t>
            </w:r>
            <w:r w:rsidRPr="00236418">
              <w:rPr>
                <w:sz w:val="20"/>
              </w:rPr>
              <w:t>années d</w:t>
            </w:r>
            <w:r>
              <w:rPr>
                <w:sz w:val="20"/>
              </w:rPr>
              <w:t>'</w:t>
            </w:r>
            <w:r w:rsidRPr="00236418">
              <w:rPr>
                <w:sz w:val="20"/>
              </w:rPr>
              <w:t>affiliation et la catégorie de poste.</w:t>
            </w:r>
          </w:p>
        </w:tc>
      </w:tr>
      <w:tr w:rsidR="00761B6C" w:rsidRPr="00236418" w14:paraId="2613CB4A" w14:textId="77777777" w:rsidTr="0026263E">
        <w:trPr>
          <w:trHeight w:val="255"/>
          <w:jc w:val="center"/>
        </w:trPr>
        <w:tc>
          <w:tcPr>
            <w:tcW w:w="3397" w:type="dxa"/>
            <w:hideMark/>
          </w:tcPr>
          <w:p w14:paraId="042416C9" w14:textId="77777777" w:rsidR="00761B6C" w:rsidRPr="00236418" w:rsidRDefault="00761B6C" w:rsidP="0026263E">
            <w:pPr>
              <w:pStyle w:val="Tabletext"/>
              <w:spacing w:before="20" w:after="20"/>
              <w:rPr>
                <w:sz w:val="20"/>
              </w:rPr>
            </w:pPr>
            <w:r w:rsidRPr="00236418">
              <w:rPr>
                <w:sz w:val="20"/>
              </w:rPr>
              <w:t>Participation</w:t>
            </w:r>
          </w:p>
        </w:tc>
        <w:tc>
          <w:tcPr>
            <w:tcW w:w="6237" w:type="dxa"/>
            <w:hideMark/>
          </w:tcPr>
          <w:p w14:paraId="778AE22D" w14:textId="77777777" w:rsidR="00761B6C" w:rsidRPr="00236418" w:rsidRDefault="00761B6C" w:rsidP="0026263E">
            <w:pPr>
              <w:pStyle w:val="Tabletext"/>
              <w:spacing w:before="20" w:after="20"/>
              <w:rPr>
                <w:sz w:val="20"/>
              </w:rPr>
            </w:pPr>
            <w:r w:rsidRPr="00236418">
              <w:rPr>
                <w:sz w:val="20"/>
              </w:rPr>
              <w:t>97,5% des futurs retraités choisiront d</w:t>
            </w:r>
            <w:r>
              <w:rPr>
                <w:sz w:val="20"/>
              </w:rPr>
              <w:t>'</w:t>
            </w:r>
            <w:r w:rsidRPr="00236418">
              <w:rPr>
                <w:sz w:val="20"/>
              </w:rPr>
              <w:t>être couvert par l</w:t>
            </w:r>
            <w:r>
              <w:rPr>
                <w:sz w:val="20"/>
              </w:rPr>
              <w:t>'</w:t>
            </w:r>
            <w:r w:rsidRPr="00236418">
              <w:rPr>
                <w:sz w:val="20"/>
              </w:rPr>
              <w:t>ASHI.</w:t>
            </w:r>
          </w:p>
        </w:tc>
      </w:tr>
      <w:tr w:rsidR="00761B6C" w:rsidRPr="00236418" w14:paraId="42BEFE3F" w14:textId="77777777" w:rsidTr="0026263E">
        <w:trPr>
          <w:trHeight w:val="765"/>
          <w:jc w:val="center"/>
        </w:trPr>
        <w:tc>
          <w:tcPr>
            <w:tcW w:w="3397" w:type="dxa"/>
            <w:hideMark/>
          </w:tcPr>
          <w:p w14:paraId="606AA1EF" w14:textId="77777777" w:rsidR="00761B6C" w:rsidRPr="00236418" w:rsidRDefault="00761B6C" w:rsidP="0026263E">
            <w:pPr>
              <w:pStyle w:val="Tabletext"/>
              <w:spacing w:before="20" w:after="20"/>
              <w:rPr>
                <w:sz w:val="20"/>
              </w:rPr>
            </w:pPr>
            <w:r w:rsidRPr="00236418">
              <w:rPr>
                <w:sz w:val="20"/>
              </w:rPr>
              <w:t>Couverture des conjoints</w:t>
            </w:r>
          </w:p>
        </w:tc>
        <w:tc>
          <w:tcPr>
            <w:tcW w:w="6237" w:type="dxa"/>
            <w:hideMark/>
          </w:tcPr>
          <w:p w14:paraId="75D335AC" w14:textId="77777777" w:rsidR="00761B6C" w:rsidRPr="00236418" w:rsidRDefault="00761B6C" w:rsidP="0026263E">
            <w:pPr>
              <w:pStyle w:val="Tabletext"/>
              <w:spacing w:before="20" w:after="20"/>
              <w:rPr>
                <w:sz w:val="20"/>
              </w:rPr>
            </w:pPr>
            <w:r w:rsidRPr="00236418">
              <w:rPr>
                <w:sz w:val="20"/>
              </w:rPr>
              <w:t>75% et 25% des retraités de sexe masculin et féminin ont un conjoint qui choisira d</w:t>
            </w:r>
            <w:r>
              <w:rPr>
                <w:sz w:val="20"/>
              </w:rPr>
              <w:t>'</w:t>
            </w:r>
            <w:r w:rsidRPr="00236418">
              <w:rPr>
                <w:sz w:val="20"/>
              </w:rPr>
              <w:t>être couvert par l</w:t>
            </w:r>
            <w:r>
              <w:rPr>
                <w:sz w:val="20"/>
              </w:rPr>
              <w:t>'</w:t>
            </w:r>
            <w:r w:rsidRPr="00236418">
              <w:rPr>
                <w:sz w:val="20"/>
              </w:rPr>
              <w:t>ASHI. Les hommes sont supposés avoir cinq ans de plus que leur conjoint.</w:t>
            </w:r>
          </w:p>
        </w:tc>
      </w:tr>
      <w:tr w:rsidR="00761B6C" w:rsidRPr="00236418" w14:paraId="46B0D261" w14:textId="77777777" w:rsidTr="0026263E">
        <w:trPr>
          <w:trHeight w:val="765"/>
          <w:jc w:val="center"/>
        </w:trPr>
        <w:tc>
          <w:tcPr>
            <w:tcW w:w="3397" w:type="dxa"/>
            <w:hideMark/>
          </w:tcPr>
          <w:p w14:paraId="342C8CFB" w14:textId="77777777" w:rsidR="00761B6C" w:rsidRPr="00236418" w:rsidRDefault="00761B6C" w:rsidP="0026263E">
            <w:pPr>
              <w:pStyle w:val="Tabletext"/>
              <w:spacing w:before="20" w:after="20"/>
              <w:rPr>
                <w:sz w:val="20"/>
              </w:rPr>
            </w:pPr>
            <w:r w:rsidRPr="00236418">
              <w:rPr>
                <w:sz w:val="20"/>
              </w:rPr>
              <w:t>Méthode actuarielle</w:t>
            </w:r>
          </w:p>
        </w:tc>
        <w:tc>
          <w:tcPr>
            <w:tcW w:w="6237" w:type="dxa"/>
            <w:hideMark/>
          </w:tcPr>
          <w:p w14:paraId="2C2947B6" w14:textId="77777777" w:rsidR="00761B6C" w:rsidRPr="00236418" w:rsidRDefault="00761B6C" w:rsidP="0026263E">
            <w:pPr>
              <w:pStyle w:val="Tabletext"/>
              <w:spacing w:before="20" w:after="20"/>
              <w:rPr>
                <w:sz w:val="20"/>
              </w:rPr>
            </w:pPr>
            <w:r w:rsidRPr="00236418">
              <w:rPr>
                <w:sz w:val="20"/>
              </w:rPr>
              <w:t>Méthode des unités de crédit projetées avec prorata en fonction du nombre d</w:t>
            </w:r>
            <w:r>
              <w:rPr>
                <w:sz w:val="20"/>
              </w:rPr>
              <w:t>'</w:t>
            </w:r>
            <w:r w:rsidRPr="00236418">
              <w:rPr>
                <w:sz w:val="20"/>
              </w:rPr>
              <w:t>années de service. La période d</w:t>
            </w:r>
            <w:r>
              <w:rPr>
                <w:sz w:val="20"/>
              </w:rPr>
              <w:t>'</w:t>
            </w:r>
            <w:r w:rsidRPr="00236418">
              <w:rPr>
                <w:sz w:val="20"/>
              </w:rPr>
              <w:t>attribution commence à 45 ans d</w:t>
            </w:r>
            <w:r>
              <w:rPr>
                <w:sz w:val="20"/>
              </w:rPr>
              <w:t>'</w:t>
            </w:r>
            <w:r w:rsidRPr="00236418">
              <w:rPr>
                <w:sz w:val="20"/>
              </w:rPr>
              <w:t>âge afin de refléter le fait que les employés doivent avoir un minimum de 55 ans et 10 ans de service afin d</w:t>
            </w:r>
            <w:r>
              <w:rPr>
                <w:sz w:val="20"/>
              </w:rPr>
              <w:t>'</w:t>
            </w:r>
            <w:r w:rsidRPr="00236418">
              <w:rPr>
                <w:sz w:val="20"/>
              </w:rPr>
              <w:t>être éligibles.</w:t>
            </w:r>
          </w:p>
        </w:tc>
      </w:tr>
      <w:tr w:rsidR="00761B6C" w:rsidRPr="00236418" w14:paraId="595977E0" w14:textId="77777777" w:rsidTr="0026263E">
        <w:trPr>
          <w:trHeight w:val="1020"/>
          <w:jc w:val="center"/>
        </w:trPr>
        <w:tc>
          <w:tcPr>
            <w:tcW w:w="3397" w:type="dxa"/>
            <w:hideMark/>
          </w:tcPr>
          <w:p w14:paraId="0883B519" w14:textId="77777777" w:rsidR="00761B6C" w:rsidRPr="00236418" w:rsidRDefault="00761B6C" w:rsidP="0026263E">
            <w:pPr>
              <w:pStyle w:val="Tabletext"/>
              <w:spacing w:before="20" w:after="20"/>
              <w:rPr>
                <w:sz w:val="20"/>
              </w:rPr>
            </w:pPr>
            <w:r w:rsidRPr="00236418">
              <w:rPr>
                <w:sz w:val="20"/>
              </w:rPr>
              <w:t>Approche OCI</w:t>
            </w:r>
          </w:p>
        </w:tc>
        <w:tc>
          <w:tcPr>
            <w:tcW w:w="6237" w:type="dxa"/>
            <w:hideMark/>
          </w:tcPr>
          <w:p w14:paraId="3FC73C1A" w14:textId="77777777" w:rsidR="00761B6C" w:rsidRPr="00236418" w:rsidRDefault="00761B6C" w:rsidP="0026263E">
            <w:pPr>
              <w:pStyle w:val="Tabletext"/>
              <w:spacing w:before="20" w:after="20"/>
              <w:rPr>
                <w:sz w:val="20"/>
              </w:rPr>
            </w:pPr>
            <w:r w:rsidRPr="00236418">
              <w:rPr>
                <w:sz w:val="20"/>
              </w:rPr>
              <w:t>Tous les gains et toutes les pertes sont comptabilisés intégralement pendant l</w:t>
            </w:r>
            <w:r>
              <w:rPr>
                <w:sz w:val="20"/>
              </w:rPr>
              <w:t>'</w:t>
            </w:r>
            <w:r w:rsidRPr="00236418">
              <w:rPr>
                <w:sz w:val="20"/>
              </w:rPr>
              <w:t>année même au cours de laquelle ils surviennent, mais en dehors du compte de résultat, dans le cadre de l</w:t>
            </w:r>
            <w:r>
              <w:rPr>
                <w:sz w:val="20"/>
              </w:rPr>
              <w:t>'</w:t>
            </w:r>
            <w:r w:rsidRPr="00236418">
              <w:rPr>
                <w:sz w:val="20"/>
              </w:rPr>
              <w:t>état du résultat global (</w:t>
            </w:r>
            <w:proofErr w:type="spellStart"/>
            <w:r w:rsidRPr="00236418">
              <w:rPr>
                <w:sz w:val="20"/>
              </w:rPr>
              <w:t>SoCI</w:t>
            </w:r>
            <w:proofErr w:type="spellEnd"/>
            <w:r w:rsidRPr="00236418">
              <w:rPr>
                <w:sz w:val="20"/>
              </w:rPr>
              <w:t>).</w:t>
            </w:r>
          </w:p>
        </w:tc>
      </w:tr>
    </w:tbl>
    <w:p w14:paraId="6D173007" w14:textId="77777777" w:rsidR="0026263E" w:rsidRDefault="0026263E" w:rsidP="00761B6C">
      <w:pPr>
        <w:spacing w:before="240"/>
      </w:pPr>
      <w:r>
        <w:br w:type="page"/>
      </w:r>
    </w:p>
    <w:p w14:paraId="5858C2B0" w14:textId="08F9AAB9" w:rsidR="00761B6C" w:rsidRPr="00236418" w:rsidRDefault="00761B6C" w:rsidP="00761B6C">
      <w:pPr>
        <w:spacing w:before="240"/>
      </w:pPr>
      <w:r w:rsidRPr="00236418">
        <w:lastRenderedPageBreak/>
        <w:t>Les fonctionnaires (et leurs conjoints, enfants à charge et survivants) quittant le service à l</w:t>
      </w:r>
      <w:r>
        <w:t>'</w:t>
      </w:r>
      <w:r w:rsidRPr="00236418">
        <w:t>âge de 55 ans ou plus ont droit à l</w:t>
      </w:r>
      <w:r>
        <w:t>'</w:t>
      </w:r>
      <w:r w:rsidRPr="00236418">
        <w:t>assurance maladie après la cessation de service s</w:t>
      </w:r>
      <w:r>
        <w:t>'</w:t>
      </w:r>
      <w:r w:rsidRPr="00236418">
        <w:t>ils ont travaillé au moins dix ans à l</w:t>
      </w:r>
      <w:r>
        <w:t>'</w:t>
      </w:r>
      <w:r w:rsidRPr="00236418">
        <w:t>ONU ou dans une institution spécialisée et s</w:t>
      </w:r>
      <w:r>
        <w:t>'</w:t>
      </w:r>
      <w:r w:rsidRPr="00236418">
        <w:t xml:space="preserve">ils ont été assurés </w:t>
      </w:r>
      <w:r>
        <w:t xml:space="preserve">au </w:t>
      </w:r>
      <w:r>
        <w:rPr>
          <w:color w:val="000000"/>
        </w:rPr>
        <w:t>régime d'assurance maladie</w:t>
      </w:r>
      <w:r>
        <w:t xml:space="preserve"> de l'UNSMIS </w:t>
      </w:r>
      <w:r w:rsidRPr="00236418">
        <w:t>pendant les cinq années précédant immédiatement la fin de leur service. Les mêmes prestations s</w:t>
      </w:r>
      <w:r>
        <w:t>'</w:t>
      </w:r>
      <w:r w:rsidRPr="00236418">
        <w:t>appliquent aux fonctionnaires bénéficiant d</w:t>
      </w:r>
      <w:r>
        <w:t>'</w:t>
      </w:r>
      <w:r w:rsidRPr="00236418">
        <w:t>une pension d</w:t>
      </w:r>
      <w:r>
        <w:t>'</w:t>
      </w:r>
      <w:r w:rsidRPr="00236418">
        <w:t>invalidité de la Caisse commune des pensions du personnel des Nations Unies. Ce régime est financé par les cotisations conjointes de l</w:t>
      </w:r>
      <w:r>
        <w:t>'</w:t>
      </w:r>
      <w:r w:rsidRPr="00236418">
        <w:t>UIT, à hauteur des 2/3, et des assurés, pour le tiers restant.</w:t>
      </w:r>
    </w:p>
    <w:p w14:paraId="6031AC82" w14:textId="77777777" w:rsidR="00761B6C" w:rsidRPr="00236418" w:rsidRDefault="00761B6C" w:rsidP="00761B6C">
      <w:pPr>
        <w:spacing w:after="120"/>
      </w:pPr>
      <w:r w:rsidRPr="00236418">
        <w:t>Les tableaux ci-dessous fournissent des informations et analyses supplémentaires concernant les passifs découlant des indemnités dues aux employés ainsi que la valorisation des actifs détenus par la Caisse d</w:t>
      </w:r>
      <w:r>
        <w:t>'</w:t>
      </w:r>
      <w:r w:rsidRPr="00236418">
        <w:t>assurance sur la base de l</w:t>
      </w:r>
      <w:r>
        <w:t>'</w:t>
      </w:r>
      <w:r w:rsidRPr="00236418">
        <w:t>étude actuarielle qui a été conduite pour obtenir les montants au 31 décembre 20</w:t>
      </w:r>
      <w:r>
        <w:t>20</w:t>
      </w:r>
      <w:r w:rsidRPr="00236418">
        <w:t>.</w:t>
      </w:r>
    </w:p>
    <w:tbl>
      <w:tblPr>
        <w:tblW w:w="9634" w:type="dxa"/>
        <w:jc w:val="center"/>
        <w:tblLook w:val="04A0" w:firstRow="1" w:lastRow="0" w:firstColumn="1" w:lastColumn="0" w:noHBand="0" w:noVBand="1"/>
        <w:tblCaption w:val="M"/>
      </w:tblPr>
      <w:tblGrid>
        <w:gridCol w:w="5382"/>
        <w:gridCol w:w="2268"/>
        <w:gridCol w:w="1984"/>
      </w:tblGrid>
      <w:tr w:rsidR="00761B6C" w:rsidRPr="00236418" w14:paraId="29AB8A5F" w14:textId="77777777" w:rsidTr="00761B6C">
        <w:trPr>
          <w:cantSplit/>
          <w:jc w:val="center"/>
        </w:trPr>
        <w:tc>
          <w:tcPr>
            <w:tcW w:w="5382" w:type="dxa"/>
            <w:tcBorders>
              <w:top w:val="single" w:sz="4" w:space="0" w:color="auto"/>
              <w:left w:val="single" w:sz="4" w:space="0" w:color="auto"/>
              <w:bottom w:val="single" w:sz="4" w:space="0" w:color="auto"/>
              <w:right w:val="nil"/>
            </w:tcBorders>
            <w:hideMark/>
          </w:tcPr>
          <w:p w14:paraId="6CB3D782" w14:textId="77777777" w:rsidR="00761B6C" w:rsidRPr="00236418" w:rsidRDefault="00761B6C" w:rsidP="00761B6C">
            <w:pPr>
              <w:pStyle w:val="Tablehead"/>
            </w:pPr>
            <w:r w:rsidRPr="00236418">
              <w:t>Montant des engagements au titre du plan ASHI au 31 décembre 20</w:t>
            </w:r>
            <w:r>
              <w:t>20</w:t>
            </w:r>
            <w:r w:rsidRPr="00236418">
              <w:t xml:space="preserve"> et 201</w:t>
            </w:r>
            <w:r>
              <w:t>9</w:t>
            </w:r>
            <w:r w:rsidRPr="00236418">
              <w:t xml:space="preserve"> dans </w:t>
            </w:r>
            <w:r w:rsidRPr="00236418">
              <w:br/>
              <w:t>l</w:t>
            </w:r>
            <w:r>
              <w:t>'</w:t>
            </w:r>
            <w:r w:rsidRPr="00236418">
              <w:t>état de la situation financière</w:t>
            </w:r>
          </w:p>
        </w:tc>
        <w:tc>
          <w:tcPr>
            <w:tcW w:w="2268" w:type="dxa"/>
            <w:tcBorders>
              <w:top w:val="single" w:sz="4" w:space="0" w:color="auto"/>
              <w:left w:val="single" w:sz="4" w:space="0" w:color="auto"/>
              <w:bottom w:val="single" w:sz="4" w:space="0" w:color="auto"/>
              <w:right w:val="single" w:sz="4" w:space="0" w:color="auto"/>
            </w:tcBorders>
          </w:tcPr>
          <w:p w14:paraId="4A5F7FBA" w14:textId="77777777" w:rsidR="00761B6C" w:rsidRPr="00236418" w:rsidRDefault="00761B6C" w:rsidP="00761B6C">
            <w:pPr>
              <w:pStyle w:val="Tablehead"/>
            </w:pPr>
            <w:r w:rsidRPr="00236418">
              <w:t>En milliers</w:t>
            </w:r>
            <w:r>
              <w:t xml:space="preserve"> </w:t>
            </w:r>
            <w:r w:rsidRPr="00236418">
              <w:t>CHF</w:t>
            </w:r>
            <w:r w:rsidRPr="00236418">
              <w:br/>
              <w:t>31.12.20</w:t>
            </w:r>
            <w:r>
              <w:t>20</w:t>
            </w:r>
          </w:p>
        </w:tc>
        <w:tc>
          <w:tcPr>
            <w:tcW w:w="1984" w:type="dxa"/>
            <w:tcBorders>
              <w:top w:val="single" w:sz="4" w:space="0" w:color="auto"/>
              <w:left w:val="single" w:sz="4" w:space="0" w:color="auto"/>
              <w:bottom w:val="single" w:sz="4" w:space="0" w:color="auto"/>
              <w:right w:val="single" w:sz="4" w:space="0" w:color="auto"/>
            </w:tcBorders>
          </w:tcPr>
          <w:p w14:paraId="4CB3D2D1" w14:textId="77777777" w:rsidR="00761B6C" w:rsidRPr="00236418" w:rsidRDefault="00761B6C" w:rsidP="00761B6C">
            <w:pPr>
              <w:pStyle w:val="Tablehead"/>
            </w:pPr>
            <w:r w:rsidRPr="00236418">
              <w:t>En milliers</w:t>
            </w:r>
            <w:r>
              <w:t xml:space="preserve"> </w:t>
            </w:r>
            <w:r w:rsidRPr="00236418">
              <w:t>CHF</w:t>
            </w:r>
            <w:r w:rsidRPr="00236418">
              <w:br/>
              <w:t>31.12.201</w:t>
            </w:r>
            <w:r>
              <w:t>9</w:t>
            </w:r>
          </w:p>
        </w:tc>
      </w:tr>
      <w:tr w:rsidR="00761B6C" w:rsidRPr="00236418" w14:paraId="3AF8AA30" w14:textId="77777777" w:rsidTr="00761B6C">
        <w:trPr>
          <w:cantSplit/>
          <w:trHeight w:val="360"/>
          <w:jc w:val="center"/>
        </w:trPr>
        <w:tc>
          <w:tcPr>
            <w:tcW w:w="5382" w:type="dxa"/>
            <w:tcBorders>
              <w:top w:val="nil"/>
              <w:left w:val="single" w:sz="4" w:space="0" w:color="auto"/>
              <w:bottom w:val="nil"/>
              <w:right w:val="single" w:sz="4" w:space="0" w:color="auto"/>
            </w:tcBorders>
            <w:vAlign w:val="bottom"/>
            <w:hideMark/>
          </w:tcPr>
          <w:p w14:paraId="34E82E50" w14:textId="77777777" w:rsidR="00761B6C" w:rsidRPr="00236418" w:rsidRDefault="00761B6C" w:rsidP="00761B6C">
            <w:pPr>
              <w:pStyle w:val="Tabletext"/>
            </w:pPr>
            <w:r w:rsidRPr="00236418">
              <w:t>Solde au 31 décembre 20</w:t>
            </w:r>
            <w:r>
              <w:t>20</w:t>
            </w:r>
            <w:r w:rsidRPr="00236418">
              <w:t>-201</w:t>
            </w:r>
            <w:r>
              <w:t>9</w:t>
            </w:r>
          </w:p>
        </w:tc>
        <w:tc>
          <w:tcPr>
            <w:tcW w:w="2268" w:type="dxa"/>
            <w:tcBorders>
              <w:top w:val="single" w:sz="4" w:space="0" w:color="auto"/>
              <w:left w:val="single" w:sz="4" w:space="0" w:color="auto"/>
              <w:bottom w:val="nil"/>
              <w:right w:val="single" w:sz="4" w:space="0" w:color="auto"/>
            </w:tcBorders>
          </w:tcPr>
          <w:p w14:paraId="4A4577B2" w14:textId="77777777" w:rsidR="00761B6C" w:rsidRPr="00CB156B" w:rsidRDefault="00761B6C" w:rsidP="00761B6C">
            <w:pPr>
              <w:widowControl w:val="0"/>
              <w:tabs>
                <w:tab w:val="clear" w:pos="1701"/>
              </w:tabs>
              <w:kinsoku w:val="0"/>
              <w:ind w:right="210"/>
              <w:jc w:val="right"/>
              <w:rPr>
                <w:i/>
                <w:iCs/>
                <w:color w:val="000000"/>
                <w:sz w:val="22"/>
                <w:szCs w:val="18"/>
              </w:rPr>
            </w:pPr>
            <w:r w:rsidRPr="00CB156B">
              <w:rPr>
                <w:i/>
                <w:iCs/>
                <w:color w:val="000000"/>
                <w:sz w:val="22"/>
                <w:szCs w:val="18"/>
              </w:rPr>
              <w:t>611 896</w:t>
            </w:r>
          </w:p>
        </w:tc>
        <w:tc>
          <w:tcPr>
            <w:tcW w:w="1984" w:type="dxa"/>
            <w:tcBorders>
              <w:top w:val="single" w:sz="4" w:space="0" w:color="auto"/>
              <w:left w:val="single" w:sz="4" w:space="0" w:color="auto"/>
              <w:bottom w:val="nil"/>
              <w:right w:val="single" w:sz="4" w:space="0" w:color="auto"/>
            </w:tcBorders>
          </w:tcPr>
          <w:p w14:paraId="660DD030" w14:textId="77777777" w:rsidR="00761B6C" w:rsidRPr="00236418" w:rsidRDefault="00761B6C" w:rsidP="00761B6C">
            <w:pPr>
              <w:widowControl w:val="0"/>
              <w:tabs>
                <w:tab w:val="clear" w:pos="1701"/>
              </w:tabs>
              <w:kinsoku w:val="0"/>
              <w:ind w:right="210"/>
              <w:jc w:val="right"/>
              <w:rPr>
                <w:i/>
                <w:iCs/>
                <w:color w:val="000000"/>
                <w:sz w:val="22"/>
                <w:szCs w:val="18"/>
              </w:rPr>
            </w:pPr>
            <w:r w:rsidRPr="00236418">
              <w:rPr>
                <w:i/>
                <w:iCs/>
                <w:color w:val="000000"/>
                <w:sz w:val="22"/>
                <w:szCs w:val="18"/>
              </w:rPr>
              <w:t>552 240</w:t>
            </w:r>
          </w:p>
        </w:tc>
      </w:tr>
      <w:tr w:rsidR="00761B6C" w:rsidRPr="00236418" w14:paraId="272C0F18" w14:textId="77777777" w:rsidTr="00761B6C">
        <w:trPr>
          <w:cantSplit/>
          <w:trHeight w:val="336"/>
          <w:jc w:val="center"/>
        </w:trPr>
        <w:tc>
          <w:tcPr>
            <w:tcW w:w="5382" w:type="dxa"/>
            <w:tcBorders>
              <w:top w:val="nil"/>
              <w:left w:val="single" w:sz="4" w:space="0" w:color="auto"/>
              <w:bottom w:val="nil"/>
              <w:right w:val="single" w:sz="4" w:space="0" w:color="auto"/>
            </w:tcBorders>
            <w:hideMark/>
          </w:tcPr>
          <w:p w14:paraId="70A5CABA" w14:textId="77777777" w:rsidR="00761B6C" w:rsidRPr="00236418" w:rsidRDefault="00761B6C" w:rsidP="00761B6C">
            <w:pPr>
              <w:pStyle w:val="Tabletext"/>
              <w:rPr>
                <w:b/>
              </w:rPr>
            </w:pPr>
            <w:r w:rsidRPr="00236418">
              <w:t>Total des charges comptabilisées dans l</w:t>
            </w:r>
            <w:r>
              <w:t>'</w:t>
            </w:r>
            <w:r w:rsidRPr="00236418">
              <w:t>état de la performance financière</w:t>
            </w:r>
          </w:p>
        </w:tc>
        <w:tc>
          <w:tcPr>
            <w:tcW w:w="2268" w:type="dxa"/>
            <w:tcBorders>
              <w:top w:val="nil"/>
              <w:left w:val="single" w:sz="4" w:space="0" w:color="auto"/>
              <w:bottom w:val="nil"/>
              <w:right w:val="single" w:sz="4" w:space="0" w:color="auto"/>
            </w:tcBorders>
          </w:tcPr>
          <w:p w14:paraId="235F32DD" w14:textId="77777777" w:rsidR="00761B6C" w:rsidRPr="00CB156B" w:rsidRDefault="00761B6C" w:rsidP="00761B6C">
            <w:pPr>
              <w:widowControl w:val="0"/>
              <w:tabs>
                <w:tab w:val="clear" w:pos="1701"/>
              </w:tabs>
              <w:kinsoku w:val="0"/>
              <w:ind w:right="210"/>
              <w:jc w:val="right"/>
              <w:rPr>
                <w:i/>
                <w:iCs/>
                <w:color w:val="000000"/>
                <w:sz w:val="22"/>
                <w:szCs w:val="18"/>
              </w:rPr>
            </w:pPr>
            <w:r w:rsidRPr="00CB156B">
              <w:rPr>
                <w:i/>
                <w:iCs/>
                <w:color w:val="000000"/>
                <w:sz w:val="22"/>
                <w:szCs w:val="18"/>
              </w:rPr>
              <w:t>27 667</w:t>
            </w:r>
          </w:p>
        </w:tc>
        <w:tc>
          <w:tcPr>
            <w:tcW w:w="1984" w:type="dxa"/>
            <w:tcBorders>
              <w:top w:val="nil"/>
              <w:left w:val="single" w:sz="4" w:space="0" w:color="auto"/>
              <w:bottom w:val="nil"/>
              <w:right w:val="single" w:sz="4" w:space="0" w:color="auto"/>
            </w:tcBorders>
          </w:tcPr>
          <w:p w14:paraId="162F1457" w14:textId="77777777" w:rsidR="00761B6C" w:rsidRPr="00236418" w:rsidRDefault="00761B6C" w:rsidP="00761B6C">
            <w:pPr>
              <w:widowControl w:val="0"/>
              <w:tabs>
                <w:tab w:val="clear" w:pos="1701"/>
              </w:tabs>
              <w:kinsoku w:val="0"/>
              <w:ind w:right="210"/>
              <w:jc w:val="right"/>
              <w:rPr>
                <w:i/>
                <w:iCs/>
                <w:color w:val="000000"/>
                <w:sz w:val="22"/>
                <w:szCs w:val="18"/>
              </w:rPr>
            </w:pPr>
            <w:r w:rsidRPr="00236418">
              <w:rPr>
                <w:i/>
                <w:iCs/>
                <w:color w:val="000000"/>
                <w:sz w:val="22"/>
                <w:szCs w:val="18"/>
              </w:rPr>
              <w:t>78 357</w:t>
            </w:r>
          </w:p>
        </w:tc>
      </w:tr>
      <w:tr w:rsidR="00761B6C" w:rsidRPr="00236418" w14:paraId="4C4DF5D8" w14:textId="77777777" w:rsidTr="00761B6C">
        <w:trPr>
          <w:cantSplit/>
          <w:trHeight w:val="264"/>
          <w:jc w:val="center"/>
        </w:trPr>
        <w:tc>
          <w:tcPr>
            <w:tcW w:w="5382" w:type="dxa"/>
            <w:tcBorders>
              <w:top w:val="nil"/>
              <w:left w:val="single" w:sz="4" w:space="0" w:color="auto"/>
              <w:bottom w:val="nil"/>
              <w:right w:val="single" w:sz="4" w:space="0" w:color="auto"/>
            </w:tcBorders>
            <w:hideMark/>
          </w:tcPr>
          <w:p w14:paraId="604BDC1D" w14:textId="77777777" w:rsidR="00761B6C" w:rsidRPr="00236418" w:rsidRDefault="00761B6C" w:rsidP="00761B6C">
            <w:pPr>
              <w:pStyle w:val="Tabletext"/>
              <w:rPr>
                <w:b/>
              </w:rPr>
            </w:pPr>
            <w:r w:rsidRPr="00236418">
              <w:t>Pertes actuarielles comptabilisées à l</w:t>
            </w:r>
            <w:r>
              <w:t>'</w:t>
            </w:r>
            <w:r w:rsidRPr="00236418">
              <w:t>actif net</w:t>
            </w:r>
          </w:p>
        </w:tc>
        <w:tc>
          <w:tcPr>
            <w:tcW w:w="2268" w:type="dxa"/>
            <w:tcBorders>
              <w:top w:val="nil"/>
              <w:left w:val="single" w:sz="4" w:space="0" w:color="auto"/>
              <w:bottom w:val="nil"/>
              <w:right w:val="single" w:sz="4" w:space="0" w:color="auto"/>
            </w:tcBorders>
          </w:tcPr>
          <w:p w14:paraId="594840EA" w14:textId="77777777" w:rsidR="00761B6C" w:rsidRPr="00CB156B" w:rsidRDefault="00761B6C" w:rsidP="00761B6C">
            <w:pPr>
              <w:widowControl w:val="0"/>
              <w:tabs>
                <w:tab w:val="clear" w:pos="1701"/>
              </w:tabs>
              <w:kinsoku w:val="0"/>
              <w:ind w:right="210"/>
              <w:jc w:val="right"/>
              <w:rPr>
                <w:i/>
                <w:iCs/>
                <w:color w:val="000000"/>
                <w:sz w:val="22"/>
                <w:szCs w:val="18"/>
              </w:rPr>
            </w:pPr>
            <w:r w:rsidRPr="00CB156B">
              <w:rPr>
                <w:i/>
                <w:iCs/>
                <w:color w:val="000000"/>
                <w:sz w:val="22"/>
                <w:szCs w:val="18"/>
              </w:rPr>
              <w:t>–2 815</w:t>
            </w:r>
          </w:p>
        </w:tc>
        <w:tc>
          <w:tcPr>
            <w:tcW w:w="1984" w:type="dxa"/>
            <w:tcBorders>
              <w:top w:val="nil"/>
              <w:left w:val="single" w:sz="4" w:space="0" w:color="auto"/>
              <w:bottom w:val="nil"/>
              <w:right w:val="single" w:sz="4" w:space="0" w:color="auto"/>
            </w:tcBorders>
          </w:tcPr>
          <w:p w14:paraId="43EF3EED" w14:textId="77777777" w:rsidR="00761B6C" w:rsidRPr="00236418" w:rsidRDefault="00761B6C" w:rsidP="00761B6C">
            <w:pPr>
              <w:widowControl w:val="0"/>
              <w:tabs>
                <w:tab w:val="clear" w:pos="1701"/>
              </w:tabs>
              <w:kinsoku w:val="0"/>
              <w:ind w:right="210"/>
              <w:jc w:val="right"/>
              <w:rPr>
                <w:i/>
                <w:iCs/>
                <w:color w:val="000000"/>
                <w:sz w:val="22"/>
                <w:szCs w:val="18"/>
              </w:rPr>
            </w:pPr>
            <w:r w:rsidRPr="00236418">
              <w:rPr>
                <w:i/>
                <w:iCs/>
                <w:color w:val="000000"/>
                <w:sz w:val="22"/>
                <w:szCs w:val="18"/>
              </w:rPr>
              <w:t>–12 038</w:t>
            </w:r>
          </w:p>
        </w:tc>
      </w:tr>
      <w:tr w:rsidR="00761B6C" w:rsidRPr="00236418" w14:paraId="68CA06E6" w14:textId="77777777" w:rsidTr="00761B6C">
        <w:trPr>
          <w:cantSplit/>
          <w:trHeight w:val="264"/>
          <w:jc w:val="center"/>
        </w:trPr>
        <w:tc>
          <w:tcPr>
            <w:tcW w:w="5382" w:type="dxa"/>
            <w:tcBorders>
              <w:top w:val="nil"/>
              <w:left w:val="single" w:sz="4" w:space="0" w:color="auto"/>
              <w:bottom w:val="nil"/>
              <w:right w:val="single" w:sz="4" w:space="0" w:color="auto"/>
            </w:tcBorders>
            <w:vAlign w:val="bottom"/>
            <w:hideMark/>
          </w:tcPr>
          <w:p w14:paraId="65DD40F3" w14:textId="77777777" w:rsidR="00761B6C" w:rsidRPr="00236418" w:rsidRDefault="00761B6C" w:rsidP="00761B6C">
            <w:pPr>
              <w:pStyle w:val="Tabletext"/>
              <w:rPr>
                <w:b/>
              </w:rPr>
            </w:pPr>
            <w:r w:rsidRPr="00236418">
              <w:t>Contributions de l</w:t>
            </w:r>
            <w:r>
              <w:t>'</w:t>
            </w:r>
            <w:r w:rsidRPr="00236418">
              <w:t>exercice</w:t>
            </w:r>
          </w:p>
        </w:tc>
        <w:tc>
          <w:tcPr>
            <w:tcW w:w="2268" w:type="dxa"/>
            <w:tcBorders>
              <w:top w:val="nil"/>
              <w:left w:val="single" w:sz="4" w:space="0" w:color="auto"/>
              <w:bottom w:val="nil"/>
              <w:right w:val="single" w:sz="4" w:space="0" w:color="auto"/>
            </w:tcBorders>
          </w:tcPr>
          <w:p w14:paraId="7411902D" w14:textId="77777777" w:rsidR="00761B6C" w:rsidRPr="00CB156B" w:rsidRDefault="00761B6C" w:rsidP="00761B6C">
            <w:pPr>
              <w:widowControl w:val="0"/>
              <w:tabs>
                <w:tab w:val="clear" w:pos="1701"/>
              </w:tabs>
              <w:kinsoku w:val="0"/>
              <w:ind w:right="210"/>
              <w:jc w:val="right"/>
              <w:rPr>
                <w:i/>
                <w:iCs/>
                <w:color w:val="000000"/>
                <w:sz w:val="22"/>
                <w:szCs w:val="18"/>
              </w:rPr>
            </w:pPr>
            <w:r w:rsidRPr="00CB156B">
              <w:rPr>
                <w:i/>
                <w:iCs/>
                <w:color w:val="000000"/>
                <w:sz w:val="22"/>
                <w:szCs w:val="18"/>
              </w:rPr>
              <w:t>–4 878</w:t>
            </w:r>
          </w:p>
        </w:tc>
        <w:tc>
          <w:tcPr>
            <w:tcW w:w="1984" w:type="dxa"/>
            <w:tcBorders>
              <w:top w:val="nil"/>
              <w:left w:val="single" w:sz="4" w:space="0" w:color="auto"/>
              <w:bottom w:val="nil"/>
              <w:right w:val="single" w:sz="4" w:space="0" w:color="auto"/>
            </w:tcBorders>
          </w:tcPr>
          <w:p w14:paraId="60D50FBF" w14:textId="77777777" w:rsidR="00761B6C" w:rsidRPr="00236418" w:rsidRDefault="00761B6C" w:rsidP="00761B6C">
            <w:pPr>
              <w:widowControl w:val="0"/>
              <w:tabs>
                <w:tab w:val="clear" w:pos="1701"/>
              </w:tabs>
              <w:kinsoku w:val="0"/>
              <w:ind w:right="210"/>
              <w:jc w:val="right"/>
              <w:rPr>
                <w:i/>
                <w:iCs/>
                <w:color w:val="000000"/>
                <w:sz w:val="22"/>
                <w:szCs w:val="18"/>
              </w:rPr>
            </w:pPr>
            <w:r w:rsidRPr="00236418">
              <w:rPr>
                <w:i/>
                <w:iCs/>
                <w:color w:val="000000"/>
                <w:sz w:val="22"/>
                <w:szCs w:val="18"/>
              </w:rPr>
              <w:t>–6 663</w:t>
            </w:r>
          </w:p>
        </w:tc>
      </w:tr>
      <w:tr w:rsidR="00761B6C" w:rsidRPr="00236418" w14:paraId="3724FF6A" w14:textId="77777777" w:rsidTr="00761B6C">
        <w:trPr>
          <w:cantSplit/>
          <w:trHeight w:val="264"/>
          <w:jc w:val="center"/>
        </w:trPr>
        <w:tc>
          <w:tcPr>
            <w:tcW w:w="5382" w:type="dxa"/>
            <w:tcBorders>
              <w:top w:val="nil"/>
              <w:left w:val="single" w:sz="4" w:space="0" w:color="auto"/>
              <w:bottom w:val="nil"/>
              <w:right w:val="single" w:sz="4" w:space="0" w:color="auto"/>
            </w:tcBorders>
            <w:hideMark/>
          </w:tcPr>
          <w:p w14:paraId="297790B4" w14:textId="77777777" w:rsidR="00761B6C" w:rsidRPr="00236418" w:rsidRDefault="00761B6C" w:rsidP="00761B6C">
            <w:pPr>
              <w:pStyle w:val="Tabletext"/>
              <w:rPr>
                <w:b/>
              </w:rPr>
            </w:pPr>
            <w:r w:rsidRPr="00236418">
              <w:t>Pertes/(gains) de change non réalisés</w:t>
            </w:r>
          </w:p>
        </w:tc>
        <w:tc>
          <w:tcPr>
            <w:tcW w:w="2268" w:type="dxa"/>
            <w:tcBorders>
              <w:top w:val="nil"/>
              <w:left w:val="single" w:sz="4" w:space="0" w:color="auto"/>
              <w:bottom w:val="nil"/>
              <w:right w:val="single" w:sz="4" w:space="0" w:color="auto"/>
            </w:tcBorders>
          </w:tcPr>
          <w:p w14:paraId="6AF7197D" w14:textId="77777777" w:rsidR="00761B6C" w:rsidRPr="00CB156B" w:rsidRDefault="00761B6C" w:rsidP="00761B6C">
            <w:pPr>
              <w:widowControl w:val="0"/>
              <w:tabs>
                <w:tab w:val="clear" w:pos="1701"/>
              </w:tabs>
              <w:kinsoku w:val="0"/>
              <w:ind w:right="210"/>
              <w:jc w:val="right"/>
              <w:rPr>
                <w:i/>
                <w:iCs/>
                <w:color w:val="000000"/>
                <w:sz w:val="22"/>
                <w:szCs w:val="18"/>
              </w:rPr>
            </w:pPr>
            <w:r w:rsidRPr="00CB156B">
              <w:rPr>
                <w:i/>
                <w:iCs/>
                <w:color w:val="000000"/>
                <w:sz w:val="22"/>
                <w:szCs w:val="18"/>
              </w:rPr>
              <w:t>0</w:t>
            </w:r>
          </w:p>
        </w:tc>
        <w:tc>
          <w:tcPr>
            <w:tcW w:w="1984" w:type="dxa"/>
            <w:tcBorders>
              <w:top w:val="nil"/>
              <w:left w:val="single" w:sz="4" w:space="0" w:color="auto"/>
              <w:bottom w:val="nil"/>
              <w:right w:val="single" w:sz="4" w:space="0" w:color="auto"/>
            </w:tcBorders>
          </w:tcPr>
          <w:p w14:paraId="2499B0EB" w14:textId="77777777" w:rsidR="00761B6C" w:rsidRPr="00236418" w:rsidRDefault="00761B6C" w:rsidP="00761B6C">
            <w:pPr>
              <w:widowControl w:val="0"/>
              <w:tabs>
                <w:tab w:val="clear" w:pos="1701"/>
              </w:tabs>
              <w:kinsoku w:val="0"/>
              <w:ind w:right="210"/>
              <w:jc w:val="right"/>
              <w:rPr>
                <w:i/>
                <w:iCs/>
                <w:color w:val="000000"/>
                <w:sz w:val="22"/>
                <w:szCs w:val="18"/>
              </w:rPr>
            </w:pPr>
            <w:r w:rsidRPr="00236418">
              <w:rPr>
                <w:i/>
                <w:iCs/>
                <w:color w:val="000000"/>
                <w:sz w:val="22"/>
                <w:szCs w:val="18"/>
              </w:rPr>
              <w:t>0</w:t>
            </w:r>
          </w:p>
        </w:tc>
      </w:tr>
      <w:tr w:rsidR="00761B6C" w:rsidRPr="00236418" w14:paraId="3BB2D4EE" w14:textId="77777777" w:rsidTr="00761B6C">
        <w:trPr>
          <w:cantSplit/>
          <w:trHeight w:val="336"/>
          <w:jc w:val="center"/>
        </w:trPr>
        <w:tc>
          <w:tcPr>
            <w:tcW w:w="5382" w:type="dxa"/>
            <w:tcBorders>
              <w:top w:val="nil"/>
              <w:left w:val="single" w:sz="4" w:space="0" w:color="auto"/>
              <w:bottom w:val="single" w:sz="4" w:space="0" w:color="auto"/>
              <w:right w:val="single" w:sz="4" w:space="0" w:color="auto"/>
            </w:tcBorders>
            <w:hideMark/>
          </w:tcPr>
          <w:p w14:paraId="21674965" w14:textId="77777777" w:rsidR="00761B6C" w:rsidRPr="00236418" w:rsidRDefault="00761B6C" w:rsidP="00761B6C">
            <w:pPr>
              <w:pStyle w:val="Tabletext"/>
            </w:pPr>
            <w:r w:rsidRPr="00236418">
              <w:t>Montant des engagements au titre du plan ASHI au 31 décembre 20</w:t>
            </w:r>
            <w:r>
              <w:t>20</w:t>
            </w:r>
            <w:r w:rsidRPr="00236418">
              <w:t>-201</w:t>
            </w:r>
            <w:r>
              <w:t>9</w:t>
            </w:r>
          </w:p>
        </w:tc>
        <w:tc>
          <w:tcPr>
            <w:tcW w:w="2268" w:type="dxa"/>
            <w:tcBorders>
              <w:top w:val="nil"/>
              <w:left w:val="single" w:sz="4" w:space="0" w:color="auto"/>
              <w:bottom w:val="single" w:sz="4" w:space="0" w:color="auto"/>
              <w:right w:val="single" w:sz="4" w:space="0" w:color="auto"/>
            </w:tcBorders>
          </w:tcPr>
          <w:p w14:paraId="127770E6" w14:textId="77777777" w:rsidR="00761B6C" w:rsidRPr="00CB156B" w:rsidRDefault="00761B6C" w:rsidP="00761B6C">
            <w:pPr>
              <w:widowControl w:val="0"/>
              <w:tabs>
                <w:tab w:val="clear" w:pos="1701"/>
              </w:tabs>
              <w:kinsoku w:val="0"/>
              <w:ind w:right="210"/>
              <w:jc w:val="right"/>
              <w:rPr>
                <w:i/>
                <w:iCs/>
                <w:color w:val="000000"/>
                <w:sz w:val="22"/>
                <w:szCs w:val="18"/>
              </w:rPr>
            </w:pPr>
            <w:r w:rsidRPr="00CB156B">
              <w:rPr>
                <w:i/>
                <w:iCs/>
                <w:color w:val="000000"/>
                <w:sz w:val="22"/>
                <w:szCs w:val="18"/>
              </w:rPr>
              <w:t>631 870</w:t>
            </w:r>
          </w:p>
        </w:tc>
        <w:tc>
          <w:tcPr>
            <w:tcW w:w="1984" w:type="dxa"/>
            <w:tcBorders>
              <w:top w:val="nil"/>
              <w:left w:val="single" w:sz="4" w:space="0" w:color="auto"/>
              <w:bottom w:val="single" w:sz="4" w:space="0" w:color="auto"/>
              <w:right w:val="single" w:sz="4" w:space="0" w:color="auto"/>
            </w:tcBorders>
          </w:tcPr>
          <w:p w14:paraId="0B32ECCB" w14:textId="77777777" w:rsidR="00761B6C" w:rsidRPr="00236418" w:rsidRDefault="00761B6C" w:rsidP="00761B6C">
            <w:pPr>
              <w:widowControl w:val="0"/>
              <w:tabs>
                <w:tab w:val="clear" w:pos="1701"/>
              </w:tabs>
              <w:kinsoku w:val="0"/>
              <w:ind w:right="210"/>
              <w:jc w:val="right"/>
              <w:rPr>
                <w:i/>
                <w:iCs/>
                <w:color w:val="000000"/>
                <w:sz w:val="22"/>
                <w:szCs w:val="18"/>
              </w:rPr>
            </w:pPr>
            <w:r w:rsidRPr="00236418">
              <w:rPr>
                <w:i/>
                <w:iCs/>
                <w:color w:val="000000"/>
                <w:sz w:val="22"/>
                <w:szCs w:val="18"/>
              </w:rPr>
              <w:t>611 896</w:t>
            </w:r>
          </w:p>
        </w:tc>
      </w:tr>
    </w:tbl>
    <w:p w14:paraId="569F763E" w14:textId="77777777" w:rsidR="00761B6C" w:rsidRPr="00236418" w:rsidRDefault="00761B6C" w:rsidP="00761B6C">
      <w:pPr>
        <w:keepNext/>
        <w:keepLines/>
        <w:spacing w:before="240"/>
        <w:rPr>
          <w:lang w:eastAsia="en-GB"/>
        </w:rPr>
      </w:pPr>
      <w:r w:rsidRPr="00236418">
        <w:t>Les engagements liés à l</w:t>
      </w:r>
      <w:r>
        <w:t>'</w:t>
      </w:r>
      <w:r w:rsidRPr="00236418">
        <w:t>ASHI s</w:t>
      </w:r>
      <w:r>
        <w:t>'</w:t>
      </w:r>
      <w:r w:rsidRPr="00236418">
        <w:t>établissaient, au 31 décembre 20</w:t>
      </w:r>
      <w:r>
        <w:t>20</w:t>
      </w:r>
      <w:r w:rsidRPr="00236418">
        <w:t>, à 6</w:t>
      </w:r>
      <w:r>
        <w:t>31,87</w:t>
      </w:r>
      <w:r w:rsidRPr="00236418">
        <w:t xml:space="preserve"> millions CHF. </w:t>
      </w:r>
      <w:r w:rsidRPr="009836EE">
        <w:t>Cette hausse en 2020 par rapport à la fin de 2019, où ce montant s</w:t>
      </w:r>
      <w:r>
        <w:t>'</w:t>
      </w:r>
      <w:r w:rsidRPr="009836EE">
        <w:t>établissait à 611,89 millions CHF, pourrait s</w:t>
      </w:r>
      <w:r>
        <w:t>'</w:t>
      </w:r>
      <w:r w:rsidRPr="009836EE">
        <w:t xml:space="preserve">expliquer par différents facteurs. Le principal élément ayant </w:t>
      </w:r>
      <w:r w:rsidRPr="000A7B74">
        <w:t xml:space="preserve">une incidence </w:t>
      </w:r>
      <w:r w:rsidRPr="009836EE">
        <w:t>sur l</w:t>
      </w:r>
      <w:r>
        <w:t>'</w:t>
      </w:r>
      <w:r w:rsidRPr="009836EE">
        <w:t>évaluation de l</w:t>
      </w:r>
      <w:r>
        <w:t>'</w:t>
      </w:r>
      <w:r w:rsidRPr="009836EE">
        <w:t>ASHI est le taux d</w:t>
      </w:r>
      <w:r>
        <w:t>'</w:t>
      </w:r>
      <w:r w:rsidRPr="009836EE">
        <w:t>actualisation, qui est utilisé pour calculer la valeur actuelle des futures demandes de remboursement cumulées. En 2020, ce taux est passé de 0,6% à 0,2%.</w:t>
      </w:r>
      <w:r>
        <w:t xml:space="preserve"> </w:t>
      </w:r>
      <w:r w:rsidRPr="00236418">
        <w:rPr>
          <w:lang w:eastAsia="en-GB"/>
        </w:rPr>
        <w:t>Le taux d</w:t>
      </w:r>
      <w:r>
        <w:rPr>
          <w:lang w:eastAsia="en-GB"/>
        </w:rPr>
        <w:t>'</w:t>
      </w:r>
      <w:r w:rsidRPr="00236418">
        <w:rPr>
          <w:lang w:eastAsia="en-GB"/>
        </w:rPr>
        <w:t>actualisation utilisé pour cette évaluation a été établi à l</w:t>
      </w:r>
      <w:r>
        <w:rPr>
          <w:lang w:eastAsia="en-GB"/>
        </w:rPr>
        <w:t>'</w:t>
      </w:r>
      <w:r w:rsidRPr="00236418">
        <w:rPr>
          <w:lang w:eastAsia="en-GB"/>
        </w:rPr>
        <w:t>aide des courbes de rendement des obligations des sociétés AA au 31 décembre 20</w:t>
      </w:r>
      <w:r>
        <w:rPr>
          <w:lang w:eastAsia="en-GB"/>
        </w:rPr>
        <w:t>20</w:t>
      </w:r>
      <w:r w:rsidRPr="00236418">
        <w:rPr>
          <w:lang w:eastAsia="en-GB"/>
        </w:rPr>
        <w:t>.</w:t>
      </w:r>
    </w:p>
    <w:p w14:paraId="3E8802D0" w14:textId="77777777" w:rsidR="00761B6C" w:rsidRPr="00236418" w:rsidRDefault="00761B6C" w:rsidP="0026263E">
      <w:pPr>
        <w:rPr>
          <w:lang w:eastAsia="en-GB"/>
        </w:rPr>
      </w:pPr>
      <w:r w:rsidRPr="00236418">
        <w:rPr>
          <w:lang w:eastAsia="en-GB"/>
        </w:rPr>
        <w:t>Suite à une demande des vérificateurs extérieurs des comptes et à titre d</w:t>
      </w:r>
      <w:r>
        <w:rPr>
          <w:lang w:eastAsia="en-GB"/>
        </w:rPr>
        <w:t>'</w:t>
      </w:r>
      <w:r w:rsidRPr="00236418">
        <w:rPr>
          <w:lang w:eastAsia="en-GB"/>
        </w:rPr>
        <w:t>information, l</w:t>
      </w:r>
      <w:r>
        <w:rPr>
          <w:lang w:eastAsia="en-GB"/>
        </w:rPr>
        <w:t>'</w:t>
      </w:r>
      <w:r w:rsidRPr="00236418">
        <w:rPr>
          <w:lang w:eastAsia="en-GB"/>
        </w:rPr>
        <w:t>évaluation utilisant la courbe de rendement des obligations d</w:t>
      </w:r>
      <w:r>
        <w:rPr>
          <w:lang w:eastAsia="en-GB"/>
        </w:rPr>
        <w:t>'</w:t>
      </w:r>
      <w:r w:rsidRPr="00236418">
        <w:rPr>
          <w:lang w:eastAsia="en-GB"/>
        </w:rPr>
        <w:t>État suisse Aon a été demandée. Le taux d</w:t>
      </w:r>
      <w:r>
        <w:rPr>
          <w:lang w:eastAsia="en-GB"/>
        </w:rPr>
        <w:t>'</w:t>
      </w:r>
      <w:r w:rsidRPr="00236418">
        <w:rPr>
          <w:lang w:eastAsia="en-GB"/>
        </w:rPr>
        <w:t>actualisation avec ces obligations d</w:t>
      </w:r>
      <w:r>
        <w:rPr>
          <w:lang w:eastAsia="en-GB"/>
        </w:rPr>
        <w:t>'</w:t>
      </w:r>
      <w:r w:rsidRPr="00236418">
        <w:rPr>
          <w:lang w:eastAsia="en-GB"/>
        </w:rPr>
        <w:t>État serait de 0,2% et entraînerait une hausse des engagements liés à l</w:t>
      </w:r>
      <w:r>
        <w:rPr>
          <w:lang w:eastAsia="en-GB"/>
        </w:rPr>
        <w:t>'</w:t>
      </w:r>
      <w:r w:rsidRPr="00236418">
        <w:rPr>
          <w:lang w:eastAsia="en-GB"/>
        </w:rPr>
        <w:t xml:space="preserve">ASHI de </w:t>
      </w:r>
      <w:r>
        <w:rPr>
          <w:lang w:eastAsia="en-GB"/>
        </w:rPr>
        <w:t>60</w:t>
      </w:r>
      <w:r w:rsidRPr="00236418">
        <w:rPr>
          <w:lang w:eastAsia="en-GB"/>
        </w:rPr>
        <w:t xml:space="preserve"> millions CHF environ.</w:t>
      </w:r>
    </w:p>
    <w:p w14:paraId="02E0BAAF" w14:textId="77777777" w:rsidR="00761B6C" w:rsidRPr="00236418" w:rsidRDefault="00761B6C" w:rsidP="00761B6C">
      <w:pPr>
        <w:spacing w:after="120"/>
      </w:pPr>
      <w:r w:rsidRPr="00236418">
        <w:t>La perte actuarielle due à l</w:t>
      </w:r>
      <w:r>
        <w:t>'</w:t>
      </w:r>
      <w:r w:rsidRPr="00236418">
        <w:t>évolution des estimations actuarielles est comptabilisée à l</w:t>
      </w:r>
      <w:r>
        <w:t>'</w:t>
      </w:r>
      <w:r w:rsidRPr="00236418">
        <w:t>actif net selon la méthode OCI.</w:t>
      </w:r>
    </w:p>
    <w:p w14:paraId="3562FD8F" w14:textId="77777777" w:rsidR="0026263E" w:rsidRDefault="0026263E" w:rsidP="00761B6C">
      <w:pPr>
        <w:spacing w:after="120"/>
      </w:pPr>
      <w:r>
        <w:br w:type="page"/>
      </w:r>
    </w:p>
    <w:p w14:paraId="02668C3E" w14:textId="57F03661" w:rsidR="00761B6C" w:rsidRPr="00236418" w:rsidRDefault="00761B6C" w:rsidP="0026263E">
      <w:pPr>
        <w:spacing w:after="240"/>
      </w:pPr>
      <w:r w:rsidRPr="00236418">
        <w:lastRenderedPageBreak/>
        <w:t>Le tableau ci-dessous montre le montant net de l</w:t>
      </w:r>
      <w:r>
        <w:t>'</w:t>
      </w:r>
      <w:r w:rsidRPr="00236418">
        <w:t>obligation à la fin de l</w:t>
      </w:r>
      <w:r>
        <w:t>'</w:t>
      </w:r>
      <w:r w:rsidRPr="00236418">
        <w:t>exercice.</w:t>
      </w:r>
    </w:p>
    <w:tbl>
      <w:tblPr>
        <w:tblW w:w="92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A"/>
      </w:tblPr>
      <w:tblGrid>
        <w:gridCol w:w="5870"/>
        <w:gridCol w:w="1672"/>
        <w:gridCol w:w="1672"/>
      </w:tblGrid>
      <w:tr w:rsidR="00761B6C" w:rsidRPr="00236418" w14:paraId="11104CD6" w14:textId="77777777" w:rsidTr="00761B6C">
        <w:trPr>
          <w:trHeight w:val="336"/>
          <w:jc w:val="center"/>
        </w:trPr>
        <w:tc>
          <w:tcPr>
            <w:tcW w:w="5870" w:type="dxa"/>
            <w:tcBorders>
              <w:top w:val="single" w:sz="4" w:space="0" w:color="auto"/>
              <w:left w:val="single" w:sz="4" w:space="0" w:color="auto"/>
              <w:bottom w:val="single" w:sz="4" w:space="0" w:color="auto"/>
              <w:right w:val="single" w:sz="4" w:space="0" w:color="auto"/>
            </w:tcBorders>
            <w:hideMark/>
          </w:tcPr>
          <w:p w14:paraId="331ED0A3" w14:textId="77777777" w:rsidR="00761B6C" w:rsidRPr="00236418" w:rsidRDefault="00761B6C" w:rsidP="00761B6C">
            <w:pPr>
              <w:pStyle w:val="Tablehead"/>
              <w:jc w:val="left"/>
              <w:rPr>
                <w:rFonts w:asciiTheme="minorHAnsi" w:hAnsiTheme="minorHAnsi" w:cstheme="minorHAnsi"/>
                <w:bCs/>
                <w:color w:val="000000"/>
                <w:szCs w:val="22"/>
              </w:rPr>
            </w:pPr>
            <w:r w:rsidRPr="00236418">
              <w:rPr>
                <w:rFonts w:asciiTheme="minorHAnsi" w:hAnsiTheme="minorHAnsi" w:cstheme="minorHAnsi"/>
                <w:bCs/>
                <w:color w:val="000000"/>
                <w:szCs w:val="22"/>
              </w:rPr>
              <w:t>Analyse des pertes actuarielles comptabilisées à l</w:t>
            </w:r>
            <w:r>
              <w:rPr>
                <w:rFonts w:asciiTheme="minorHAnsi" w:hAnsiTheme="minorHAnsi" w:cstheme="minorHAnsi"/>
                <w:bCs/>
                <w:color w:val="000000"/>
                <w:szCs w:val="22"/>
              </w:rPr>
              <w:t>'</w:t>
            </w:r>
            <w:r w:rsidRPr="00236418">
              <w:rPr>
                <w:rFonts w:asciiTheme="minorHAnsi" w:hAnsiTheme="minorHAnsi" w:cstheme="minorHAnsi"/>
                <w:bCs/>
                <w:color w:val="000000"/>
                <w:szCs w:val="22"/>
              </w:rPr>
              <w:t>actif net</w:t>
            </w:r>
          </w:p>
        </w:tc>
        <w:tc>
          <w:tcPr>
            <w:tcW w:w="3344" w:type="dxa"/>
            <w:gridSpan w:val="2"/>
            <w:tcBorders>
              <w:top w:val="single" w:sz="4" w:space="0" w:color="auto"/>
              <w:left w:val="single" w:sz="4" w:space="0" w:color="auto"/>
              <w:bottom w:val="single" w:sz="4" w:space="0" w:color="auto"/>
              <w:right w:val="single" w:sz="4" w:space="0" w:color="auto"/>
            </w:tcBorders>
            <w:hideMark/>
          </w:tcPr>
          <w:p w14:paraId="4036CAD6" w14:textId="77777777" w:rsidR="00761B6C" w:rsidRPr="00236418" w:rsidRDefault="00761B6C" w:rsidP="00761B6C">
            <w:pPr>
              <w:pStyle w:val="Tablehead"/>
              <w:rPr>
                <w:rFonts w:asciiTheme="minorHAnsi" w:hAnsiTheme="minorHAnsi" w:cstheme="minorHAnsi"/>
                <w:i/>
                <w:iCs/>
                <w:szCs w:val="22"/>
              </w:rPr>
            </w:pPr>
            <w:r w:rsidRPr="00236418">
              <w:rPr>
                <w:rFonts w:asciiTheme="minorHAnsi" w:hAnsiTheme="minorHAnsi" w:cstheme="minorHAnsi"/>
                <w:i/>
                <w:iCs/>
                <w:szCs w:val="22"/>
              </w:rPr>
              <w:t>En milliers</w:t>
            </w:r>
            <w:r>
              <w:rPr>
                <w:rFonts w:asciiTheme="minorHAnsi" w:hAnsiTheme="minorHAnsi" w:cstheme="minorHAnsi"/>
                <w:i/>
                <w:iCs/>
                <w:szCs w:val="22"/>
              </w:rPr>
              <w:t xml:space="preserve"> </w:t>
            </w:r>
            <w:r w:rsidRPr="00236418">
              <w:rPr>
                <w:rFonts w:asciiTheme="minorHAnsi" w:hAnsiTheme="minorHAnsi" w:cstheme="minorHAnsi"/>
                <w:i/>
                <w:iCs/>
                <w:szCs w:val="22"/>
              </w:rPr>
              <w:t>CHF</w:t>
            </w:r>
          </w:p>
        </w:tc>
      </w:tr>
      <w:tr w:rsidR="00761B6C" w:rsidRPr="00236418" w14:paraId="50B22EA7" w14:textId="77777777" w:rsidTr="00761B6C">
        <w:trPr>
          <w:trHeight w:val="264"/>
          <w:jc w:val="center"/>
        </w:trPr>
        <w:tc>
          <w:tcPr>
            <w:tcW w:w="5870" w:type="dxa"/>
            <w:tcBorders>
              <w:top w:val="single" w:sz="4" w:space="0" w:color="auto"/>
              <w:left w:val="single" w:sz="4" w:space="0" w:color="auto"/>
              <w:bottom w:val="nil"/>
              <w:right w:val="single" w:sz="4" w:space="0" w:color="auto"/>
            </w:tcBorders>
          </w:tcPr>
          <w:p w14:paraId="39606018" w14:textId="77777777" w:rsidR="00761B6C" w:rsidRPr="00236418" w:rsidRDefault="00761B6C" w:rsidP="00761B6C">
            <w:pPr>
              <w:pStyle w:val="Tabletext"/>
              <w:rPr>
                <w:rFonts w:asciiTheme="minorHAnsi" w:hAnsiTheme="minorHAnsi" w:cstheme="minorHAnsi"/>
                <w:szCs w:val="22"/>
              </w:rPr>
            </w:pPr>
          </w:p>
        </w:tc>
        <w:tc>
          <w:tcPr>
            <w:tcW w:w="1672" w:type="dxa"/>
            <w:tcBorders>
              <w:top w:val="single" w:sz="4" w:space="0" w:color="auto"/>
              <w:left w:val="single" w:sz="4" w:space="0" w:color="auto"/>
              <w:bottom w:val="single" w:sz="4" w:space="0" w:color="auto"/>
              <w:right w:val="single" w:sz="4" w:space="0" w:color="auto"/>
            </w:tcBorders>
          </w:tcPr>
          <w:p w14:paraId="415354F5" w14:textId="77777777" w:rsidR="00761B6C" w:rsidRPr="00236418" w:rsidRDefault="00761B6C" w:rsidP="00761B6C">
            <w:pPr>
              <w:pStyle w:val="Tablehead"/>
              <w:rPr>
                <w:rFonts w:asciiTheme="minorHAnsi" w:hAnsiTheme="minorHAnsi" w:cstheme="minorHAnsi"/>
                <w:szCs w:val="22"/>
              </w:rPr>
            </w:pPr>
            <w:r>
              <w:rPr>
                <w:rFonts w:asciiTheme="minorHAnsi" w:hAnsiTheme="minorHAnsi" w:cstheme="minorHAnsi"/>
                <w:szCs w:val="22"/>
              </w:rPr>
              <w:t>31.12.2020</w:t>
            </w:r>
          </w:p>
        </w:tc>
        <w:tc>
          <w:tcPr>
            <w:tcW w:w="1672" w:type="dxa"/>
            <w:tcBorders>
              <w:top w:val="single" w:sz="4" w:space="0" w:color="auto"/>
              <w:left w:val="single" w:sz="4" w:space="0" w:color="auto"/>
              <w:bottom w:val="single" w:sz="4" w:space="0" w:color="auto"/>
              <w:right w:val="single" w:sz="4" w:space="0" w:color="auto"/>
            </w:tcBorders>
          </w:tcPr>
          <w:p w14:paraId="34EF057C" w14:textId="77777777" w:rsidR="00761B6C" w:rsidRPr="00236418" w:rsidRDefault="00761B6C" w:rsidP="00761B6C">
            <w:pPr>
              <w:pStyle w:val="Tablehead"/>
              <w:rPr>
                <w:rFonts w:asciiTheme="minorHAnsi" w:hAnsiTheme="minorHAnsi" w:cstheme="minorHAnsi"/>
                <w:szCs w:val="22"/>
              </w:rPr>
            </w:pPr>
            <w:r w:rsidRPr="00236418">
              <w:rPr>
                <w:rFonts w:asciiTheme="minorHAnsi" w:hAnsiTheme="minorHAnsi" w:cstheme="minorHAnsi"/>
                <w:szCs w:val="22"/>
              </w:rPr>
              <w:t>31.12.2019</w:t>
            </w:r>
          </w:p>
        </w:tc>
      </w:tr>
      <w:tr w:rsidR="00761B6C" w:rsidRPr="00236418" w14:paraId="7AED4D26" w14:textId="77777777" w:rsidTr="00761B6C">
        <w:trPr>
          <w:trHeight w:val="264"/>
          <w:jc w:val="center"/>
        </w:trPr>
        <w:tc>
          <w:tcPr>
            <w:tcW w:w="5870" w:type="dxa"/>
            <w:tcBorders>
              <w:top w:val="nil"/>
              <w:left w:val="single" w:sz="4" w:space="0" w:color="auto"/>
              <w:bottom w:val="nil"/>
              <w:right w:val="single" w:sz="4" w:space="0" w:color="auto"/>
            </w:tcBorders>
          </w:tcPr>
          <w:p w14:paraId="5EB496E1" w14:textId="77777777" w:rsidR="00761B6C" w:rsidRPr="00236418" w:rsidRDefault="00761B6C" w:rsidP="00761B6C">
            <w:pPr>
              <w:pStyle w:val="Tabletext"/>
              <w:rPr>
                <w:rFonts w:asciiTheme="minorHAnsi" w:hAnsiTheme="minorHAnsi" w:cstheme="minorHAnsi"/>
                <w:szCs w:val="22"/>
              </w:rPr>
            </w:pPr>
            <w:r w:rsidRPr="00236418">
              <w:rPr>
                <w:rFonts w:asciiTheme="minorHAnsi" w:hAnsiTheme="minorHAnsi" w:cstheme="minorHAnsi"/>
                <w:szCs w:val="22"/>
              </w:rPr>
              <w:t>Obligation due à des changements d</w:t>
            </w:r>
            <w:r>
              <w:rPr>
                <w:rFonts w:asciiTheme="minorHAnsi" w:hAnsiTheme="minorHAnsi" w:cstheme="minorHAnsi"/>
                <w:szCs w:val="22"/>
              </w:rPr>
              <w:t>'</w:t>
            </w:r>
            <w:r w:rsidRPr="00236418">
              <w:rPr>
                <w:rFonts w:asciiTheme="minorHAnsi" w:hAnsiTheme="minorHAnsi" w:cstheme="minorHAnsi"/>
                <w:szCs w:val="22"/>
              </w:rPr>
              <w:t>hypothèses</w:t>
            </w:r>
          </w:p>
        </w:tc>
        <w:tc>
          <w:tcPr>
            <w:tcW w:w="1672" w:type="dxa"/>
            <w:tcBorders>
              <w:top w:val="single" w:sz="4" w:space="0" w:color="auto"/>
              <w:left w:val="single" w:sz="4" w:space="0" w:color="auto"/>
              <w:bottom w:val="nil"/>
              <w:right w:val="single" w:sz="4" w:space="0" w:color="auto"/>
            </w:tcBorders>
          </w:tcPr>
          <w:p w14:paraId="510D2A4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6C3DC4">
              <w:rPr>
                <w:rFonts w:asciiTheme="minorHAnsi" w:hAnsiTheme="minorHAnsi" w:cstheme="minorHAnsi"/>
                <w:color w:val="000000"/>
                <w:sz w:val="22"/>
                <w:szCs w:val="22"/>
                <w:lang w:eastAsia="zh-CN"/>
              </w:rPr>
              <w:t>–</w:t>
            </w:r>
            <w:r>
              <w:rPr>
                <w:rFonts w:asciiTheme="minorHAnsi" w:hAnsiTheme="minorHAnsi" w:cstheme="minorHAnsi"/>
                <w:color w:val="000000"/>
                <w:sz w:val="22"/>
                <w:szCs w:val="22"/>
                <w:lang w:eastAsia="zh-CN"/>
              </w:rPr>
              <w:t>5 547</w:t>
            </w:r>
          </w:p>
        </w:tc>
        <w:tc>
          <w:tcPr>
            <w:tcW w:w="1672" w:type="dxa"/>
            <w:tcBorders>
              <w:top w:val="single" w:sz="4" w:space="0" w:color="auto"/>
              <w:left w:val="single" w:sz="4" w:space="0" w:color="auto"/>
              <w:bottom w:val="nil"/>
              <w:right w:val="single" w:sz="4" w:space="0" w:color="auto"/>
            </w:tcBorders>
          </w:tcPr>
          <w:p w14:paraId="011AC46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–12 038</w:t>
            </w:r>
          </w:p>
        </w:tc>
      </w:tr>
      <w:tr w:rsidR="00761B6C" w:rsidRPr="00236418" w14:paraId="39DF97B8" w14:textId="77777777" w:rsidTr="00761B6C">
        <w:trPr>
          <w:trHeight w:val="264"/>
          <w:jc w:val="center"/>
        </w:trPr>
        <w:tc>
          <w:tcPr>
            <w:tcW w:w="5870" w:type="dxa"/>
            <w:tcBorders>
              <w:top w:val="nil"/>
              <w:left w:val="single" w:sz="4" w:space="0" w:color="auto"/>
              <w:bottom w:val="nil"/>
              <w:right w:val="single" w:sz="4" w:space="0" w:color="auto"/>
            </w:tcBorders>
            <w:hideMark/>
          </w:tcPr>
          <w:p w14:paraId="7CB5B1AC" w14:textId="77777777" w:rsidR="00761B6C" w:rsidRPr="00236418" w:rsidRDefault="00761B6C" w:rsidP="00761B6C">
            <w:pPr>
              <w:pStyle w:val="Tabletext"/>
              <w:rPr>
                <w:rFonts w:asciiTheme="minorHAnsi" w:hAnsiTheme="minorHAnsi" w:cstheme="minorHAnsi"/>
                <w:szCs w:val="22"/>
              </w:rPr>
            </w:pPr>
            <w:r w:rsidRPr="00236418">
              <w:rPr>
                <w:rFonts w:asciiTheme="minorHAnsi" w:hAnsiTheme="minorHAnsi" w:cstheme="minorHAnsi"/>
                <w:szCs w:val="22"/>
              </w:rPr>
              <w:t>Obligation due à l</w:t>
            </w:r>
            <w:r>
              <w:rPr>
                <w:rFonts w:asciiTheme="minorHAnsi" w:hAnsiTheme="minorHAnsi" w:cstheme="minorHAnsi"/>
                <w:szCs w:val="22"/>
              </w:rPr>
              <w:t>'</w:t>
            </w:r>
            <w:r w:rsidRPr="00236418">
              <w:rPr>
                <w:rFonts w:asciiTheme="minorHAnsi" w:hAnsiTheme="minorHAnsi" w:cstheme="minorHAnsi"/>
                <w:szCs w:val="22"/>
              </w:rPr>
              <w:t>expérience acquise pendant l</w:t>
            </w:r>
            <w:r>
              <w:rPr>
                <w:rFonts w:asciiTheme="minorHAnsi" w:hAnsiTheme="minorHAnsi" w:cstheme="minorHAnsi"/>
                <w:szCs w:val="22"/>
              </w:rPr>
              <w:t>'</w:t>
            </w:r>
            <w:r w:rsidRPr="00236418">
              <w:rPr>
                <w:rFonts w:asciiTheme="minorHAnsi" w:hAnsiTheme="minorHAnsi" w:cstheme="minorHAnsi"/>
                <w:szCs w:val="22"/>
              </w:rPr>
              <w:t>exercice</w:t>
            </w:r>
          </w:p>
        </w:tc>
        <w:tc>
          <w:tcPr>
            <w:tcW w:w="1672" w:type="dxa"/>
            <w:tcBorders>
              <w:top w:val="nil"/>
              <w:left w:val="single" w:sz="4" w:space="0" w:color="auto"/>
              <w:bottom w:val="nil"/>
              <w:right w:val="single" w:sz="4" w:space="0" w:color="auto"/>
            </w:tcBorders>
          </w:tcPr>
          <w:p w14:paraId="616E1D6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2 732</w:t>
            </w:r>
          </w:p>
        </w:tc>
        <w:tc>
          <w:tcPr>
            <w:tcW w:w="1672" w:type="dxa"/>
            <w:tcBorders>
              <w:top w:val="nil"/>
              <w:left w:val="single" w:sz="4" w:space="0" w:color="auto"/>
              <w:bottom w:val="nil"/>
              <w:right w:val="single" w:sz="4" w:space="0" w:color="auto"/>
            </w:tcBorders>
          </w:tcPr>
          <w:p w14:paraId="586BC7D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w:t>
            </w:r>
          </w:p>
        </w:tc>
      </w:tr>
      <w:tr w:rsidR="00761B6C" w:rsidRPr="00236418" w14:paraId="62F1CB6B" w14:textId="77777777" w:rsidTr="00761B6C">
        <w:trPr>
          <w:trHeight w:val="336"/>
          <w:jc w:val="center"/>
        </w:trPr>
        <w:tc>
          <w:tcPr>
            <w:tcW w:w="5870" w:type="dxa"/>
            <w:tcBorders>
              <w:top w:val="nil"/>
              <w:left w:val="single" w:sz="4" w:space="0" w:color="auto"/>
              <w:bottom w:val="nil"/>
              <w:right w:val="single" w:sz="4" w:space="0" w:color="auto"/>
            </w:tcBorders>
          </w:tcPr>
          <w:p w14:paraId="51CC424A" w14:textId="77777777" w:rsidR="00761B6C" w:rsidRPr="00236418" w:rsidRDefault="00761B6C" w:rsidP="00761B6C">
            <w:pPr>
              <w:pStyle w:val="Tabletext"/>
              <w:rPr>
                <w:rFonts w:asciiTheme="minorHAnsi" w:hAnsiTheme="minorHAnsi" w:cstheme="minorHAnsi"/>
                <w:szCs w:val="22"/>
              </w:rPr>
            </w:pPr>
            <w:r w:rsidRPr="00236418">
              <w:rPr>
                <w:rFonts w:asciiTheme="minorHAnsi" w:hAnsiTheme="minorHAnsi" w:cstheme="minorHAnsi"/>
                <w:szCs w:val="22"/>
              </w:rPr>
              <w:t>Variation pendant l</w:t>
            </w:r>
            <w:r>
              <w:rPr>
                <w:rFonts w:asciiTheme="minorHAnsi" w:hAnsiTheme="minorHAnsi" w:cstheme="minorHAnsi"/>
                <w:szCs w:val="22"/>
              </w:rPr>
              <w:t>'</w:t>
            </w:r>
            <w:r w:rsidRPr="00236418">
              <w:rPr>
                <w:rFonts w:asciiTheme="minorHAnsi" w:hAnsiTheme="minorHAnsi" w:cstheme="minorHAnsi"/>
                <w:szCs w:val="22"/>
              </w:rPr>
              <w:t>exercice</w:t>
            </w:r>
          </w:p>
        </w:tc>
        <w:tc>
          <w:tcPr>
            <w:tcW w:w="1672" w:type="dxa"/>
            <w:tcBorders>
              <w:top w:val="nil"/>
              <w:left w:val="single" w:sz="4" w:space="0" w:color="auto"/>
              <w:bottom w:val="nil"/>
              <w:right w:val="single" w:sz="4" w:space="0" w:color="auto"/>
            </w:tcBorders>
          </w:tcPr>
          <w:p w14:paraId="2417DF8F" w14:textId="77777777" w:rsidR="00761B6C" w:rsidRPr="0026263E" w:rsidRDefault="00761B6C" w:rsidP="00761B6C">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b/>
                <w:color w:val="000000"/>
                <w:sz w:val="22"/>
                <w:szCs w:val="22"/>
                <w:lang w:eastAsia="zh-CN"/>
              </w:rPr>
            </w:pPr>
            <w:r w:rsidRPr="0026263E">
              <w:rPr>
                <w:rFonts w:asciiTheme="minorHAnsi" w:hAnsiTheme="minorHAnsi" w:cstheme="minorHAnsi"/>
                <w:b/>
                <w:color w:val="000000"/>
                <w:sz w:val="22"/>
                <w:szCs w:val="22"/>
                <w:lang w:eastAsia="zh-CN"/>
              </w:rPr>
              <w:t>–2 815</w:t>
            </w:r>
          </w:p>
        </w:tc>
        <w:tc>
          <w:tcPr>
            <w:tcW w:w="1672" w:type="dxa"/>
            <w:tcBorders>
              <w:top w:val="nil"/>
              <w:left w:val="single" w:sz="4" w:space="0" w:color="auto"/>
              <w:bottom w:val="nil"/>
              <w:right w:val="single" w:sz="4" w:space="0" w:color="auto"/>
            </w:tcBorders>
          </w:tcPr>
          <w:p w14:paraId="42E84026" w14:textId="77777777" w:rsidR="00761B6C" w:rsidRPr="0026263E" w:rsidRDefault="00761B6C" w:rsidP="00761B6C">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b/>
                <w:color w:val="000000"/>
                <w:sz w:val="22"/>
                <w:szCs w:val="22"/>
                <w:lang w:eastAsia="zh-CN"/>
              </w:rPr>
            </w:pPr>
            <w:r w:rsidRPr="0026263E">
              <w:rPr>
                <w:rFonts w:asciiTheme="minorHAnsi" w:hAnsiTheme="minorHAnsi" w:cstheme="minorHAnsi"/>
                <w:b/>
                <w:color w:val="000000"/>
                <w:sz w:val="22"/>
                <w:szCs w:val="22"/>
                <w:lang w:eastAsia="zh-CN"/>
              </w:rPr>
              <w:t>–12 038</w:t>
            </w:r>
          </w:p>
        </w:tc>
      </w:tr>
      <w:tr w:rsidR="00761B6C" w:rsidRPr="00236418" w14:paraId="5BEE2D0A" w14:textId="77777777" w:rsidTr="00761B6C">
        <w:trPr>
          <w:trHeight w:val="336"/>
          <w:jc w:val="center"/>
        </w:trPr>
        <w:tc>
          <w:tcPr>
            <w:tcW w:w="5870" w:type="dxa"/>
            <w:tcBorders>
              <w:top w:val="nil"/>
              <w:left w:val="single" w:sz="4" w:space="0" w:color="auto"/>
              <w:bottom w:val="single" w:sz="4" w:space="0" w:color="auto"/>
              <w:right w:val="single" w:sz="4" w:space="0" w:color="auto"/>
            </w:tcBorders>
          </w:tcPr>
          <w:p w14:paraId="7115AB00" w14:textId="77777777" w:rsidR="00761B6C" w:rsidRPr="00236418" w:rsidRDefault="00761B6C" w:rsidP="00761B6C">
            <w:pPr>
              <w:pStyle w:val="Tabletext"/>
              <w:rPr>
                <w:rFonts w:asciiTheme="minorHAnsi" w:hAnsiTheme="minorHAnsi" w:cstheme="minorHAnsi"/>
                <w:szCs w:val="22"/>
              </w:rPr>
            </w:pPr>
            <w:r w:rsidRPr="00236418">
              <w:rPr>
                <w:rFonts w:asciiTheme="minorHAnsi" w:hAnsiTheme="minorHAnsi" w:cstheme="minorHAnsi"/>
                <w:szCs w:val="22"/>
              </w:rPr>
              <w:t>Montant cumulé comptabilisé à l</w:t>
            </w:r>
            <w:r>
              <w:rPr>
                <w:rFonts w:asciiTheme="minorHAnsi" w:hAnsiTheme="minorHAnsi" w:cstheme="minorHAnsi"/>
                <w:szCs w:val="22"/>
              </w:rPr>
              <w:t>'</w:t>
            </w:r>
            <w:r w:rsidRPr="00236418">
              <w:rPr>
                <w:rFonts w:asciiTheme="minorHAnsi" w:hAnsiTheme="minorHAnsi" w:cstheme="minorHAnsi"/>
                <w:szCs w:val="22"/>
              </w:rPr>
              <w:t>actif net au 31 décembre </w:t>
            </w:r>
          </w:p>
        </w:tc>
        <w:tc>
          <w:tcPr>
            <w:tcW w:w="1672" w:type="dxa"/>
            <w:tcBorders>
              <w:top w:val="nil"/>
              <w:left w:val="single" w:sz="4" w:space="0" w:color="auto"/>
              <w:bottom w:val="single" w:sz="4" w:space="0" w:color="auto"/>
              <w:right w:val="single" w:sz="4" w:space="0" w:color="auto"/>
            </w:tcBorders>
          </w:tcPr>
          <w:p w14:paraId="674E04C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267 574</w:t>
            </w:r>
          </w:p>
        </w:tc>
        <w:tc>
          <w:tcPr>
            <w:tcW w:w="1672" w:type="dxa"/>
            <w:tcBorders>
              <w:top w:val="nil"/>
              <w:left w:val="single" w:sz="4" w:space="0" w:color="auto"/>
              <w:bottom w:val="single" w:sz="4" w:space="0" w:color="auto"/>
              <w:right w:val="single" w:sz="4" w:space="0" w:color="auto"/>
            </w:tcBorders>
          </w:tcPr>
          <w:p w14:paraId="37192D5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270 389</w:t>
            </w:r>
          </w:p>
        </w:tc>
      </w:tr>
    </w:tbl>
    <w:p w14:paraId="5B42B3D2" w14:textId="77777777" w:rsidR="00761B6C" w:rsidRPr="00236418" w:rsidRDefault="00761B6C" w:rsidP="0026263E">
      <w:pPr>
        <w:spacing w:before="240" w:after="240"/>
      </w:pPr>
      <w:r w:rsidRPr="00236418">
        <w:t>Le tableau ci-dessous présente une analyse des charges et produits enregistrés au compte de pertes et profits à la fin de l</w:t>
      </w:r>
      <w:r>
        <w:t>'</w:t>
      </w:r>
      <w:r w:rsidRPr="00236418">
        <w:t>exercice.</w:t>
      </w:r>
    </w:p>
    <w:tbl>
      <w:tblPr>
        <w:tblStyle w:val="TableGrid"/>
        <w:tblW w:w="0" w:type="auto"/>
        <w:jc w:val="center"/>
        <w:tblLook w:val="04A0" w:firstRow="1" w:lastRow="0" w:firstColumn="1" w:lastColumn="0" w:noHBand="0" w:noVBand="1"/>
        <w:tblCaption w:val="M"/>
      </w:tblPr>
      <w:tblGrid>
        <w:gridCol w:w="5864"/>
        <w:gridCol w:w="1672"/>
        <w:gridCol w:w="1672"/>
      </w:tblGrid>
      <w:tr w:rsidR="00761B6C" w:rsidRPr="00236418" w14:paraId="3B01E39D" w14:textId="77777777" w:rsidTr="00761B6C">
        <w:trPr>
          <w:jc w:val="center"/>
        </w:trPr>
        <w:tc>
          <w:tcPr>
            <w:tcW w:w="5864" w:type="dxa"/>
            <w:tcBorders>
              <w:bottom w:val="single" w:sz="4" w:space="0" w:color="auto"/>
            </w:tcBorders>
            <w:vAlign w:val="center"/>
          </w:tcPr>
          <w:p w14:paraId="28F95B4E" w14:textId="77777777" w:rsidR="00761B6C" w:rsidRPr="00236418" w:rsidRDefault="00761B6C" w:rsidP="00761B6C">
            <w:pPr>
              <w:pStyle w:val="Tablehead"/>
              <w:keepNext/>
              <w:keepLines/>
              <w:spacing w:before="40" w:afterLines="40" w:after="96"/>
              <w:jc w:val="left"/>
              <w:rPr>
                <w:bCs/>
                <w:color w:val="000000"/>
              </w:rPr>
            </w:pPr>
            <w:r w:rsidRPr="00236418">
              <w:rPr>
                <w:bCs/>
                <w:color w:val="000000"/>
              </w:rPr>
              <w:t>Montants comptabilisés dans l</w:t>
            </w:r>
            <w:r>
              <w:rPr>
                <w:bCs/>
                <w:color w:val="000000"/>
              </w:rPr>
              <w:t>'</w:t>
            </w:r>
            <w:r w:rsidRPr="00236418">
              <w:rPr>
                <w:bCs/>
                <w:color w:val="000000"/>
              </w:rPr>
              <w:t>état de la performance financière</w:t>
            </w:r>
          </w:p>
        </w:tc>
        <w:tc>
          <w:tcPr>
            <w:tcW w:w="3344" w:type="dxa"/>
            <w:gridSpan w:val="2"/>
            <w:tcBorders>
              <w:bottom w:val="single" w:sz="4" w:space="0" w:color="auto"/>
            </w:tcBorders>
            <w:vAlign w:val="center"/>
          </w:tcPr>
          <w:p w14:paraId="013074EA" w14:textId="77777777" w:rsidR="00761B6C" w:rsidRPr="00236418" w:rsidRDefault="00761B6C" w:rsidP="00761B6C">
            <w:pPr>
              <w:keepNext/>
              <w:keepLines/>
              <w:snapToGrid w:val="0"/>
              <w:spacing w:before="40" w:afterLines="40" w:after="96"/>
              <w:jc w:val="center"/>
              <w:rPr>
                <w:rFonts w:asciiTheme="minorHAnsi" w:hAnsiTheme="minorHAnsi"/>
                <w:b/>
                <w:bCs/>
                <w:i/>
                <w:iCs/>
                <w:color w:val="000000"/>
              </w:rPr>
            </w:pPr>
            <w:r w:rsidRPr="00236418">
              <w:rPr>
                <w:rFonts w:asciiTheme="minorHAnsi" w:hAnsiTheme="minorHAnsi"/>
                <w:b/>
                <w:bCs/>
                <w:i/>
                <w:iCs/>
                <w:color w:val="000000"/>
                <w:sz w:val="22"/>
              </w:rPr>
              <w:t>En milliers</w:t>
            </w:r>
            <w:r>
              <w:rPr>
                <w:rFonts w:asciiTheme="minorHAnsi" w:hAnsiTheme="minorHAnsi"/>
                <w:b/>
                <w:bCs/>
                <w:i/>
                <w:iCs/>
                <w:color w:val="000000"/>
                <w:sz w:val="22"/>
              </w:rPr>
              <w:t xml:space="preserve"> </w:t>
            </w:r>
            <w:r w:rsidRPr="00236418">
              <w:rPr>
                <w:rFonts w:asciiTheme="minorHAnsi" w:hAnsiTheme="minorHAnsi"/>
                <w:b/>
                <w:bCs/>
                <w:i/>
                <w:iCs/>
                <w:color w:val="000000"/>
                <w:sz w:val="22"/>
              </w:rPr>
              <w:t>CHF</w:t>
            </w:r>
          </w:p>
        </w:tc>
      </w:tr>
      <w:tr w:rsidR="00761B6C" w:rsidRPr="00236418" w14:paraId="382B9A38" w14:textId="77777777" w:rsidTr="00761B6C">
        <w:trPr>
          <w:jc w:val="center"/>
        </w:trPr>
        <w:tc>
          <w:tcPr>
            <w:tcW w:w="5864" w:type="dxa"/>
            <w:tcBorders>
              <w:bottom w:val="nil"/>
            </w:tcBorders>
          </w:tcPr>
          <w:p w14:paraId="5285D720" w14:textId="77777777" w:rsidR="00761B6C" w:rsidRPr="00236418" w:rsidRDefault="00761B6C" w:rsidP="00761B6C">
            <w:pPr>
              <w:keepNext/>
              <w:keepLines/>
              <w:spacing w:before="40" w:afterLines="40" w:after="96"/>
            </w:pPr>
          </w:p>
        </w:tc>
        <w:tc>
          <w:tcPr>
            <w:tcW w:w="1672" w:type="dxa"/>
            <w:tcBorders>
              <w:bottom w:val="single" w:sz="4" w:space="0" w:color="auto"/>
            </w:tcBorders>
            <w:vAlign w:val="bottom"/>
          </w:tcPr>
          <w:p w14:paraId="739ACACD" w14:textId="77777777" w:rsidR="00761B6C" w:rsidRPr="00236418" w:rsidRDefault="00761B6C" w:rsidP="00761B6C">
            <w:pPr>
              <w:pStyle w:val="Tablehead"/>
            </w:pPr>
            <w:r>
              <w:t>31.12.2020</w:t>
            </w:r>
          </w:p>
        </w:tc>
        <w:tc>
          <w:tcPr>
            <w:tcW w:w="1672" w:type="dxa"/>
            <w:tcBorders>
              <w:bottom w:val="single" w:sz="4" w:space="0" w:color="auto"/>
            </w:tcBorders>
            <w:vAlign w:val="bottom"/>
          </w:tcPr>
          <w:p w14:paraId="1463150F" w14:textId="77777777" w:rsidR="00761B6C" w:rsidRPr="00236418" w:rsidRDefault="00761B6C" w:rsidP="00761B6C">
            <w:pPr>
              <w:pStyle w:val="Tablehead"/>
            </w:pPr>
            <w:r w:rsidRPr="00236418">
              <w:t>31.12.2019</w:t>
            </w:r>
          </w:p>
        </w:tc>
      </w:tr>
      <w:tr w:rsidR="00761B6C" w:rsidRPr="00236418" w14:paraId="5D55F90D" w14:textId="77777777" w:rsidTr="00761B6C">
        <w:trPr>
          <w:jc w:val="center"/>
        </w:trPr>
        <w:tc>
          <w:tcPr>
            <w:tcW w:w="5864" w:type="dxa"/>
            <w:tcBorders>
              <w:top w:val="nil"/>
              <w:left w:val="single" w:sz="4" w:space="0" w:color="auto"/>
              <w:bottom w:val="nil"/>
              <w:right w:val="single" w:sz="4" w:space="0" w:color="auto"/>
            </w:tcBorders>
          </w:tcPr>
          <w:p w14:paraId="7BC831E7" w14:textId="77777777" w:rsidR="00761B6C" w:rsidRPr="00236418" w:rsidRDefault="00761B6C" w:rsidP="00761B6C">
            <w:pPr>
              <w:pStyle w:val="Tabletext"/>
            </w:pPr>
            <w:r w:rsidRPr="00236418">
              <w:t>Mise à jour des engagements et montant des contributions de l</w:t>
            </w:r>
            <w:r>
              <w:t>'</w:t>
            </w:r>
            <w:r w:rsidRPr="00236418">
              <w:t>exercice</w:t>
            </w:r>
          </w:p>
        </w:tc>
        <w:tc>
          <w:tcPr>
            <w:tcW w:w="1672" w:type="dxa"/>
            <w:tcBorders>
              <w:top w:val="single" w:sz="4" w:space="0" w:color="auto"/>
              <w:left w:val="single" w:sz="4" w:space="0" w:color="auto"/>
              <w:bottom w:val="nil"/>
              <w:right w:val="single" w:sz="4" w:space="0" w:color="auto"/>
            </w:tcBorders>
            <w:vAlign w:val="center"/>
          </w:tcPr>
          <w:p w14:paraId="4A2F69C5" w14:textId="77777777" w:rsidR="00761B6C" w:rsidRPr="00236418" w:rsidRDefault="00761B6C" w:rsidP="00761B6C">
            <w:pPr>
              <w:pStyle w:val="Tabletext"/>
              <w:jc w:val="right"/>
            </w:pPr>
          </w:p>
        </w:tc>
        <w:tc>
          <w:tcPr>
            <w:tcW w:w="1672" w:type="dxa"/>
            <w:tcBorders>
              <w:top w:val="single" w:sz="4" w:space="0" w:color="auto"/>
              <w:left w:val="single" w:sz="4" w:space="0" w:color="auto"/>
              <w:bottom w:val="nil"/>
              <w:right w:val="single" w:sz="4" w:space="0" w:color="auto"/>
            </w:tcBorders>
            <w:vAlign w:val="center"/>
          </w:tcPr>
          <w:p w14:paraId="17F99857" w14:textId="77777777" w:rsidR="00761B6C" w:rsidRPr="00236418" w:rsidRDefault="00761B6C" w:rsidP="00761B6C">
            <w:pPr>
              <w:pStyle w:val="Tabletext"/>
              <w:jc w:val="right"/>
            </w:pPr>
          </w:p>
        </w:tc>
      </w:tr>
      <w:tr w:rsidR="00761B6C" w:rsidRPr="00236418" w14:paraId="6D896E66" w14:textId="77777777" w:rsidTr="00761B6C">
        <w:trPr>
          <w:jc w:val="center"/>
        </w:trPr>
        <w:tc>
          <w:tcPr>
            <w:tcW w:w="5864" w:type="dxa"/>
            <w:tcBorders>
              <w:top w:val="nil"/>
              <w:left w:val="single" w:sz="4" w:space="0" w:color="auto"/>
              <w:bottom w:val="nil"/>
              <w:right w:val="single" w:sz="4" w:space="0" w:color="auto"/>
            </w:tcBorders>
            <w:vAlign w:val="bottom"/>
          </w:tcPr>
          <w:p w14:paraId="46405172" w14:textId="77777777" w:rsidR="00761B6C" w:rsidRPr="00236418" w:rsidRDefault="00761B6C" w:rsidP="00761B6C">
            <w:pPr>
              <w:pStyle w:val="Tabletext"/>
            </w:pPr>
            <w:r w:rsidRPr="00236418">
              <w:t>Coût des prestations au titre des services rendus</w:t>
            </w:r>
          </w:p>
        </w:tc>
        <w:tc>
          <w:tcPr>
            <w:tcW w:w="1672" w:type="dxa"/>
            <w:tcBorders>
              <w:top w:val="nil"/>
              <w:left w:val="single" w:sz="4" w:space="0" w:color="auto"/>
              <w:bottom w:val="nil"/>
              <w:right w:val="single" w:sz="4" w:space="0" w:color="auto"/>
            </w:tcBorders>
            <w:vAlign w:val="bottom"/>
          </w:tcPr>
          <w:p w14:paraId="2C81679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Pr>
                <w:bCs/>
                <w:color w:val="000000"/>
                <w:sz w:val="22"/>
              </w:rPr>
              <w:t>24 026</w:t>
            </w:r>
          </w:p>
        </w:tc>
        <w:tc>
          <w:tcPr>
            <w:tcW w:w="1672" w:type="dxa"/>
            <w:tcBorders>
              <w:top w:val="nil"/>
              <w:left w:val="single" w:sz="4" w:space="0" w:color="auto"/>
              <w:bottom w:val="nil"/>
              <w:right w:val="single" w:sz="4" w:space="0" w:color="auto"/>
            </w:tcBorders>
            <w:vAlign w:val="bottom"/>
          </w:tcPr>
          <w:p w14:paraId="7B6F07C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sidRPr="00236418">
              <w:rPr>
                <w:bCs/>
                <w:color w:val="000000"/>
                <w:sz w:val="22"/>
              </w:rPr>
              <w:t>21 759</w:t>
            </w:r>
          </w:p>
        </w:tc>
      </w:tr>
      <w:tr w:rsidR="00761B6C" w:rsidRPr="00236418" w14:paraId="60B29BCE" w14:textId="77777777" w:rsidTr="00761B6C">
        <w:trPr>
          <w:jc w:val="center"/>
        </w:trPr>
        <w:tc>
          <w:tcPr>
            <w:tcW w:w="5864" w:type="dxa"/>
            <w:tcBorders>
              <w:top w:val="nil"/>
              <w:left w:val="single" w:sz="4" w:space="0" w:color="auto"/>
              <w:bottom w:val="nil"/>
              <w:right w:val="single" w:sz="4" w:space="0" w:color="auto"/>
            </w:tcBorders>
            <w:vAlign w:val="bottom"/>
          </w:tcPr>
          <w:p w14:paraId="4C5D1F7D" w14:textId="77777777" w:rsidR="00761B6C" w:rsidRPr="00236418" w:rsidRDefault="00761B6C" w:rsidP="00761B6C">
            <w:pPr>
              <w:pStyle w:val="Tabletext"/>
            </w:pPr>
            <w:r w:rsidRPr="00236418">
              <w:t>Coûts des prestations au titre des services rendus dans le passé</w:t>
            </w:r>
          </w:p>
        </w:tc>
        <w:tc>
          <w:tcPr>
            <w:tcW w:w="1672" w:type="dxa"/>
            <w:tcBorders>
              <w:top w:val="nil"/>
              <w:left w:val="single" w:sz="4" w:space="0" w:color="auto"/>
              <w:bottom w:val="nil"/>
              <w:right w:val="single" w:sz="4" w:space="0" w:color="auto"/>
            </w:tcBorders>
            <w:vAlign w:val="bottom"/>
          </w:tcPr>
          <w:p w14:paraId="2B8DCF8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Pr>
                <w:bCs/>
                <w:color w:val="000000"/>
                <w:sz w:val="22"/>
              </w:rPr>
              <w:t>0</w:t>
            </w:r>
          </w:p>
        </w:tc>
        <w:tc>
          <w:tcPr>
            <w:tcW w:w="1672" w:type="dxa"/>
            <w:tcBorders>
              <w:top w:val="nil"/>
              <w:left w:val="single" w:sz="4" w:space="0" w:color="auto"/>
              <w:bottom w:val="nil"/>
              <w:right w:val="single" w:sz="4" w:space="0" w:color="auto"/>
            </w:tcBorders>
            <w:vAlign w:val="bottom"/>
          </w:tcPr>
          <w:p w14:paraId="7A606FE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sidRPr="00236418">
              <w:rPr>
                <w:bCs/>
                <w:color w:val="000000"/>
                <w:sz w:val="22"/>
              </w:rPr>
              <w:t>50 029</w:t>
            </w:r>
          </w:p>
        </w:tc>
      </w:tr>
      <w:tr w:rsidR="00761B6C" w:rsidRPr="00236418" w14:paraId="438664C8" w14:textId="77777777" w:rsidTr="00761B6C">
        <w:trPr>
          <w:jc w:val="center"/>
        </w:trPr>
        <w:tc>
          <w:tcPr>
            <w:tcW w:w="5864" w:type="dxa"/>
            <w:tcBorders>
              <w:top w:val="nil"/>
              <w:left w:val="single" w:sz="4" w:space="0" w:color="auto"/>
              <w:bottom w:val="nil"/>
              <w:right w:val="single" w:sz="4" w:space="0" w:color="auto"/>
            </w:tcBorders>
            <w:vAlign w:val="bottom"/>
          </w:tcPr>
          <w:p w14:paraId="3F101D68" w14:textId="77777777" w:rsidR="00761B6C" w:rsidRPr="00236418" w:rsidRDefault="00761B6C" w:rsidP="00761B6C">
            <w:pPr>
              <w:pStyle w:val="Tabletext"/>
            </w:pPr>
            <w:r w:rsidRPr="00236418">
              <w:t>Charge financière</w:t>
            </w:r>
          </w:p>
        </w:tc>
        <w:tc>
          <w:tcPr>
            <w:tcW w:w="1672" w:type="dxa"/>
            <w:tcBorders>
              <w:top w:val="nil"/>
              <w:left w:val="single" w:sz="4" w:space="0" w:color="auto"/>
              <w:bottom w:val="nil"/>
              <w:right w:val="single" w:sz="4" w:space="0" w:color="auto"/>
            </w:tcBorders>
            <w:vAlign w:val="bottom"/>
          </w:tcPr>
          <w:p w14:paraId="6844E40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Pr>
                <w:bCs/>
                <w:color w:val="000000"/>
                <w:sz w:val="22"/>
              </w:rPr>
              <w:t>3 641</w:t>
            </w:r>
          </w:p>
        </w:tc>
        <w:tc>
          <w:tcPr>
            <w:tcW w:w="1672" w:type="dxa"/>
            <w:tcBorders>
              <w:top w:val="nil"/>
              <w:left w:val="single" w:sz="4" w:space="0" w:color="auto"/>
              <w:bottom w:val="nil"/>
              <w:right w:val="single" w:sz="4" w:space="0" w:color="auto"/>
            </w:tcBorders>
            <w:vAlign w:val="bottom"/>
          </w:tcPr>
          <w:p w14:paraId="35EC4100" w14:textId="77777777" w:rsidR="00761B6C" w:rsidRPr="00236418" w:rsidRDefault="00761B6C" w:rsidP="00761B6C">
            <w:pPr>
              <w:jc w:val="right"/>
              <w:rPr>
                <w:bCs/>
                <w:color w:val="000000"/>
                <w:sz w:val="22"/>
              </w:rPr>
            </w:pPr>
            <w:r w:rsidRPr="00236418">
              <w:rPr>
                <w:bCs/>
                <w:color w:val="000000"/>
                <w:sz w:val="22"/>
              </w:rPr>
              <w:t>6 569</w:t>
            </w:r>
          </w:p>
        </w:tc>
      </w:tr>
      <w:tr w:rsidR="00761B6C" w:rsidRPr="00236418" w14:paraId="0BE1154D" w14:textId="77777777" w:rsidTr="00761B6C">
        <w:trPr>
          <w:jc w:val="center"/>
        </w:trPr>
        <w:tc>
          <w:tcPr>
            <w:tcW w:w="5864" w:type="dxa"/>
            <w:tcBorders>
              <w:top w:val="nil"/>
              <w:left w:val="single" w:sz="4" w:space="0" w:color="auto"/>
              <w:bottom w:val="nil"/>
              <w:right w:val="single" w:sz="4" w:space="0" w:color="auto"/>
            </w:tcBorders>
            <w:vAlign w:val="bottom"/>
          </w:tcPr>
          <w:p w14:paraId="15D526F3" w14:textId="77777777" w:rsidR="00761B6C" w:rsidRPr="00236418" w:rsidRDefault="00761B6C" w:rsidP="00761B6C">
            <w:pPr>
              <w:pStyle w:val="Tabletext"/>
            </w:pPr>
            <w:r w:rsidRPr="00236418">
              <w:t>Rendement attendu des actifs liés au plan ASHI</w:t>
            </w:r>
          </w:p>
        </w:tc>
        <w:tc>
          <w:tcPr>
            <w:tcW w:w="1672" w:type="dxa"/>
            <w:tcBorders>
              <w:top w:val="nil"/>
              <w:left w:val="single" w:sz="4" w:space="0" w:color="auto"/>
              <w:bottom w:val="nil"/>
              <w:right w:val="single" w:sz="4" w:space="0" w:color="auto"/>
            </w:tcBorders>
            <w:vAlign w:val="bottom"/>
          </w:tcPr>
          <w:p w14:paraId="2D43E709" w14:textId="77777777" w:rsidR="00761B6C" w:rsidRPr="00236418" w:rsidRDefault="00761B6C" w:rsidP="00761B6C">
            <w:pPr>
              <w:widowControl w:val="0"/>
              <w:tabs>
                <w:tab w:val="clear" w:pos="1701"/>
              </w:tabs>
              <w:kinsoku w:val="0"/>
              <w:spacing w:before="20"/>
              <w:ind w:right="60"/>
              <w:jc w:val="right"/>
              <w:rPr>
                <w:bCs/>
                <w:color w:val="000000"/>
                <w:sz w:val="22"/>
              </w:rPr>
            </w:pPr>
            <w:r>
              <w:rPr>
                <w:bCs/>
                <w:color w:val="000000"/>
                <w:sz w:val="22"/>
              </w:rPr>
              <w:t>0</w:t>
            </w:r>
          </w:p>
        </w:tc>
        <w:tc>
          <w:tcPr>
            <w:tcW w:w="1672" w:type="dxa"/>
            <w:tcBorders>
              <w:top w:val="nil"/>
              <w:left w:val="single" w:sz="4" w:space="0" w:color="auto"/>
              <w:bottom w:val="nil"/>
              <w:right w:val="single" w:sz="4" w:space="0" w:color="auto"/>
            </w:tcBorders>
            <w:vAlign w:val="bottom"/>
          </w:tcPr>
          <w:p w14:paraId="210304EF" w14:textId="77777777" w:rsidR="00761B6C" w:rsidRPr="00236418" w:rsidRDefault="00761B6C" w:rsidP="00761B6C">
            <w:pPr>
              <w:widowControl w:val="0"/>
              <w:tabs>
                <w:tab w:val="clear" w:pos="1701"/>
              </w:tabs>
              <w:kinsoku w:val="0"/>
              <w:spacing w:before="20"/>
              <w:ind w:right="60"/>
              <w:jc w:val="right"/>
              <w:rPr>
                <w:bCs/>
                <w:color w:val="000000"/>
                <w:sz w:val="22"/>
              </w:rPr>
            </w:pPr>
            <w:r w:rsidRPr="00236418">
              <w:rPr>
                <w:bCs/>
                <w:color w:val="000000"/>
                <w:sz w:val="22"/>
              </w:rPr>
              <w:t>0</w:t>
            </w:r>
          </w:p>
        </w:tc>
      </w:tr>
      <w:tr w:rsidR="00761B6C" w:rsidRPr="00236418" w14:paraId="442B945D" w14:textId="77777777" w:rsidTr="00761B6C">
        <w:trPr>
          <w:jc w:val="center"/>
        </w:trPr>
        <w:tc>
          <w:tcPr>
            <w:tcW w:w="5864" w:type="dxa"/>
            <w:tcBorders>
              <w:top w:val="single" w:sz="4" w:space="0" w:color="auto"/>
              <w:left w:val="single" w:sz="4" w:space="0" w:color="auto"/>
              <w:bottom w:val="single" w:sz="4" w:space="0" w:color="auto"/>
              <w:right w:val="single" w:sz="4" w:space="0" w:color="auto"/>
            </w:tcBorders>
          </w:tcPr>
          <w:p w14:paraId="54FAE198" w14:textId="77777777" w:rsidR="00761B6C" w:rsidRPr="00236418" w:rsidRDefault="00761B6C" w:rsidP="00761B6C">
            <w:pPr>
              <w:pStyle w:val="Tabletext"/>
            </w:pPr>
            <w:r w:rsidRPr="00236418">
              <w:t>Total</w:t>
            </w:r>
          </w:p>
        </w:tc>
        <w:tc>
          <w:tcPr>
            <w:tcW w:w="1672" w:type="dxa"/>
            <w:tcBorders>
              <w:top w:val="single" w:sz="4" w:space="0" w:color="auto"/>
              <w:left w:val="single" w:sz="4" w:space="0" w:color="auto"/>
              <w:bottom w:val="single" w:sz="4" w:space="0" w:color="auto"/>
              <w:right w:val="single" w:sz="4" w:space="0" w:color="auto"/>
            </w:tcBorders>
            <w:vAlign w:val="center"/>
          </w:tcPr>
          <w:p w14:paraId="37AD6E0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Pr>
                <w:rFonts w:cs="Arial"/>
                <w:color w:val="000000"/>
                <w:sz w:val="22"/>
                <w:lang w:eastAsia="zh-CN"/>
              </w:rPr>
              <w:t>27 667</w:t>
            </w:r>
          </w:p>
        </w:tc>
        <w:tc>
          <w:tcPr>
            <w:tcW w:w="1672" w:type="dxa"/>
            <w:tcBorders>
              <w:top w:val="single" w:sz="4" w:space="0" w:color="auto"/>
              <w:left w:val="single" w:sz="4" w:space="0" w:color="auto"/>
              <w:bottom w:val="single" w:sz="4" w:space="0" w:color="auto"/>
              <w:right w:val="single" w:sz="4" w:space="0" w:color="auto"/>
            </w:tcBorders>
            <w:vAlign w:val="center"/>
          </w:tcPr>
          <w:p w14:paraId="13627B9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rPr>
              <w:t>78 357</w:t>
            </w:r>
          </w:p>
        </w:tc>
      </w:tr>
    </w:tbl>
    <w:p w14:paraId="0AE9538B" w14:textId="0E2EDE1B" w:rsidR="00761B6C" w:rsidRPr="00236418" w:rsidRDefault="00761B6C" w:rsidP="0026263E">
      <w:pPr>
        <w:spacing w:before="240"/>
      </w:pPr>
      <w:bookmarkStart w:id="1925" w:name="_Toc395511728"/>
      <w:bookmarkStart w:id="1926" w:name="_Toc10450761"/>
      <w:r w:rsidRPr="009836EE">
        <w:t>En janvier 2020, l</w:t>
      </w:r>
      <w:r>
        <w:t>'</w:t>
      </w:r>
      <w:r w:rsidRPr="009836EE">
        <w:t>UIT a rejoint l</w:t>
      </w:r>
      <w:r>
        <w:t>'</w:t>
      </w:r>
      <w:r w:rsidRPr="009836EE">
        <w:t>Assurance mutuelle contre la maladie et les accidents du personnel des Nations Unies (UNSMIS). Le passage à ce régime d</w:t>
      </w:r>
      <w:r>
        <w:t>'</w:t>
      </w:r>
      <w:r w:rsidRPr="009836EE">
        <w:t>assurance maladie des Nations Unies présente des avantages non seulement pour le personnel, dans la mesure où le taux de cotisation a été réduit et la franchise supprimée, mais aussi pour l</w:t>
      </w:r>
      <w:r>
        <w:t>'</w:t>
      </w:r>
      <w:r w:rsidRPr="009836EE">
        <w:t>UIT</w:t>
      </w:r>
      <w:r>
        <w:t xml:space="preserve"> à </w:t>
      </w:r>
      <w:r w:rsidRPr="009836EE">
        <w:t>long terme, en raison de l</w:t>
      </w:r>
      <w:r>
        <w:t>'</w:t>
      </w:r>
      <w:r w:rsidRPr="009836EE">
        <w:t>envergure de ce régime</w:t>
      </w:r>
      <w:r>
        <w:t xml:space="preserve">. </w:t>
      </w:r>
      <w:r w:rsidRPr="009836EE">
        <w:t>Ce régime regroupe plusieurs organisations et institutions spécialisées des Nations Unies basées à Genève</w:t>
      </w:r>
      <w:r>
        <w:t xml:space="preserve">. Il </w:t>
      </w:r>
      <w:r w:rsidRPr="009836EE">
        <w:t>comprend le personnel de l</w:t>
      </w:r>
      <w:r>
        <w:t>'</w:t>
      </w:r>
      <w:r w:rsidR="00403E7A">
        <w:t>Office des Nations Unies, du </w:t>
      </w:r>
      <w:r w:rsidRPr="009836EE">
        <w:t>HCR et de l</w:t>
      </w:r>
      <w:r>
        <w:t>'</w:t>
      </w:r>
      <w:r w:rsidRPr="009836EE">
        <w:t>OMM</w:t>
      </w:r>
      <w:r w:rsidRPr="00236418">
        <w:t>.</w:t>
      </w:r>
    </w:p>
    <w:p w14:paraId="3436B7F7" w14:textId="77777777" w:rsidR="00761B6C" w:rsidRPr="00236418" w:rsidRDefault="00761B6C" w:rsidP="00761B6C">
      <w:r w:rsidRPr="00236418">
        <w:t>Pour pouvoir rejoindre le régime d</w:t>
      </w:r>
      <w:r>
        <w:t>'</w:t>
      </w:r>
      <w:r w:rsidRPr="00236418">
        <w:t>assurance maladie UNSMIS en janvier 2020, l</w:t>
      </w:r>
      <w:r>
        <w:t>'</w:t>
      </w:r>
      <w:r w:rsidRPr="00236418">
        <w:t>UIT a dû verser une contribution au fonds de réserve de ce régime à des fins d</w:t>
      </w:r>
      <w:r>
        <w:t>'</w:t>
      </w:r>
      <w:r w:rsidRPr="00236418">
        <w:t xml:space="preserve">égalisation. Cette contribution, </w:t>
      </w:r>
      <w:r>
        <w:t>dont le</w:t>
      </w:r>
      <w:r w:rsidRPr="00236418">
        <w:t xml:space="preserve"> montant </w:t>
      </w:r>
      <w:r>
        <w:t>approuvé s'établit à</w:t>
      </w:r>
      <w:r w:rsidRPr="00236418">
        <w:t xml:space="preserve"> 19,53 millions USD, a été versée à partir du fonds de garantie de la CCAM début 2020.</w:t>
      </w:r>
    </w:p>
    <w:p w14:paraId="323C489C" w14:textId="77777777" w:rsidR="00761B6C" w:rsidRDefault="00761B6C" w:rsidP="00761B6C">
      <w:r w:rsidRPr="00236418">
        <w:t>En outre, une contribution extraordinaire</w:t>
      </w:r>
      <w:r>
        <w:t xml:space="preserve">, </w:t>
      </w:r>
      <w:r>
        <w:rPr>
          <w:color w:val="000000"/>
        </w:rPr>
        <w:t xml:space="preserve">mise en place à compter de </w:t>
      </w:r>
      <w:r>
        <w:t>2020,</w:t>
      </w:r>
      <w:r w:rsidRPr="00236418">
        <w:t xml:space="preserve"> sera versée au fonds </w:t>
      </w:r>
      <w:r>
        <w:t>de réserve chaque année pendant </w:t>
      </w:r>
      <w:r w:rsidRPr="00236418">
        <w:t>13 ans. Cette contribution supplémentaire vise à compenser l</w:t>
      </w:r>
      <w:r>
        <w:t>'</w:t>
      </w:r>
      <w:r w:rsidRPr="00236418">
        <w:t>incidence de l</w:t>
      </w:r>
      <w:r>
        <w:t>'</w:t>
      </w:r>
      <w:r w:rsidRPr="00236418">
        <w:t>admission de l</w:t>
      </w:r>
      <w:r>
        <w:t>'</w:t>
      </w:r>
      <w:r w:rsidRPr="00236418">
        <w:t>ensemble des personnes assurées de l</w:t>
      </w:r>
      <w:r>
        <w:t>'</w:t>
      </w:r>
      <w:r w:rsidRPr="00236418">
        <w:t xml:space="preserve">UIT au régime </w:t>
      </w:r>
      <w:r>
        <w:t xml:space="preserve">global </w:t>
      </w:r>
      <w:r w:rsidRPr="00236418">
        <w:t>d</w:t>
      </w:r>
      <w:r>
        <w:t>'</w:t>
      </w:r>
      <w:r w:rsidRPr="00236418">
        <w:t>assurance maladie</w:t>
      </w:r>
      <w:r>
        <w:t>. Elle</w:t>
      </w:r>
      <w:r w:rsidRPr="00236418">
        <w:t xml:space="preserve"> représente un montant total de 22,53 millions USD répartis sur 13 ans.</w:t>
      </w:r>
    </w:p>
    <w:p w14:paraId="4DBA6642" w14:textId="77777777" w:rsidR="00761B6C" w:rsidRDefault="00761B6C" w:rsidP="00761B6C">
      <w:r w:rsidRPr="009836EE">
        <w:lastRenderedPageBreak/>
        <w:t>Le régime de l</w:t>
      </w:r>
      <w:r>
        <w:t>'</w:t>
      </w:r>
      <w:r w:rsidRPr="009836EE">
        <w:t>UNSMIS repose sur une cotisation salariale de 3,4%, qui a été instaurée au</w:t>
      </w:r>
      <w:r>
        <w:t> </w:t>
      </w:r>
      <w:r w:rsidRPr="009836EE">
        <w:t>1</w:t>
      </w:r>
      <w:r w:rsidRPr="00086C34">
        <w:t>er </w:t>
      </w:r>
      <w:r w:rsidRPr="009836EE">
        <w:t>janvier 2020. Le suivi de la maîtrise des coûts relève à présent de la responsabilité du Comité de l</w:t>
      </w:r>
      <w:r>
        <w:t>'</w:t>
      </w:r>
      <w:r w:rsidRPr="009836EE">
        <w:t>UNSMIS, au sein duquel l</w:t>
      </w:r>
      <w:r>
        <w:t>'</w:t>
      </w:r>
      <w:r w:rsidRPr="009836EE">
        <w:t>UIT disposera d</w:t>
      </w:r>
      <w:r>
        <w:t>'</w:t>
      </w:r>
      <w:r w:rsidRPr="009836EE">
        <w:t>un siège en tant que nouveau membre.</w:t>
      </w:r>
    </w:p>
    <w:p w14:paraId="02F1C6CD" w14:textId="65F702F1" w:rsidR="00761B6C" w:rsidRPr="00BB57CB" w:rsidRDefault="00761B6C" w:rsidP="00761B6C">
      <w:r>
        <w:rPr>
          <w:rFonts w:cs="Calibri"/>
          <w:iCs/>
          <w:szCs w:val="24"/>
        </w:rPr>
        <w:t>À toutes fins utiles</w:t>
      </w:r>
      <w:r w:rsidRPr="00BB57CB">
        <w:rPr>
          <w:rFonts w:cs="Calibri"/>
          <w:iCs/>
          <w:szCs w:val="24"/>
        </w:rPr>
        <w:t xml:space="preserve">, veuillez consulter le </w:t>
      </w:r>
      <w:hyperlink r:id="rId40" w:history="1">
        <w:r w:rsidR="00403E7A" w:rsidRPr="00403E7A">
          <w:rPr>
            <w:rStyle w:val="Hyperlink"/>
            <w:rFonts w:cs="Calibri"/>
            <w:iCs/>
            <w:szCs w:val="24"/>
          </w:rPr>
          <w:t>Document C21/46</w:t>
        </w:r>
      </w:hyperlink>
      <w:r>
        <w:rPr>
          <w:rFonts w:cs="Calibri"/>
          <w:iCs/>
          <w:szCs w:val="24"/>
        </w:rPr>
        <w:t xml:space="preserve">, </w:t>
      </w:r>
      <w:r w:rsidRPr="00BB57CB">
        <w:rPr>
          <w:rFonts w:cs="Calibri"/>
          <w:iCs/>
          <w:szCs w:val="24"/>
        </w:rPr>
        <w:t>qui contient le rapport annuel sur l</w:t>
      </w:r>
      <w:r>
        <w:rPr>
          <w:rFonts w:cs="Calibri"/>
          <w:iCs/>
          <w:szCs w:val="24"/>
        </w:rPr>
        <w:t>'</w:t>
      </w:r>
      <w:r w:rsidRPr="00BB57CB">
        <w:rPr>
          <w:rFonts w:cs="Calibri"/>
          <w:iCs/>
          <w:szCs w:val="24"/>
        </w:rPr>
        <w:t>ASHI.</w:t>
      </w:r>
    </w:p>
    <w:p w14:paraId="10644B44" w14:textId="77777777" w:rsidR="00761B6C" w:rsidRPr="00236418" w:rsidRDefault="00761B6C" w:rsidP="00761B6C">
      <w:pPr>
        <w:pStyle w:val="Heading3"/>
        <w:rPr>
          <w:b w:val="0"/>
          <w:bCs/>
          <w:i/>
          <w:iCs/>
        </w:rPr>
      </w:pPr>
      <w:bookmarkStart w:id="1927" w:name="_Toc73354456"/>
      <w:bookmarkStart w:id="1928" w:name="_Toc73356432"/>
      <w:r w:rsidRPr="00236418">
        <w:rPr>
          <w:b w:val="0"/>
          <w:bCs/>
          <w:i/>
          <w:iCs/>
        </w:rPr>
        <w:t>17.2.3</w:t>
      </w:r>
      <w:r w:rsidRPr="00236418">
        <w:rPr>
          <w:b w:val="0"/>
          <w:bCs/>
          <w:i/>
          <w:iCs/>
        </w:rPr>
        <w:tab/>
        <w:t>Plan ASHI, estimations des coûts pour l</w:t>
      </w:r>
      <w:r>
        <w:rPr>
          <w:b w:val="0"/>
          <w:bCs/>
          <w:i/>
          <w:iCs/>
        </w:rPr>
        <w:t>'</w:t>
      </w:r>
      <w:r w:rsidRPr="00236418">
        <w:rPr>
          <w:b w:val="0"/>
          <w:bCs/>
          <w:i/>
          <w:iCs/>
        </w:rPr>
        <w:t xml:space="preserve">exercice </w:t>
      </w:r>
      <w:bookmarkEnd w:id="1925"/>
      <w:r w:rsidRPr="00236418">
        <w:rPr>
          <w:b w:val="0"/>
          <w:bCs/>
          <w:i/>
          <w:iCs/>
        </w:rPr>
        <w:t>20</w:t>
      </w:r>
      <w:bookmarkEnd w:id="1926"/>
      <w:r>
        <w:rPr>
          <w:b w:val="0"/>
          <w:bCs/>
          <w:i/>
          <w:iCs/>
        </w:rPr>
        <w:t>20</w:t>
      </w:r>
      <w:bookmarkEnd w:id="1927"/>
      <w:bookmarkEnd w:id="1928"/>
    </w:p>
    <w:p w14:paraId="72A82A4C" w14:textId="77777777" w:rsidR="00761B6C" w:rsidRPr="00236418" w:rsidRDefault="00761B6C" w:rsidP="00761B6C">
      <w:r w:rsidRPr="00236418">
        <w:t>Une augmentation de 1% du taux d</w:t>
      </w:r>
      <w:r>
        <w:t>'</w:t>
      </w:r>
      <w:r w:rsidRPr="00236418">
        <w:t>évolution des soins de santé entraînerait une hausse sur les coûts et intérêts de 1</w:t>
      </w:r>
      <w:r>
        <w:t>2</w:t>
      </w:r>
      <w:r w:rsidRPr="00236418">
        <w:t>,</w:t>
      </w:r>
      <w:r>
        <w:t>28</w:t>
      </w:r>
      <w:r w:rsidRPr="00236418">
        <w:t> millions CHF et un impact sur l</w:t>
      </w:r>
      <w:r>
        <w:t>'</w:t>
      </w:r>
      <w:r w:rsidRPr="00236418">
        <w:t>obligation au titre des prestations définies de 1</w:t>
      </w:r>
      <w:r>
        <w:t>77</w:t>
      </w:r>
      <w:r w:rsidRPr="00236418">
        <w:t>,</w:t>
      </w:r>
      <w:r>
        <w:t>5</w:t>
      </w:r>
      <w:r w:rsidRPr="00236418">
        <w:t>6 millions CHF. Une diminution de 1% entrainerait un recul de 8,</w:t>
      </w:r>
      <w:r>
        <w:t>62</w:t>
      </w:r>
      <w:r w:rsidRPr="00236418">
        <w:t> millions CHF des coûts et intérêts et de 1</w:t>
      </w:r>
      <w:r>
        <w:t>34</w:t>
      </w:r>
      <w:r w:rsidRPr="00236418">
        <w:t>,</w:t>
      </w:r>
      <w:r>
        <w:t>57</w:t>
      </w:r>
      <w:r w:rsidRPr="00236418">
        <w:t> millions CHF de l</w:t>
      </w:r>
      <w:r>
        <w:t>'</w:t>
      </w:r>
      <w:r w:rsidRPr="00236418">
        <w:t>obligation au titre des prestations définies.</w:t>
      </w:r>
    </w:p>
    <w:p w14:paraId="386B981A" w14:textId="77777777" w:rsidR="00761B6C" w:rsidRPr="00236418" w:rsidRDefault="00761B6C" w:rsidP="00761B6C">
      <w:pPr>
        <w:pStyle w:val="Heading3"/>
        <w:rPr>
          <w:b w:val="0"/>
          <w:bCs/>
          <w:i/>
          <w:iCs/>
        </w:rPr>
      </w:pPr>
      <w:bookmarkStart w:id="1929" w:name="_Toc329202587"/>
      <w:bookmarkStart w:id="1930" w:name="_Toc329205019"/>
      <w:bookmarkStart w:id="1931" w:name="_Toc329206856"/>
      <w:bookmarkStart w:id="1932" w:name="_Toc395511729"/>
      <w:bookmarkStart w:id="1933" w:name="_Toc10450762"/>
      <w:bookmarkStart w:id="1934" w:name="_Toc73354457"/>
      <w:bookmarkStart w:id="1935" w:name="_Toc73356433"/>
      <w:r w:rsidRPr="00403E7A">
        <w:rPr>
          <w:b w:val="0"/>
          <w:bCs/>
          <w:i/>
          <w:iCs/>
        </w:rPr>
        <w:t>17.2.4</w:t>
      </w:r>
      <w:r w:rsidRPr="00403E7A">
        <w:rPr>
          <w:b w:val="0"/>
          <w:bCs/>
          <w:i/>
          <w:iCs/>
        </w:rPr>
        <w:tab/>
        <w:t>Rapatriement</w:t>
      </w:r>
      <w:bookmarkEnd w:id="1929"/>
      <w:bookmarkEnd w:id="1930"/>
      <w:bookmarkEnd w:id="1931"/>
      <w:bookmarkEnd w:id="1932"/>
      <w:bookmarkEnd w:id="1933"/>
      <w:bookmarkEnd w:id="1934"/>
      <w:bookmarkEnd w:id="1935"/>
    </w:p>
    <w:p w14:paraId="12B6E5E7" w14:textId="77777777" w:rsidR="00761B6C" w:rsidRPr="00236418" w:rsidRDefault="00761B6C" w:rsidP="00761B6C">
      <w:r w:rsidRPr="00236418">
        <w:t>Ont droit, en principe, à une prime de rapatriement les fonctionnaires que l</w:t>
      </w:r>
      <w:r>
        <w:t>'</w:t>
      </w:r>
      <w:r w:rsidRPr="00236418">
        <w:t>Union est tenue de rapatrier. Les conditions et définitions concernant le droit à cette prime et les pièces requises pour attester le changement de résidence sont déterminées de façon détaillée par le Secrétaire général.</w:t>
      </w:r>
    </w:p>
    <w:p w14:paraId="0D9E9B33" w14:textId="77777777" w:rsidR="00761B6C" w:rsidRPr="00236418" w:rsidRDefault="00761B6C" w:rsidP="00761B6C">
      <w:r w:rsidRPr="00236418">
        <w:t>La durée du service accomplie, le traitement de base et les éventuelles indemnités linguistiques ont été prises en compte dans le calcul du montant global de l</w:t>
      </w:r>
      <w:r>
        <w:t>'</w:t>
      </w:r>
      <w:r w:rsidRPr="00236418">
        <w:t>obligation au 31 décembre 20</w:t>
      </w:r>
      <w:r>
        <w:t>20</w:t>
      </w:r>
      <w:r w:rsidRPr="00236418">
        <w:t>. Les hypothèses économiques retenues sont un taux d</w:t>
      </w:r>
      <w:r>
        <w:t>'</w:t>
      </w:r>
      <w:r w:rsidRPr="00236418">
        <w:t>actualisation de 0,</w:t>
      </w:r>
      <w:r>
        <w:t>2</w:t>
      </w:r>
      <w:r w:rsidRPr="00236418">
        <w:t>% (</w:t>
      </w:r>
      <w:r>
        <w:t>0,6</w:t>
      </w:r>
      <w:r w:rsidRPr="00236418">
        <w:t>% en 201</w:t>
      </w:r>
      <w:r>
        <w:t>9</w:t>
      </w:r>
      <w:r w:rsidRPr="00236418">
        <w:t>) et un taux d</w:t>
      </w:r>
      <w:r>
        <w:t>'</w:t>
      </w:r>
      <w:r w:rsidRPr="00236418">
        <w:t>augmentation des traitements de 3%. Pour l</w:t>
      </w:r>
      <w:r>
        <w:t>'</w:t>
      </w:r>
      <w:r w:rsidRPr="00236418">
        <w:t>évaluation de 20</w:t>
      </w:r>
      <w:r>
        <w:t>20</w:t>
      </w:r>
      <w:r w:rsidRPr="00236418">
        <w:t>, les hypothèses retenues pour l</w:t>
      </w:r>
      <w:r>
        <w:t>'</w:t>
      </w:r>
      <w:r w:rsidRPr="00236418">
        <w:t>évaluation actuarielle concernant la prime de rapatriement ont été alignées sur les hypothèses concernant l</w:t>
      </w:r>
      <w:r>
        <w:t>'</w:t>
      </w:r>
      <w:r w:rsidRPr="00236418">
        <w:t>ASHI.</w:t>
      </w:r>
    </w:p>
    <w:p w14:paraId="18B4A38F" w14:textId="77777777" w:rsidR="00761B6C" w:rsidRPr="00236418" w:rsidRDefault="00761B6C" w:rsidP="00761B6C">
      <w:pPr>
        <w:pStyle w:val="Heading3"/>
        <w:rPr>
          <w:b w:val="0"/>
          <w:bCs/>
          <w:i/>
          <w:iCs/>
        </w:rPr>
      </w:pPr>
      <w:bookmarkStart w:id="1936" w:name="_Toc395511730"/>
      <w:bookmarkStart w:id="1937" w:name="_Toc10450763"/>
      <w:bookmarkStart w:id="1938" w:name="_Toc73354458"/>
      <w:bookmarkStart w:id="1939" w:name="_Toc73356434"/>
      <w:r w:rsidRPr="00236418">
        <w:rPr>
          <w:b w:val="0"/>
          <w:bCs/>
          <w:i/>
          <w:iCs/>
        </w:rPr>
        <w:t>17.2.5</w:t>
      </w:r>
      <w:r w:rsidRPr="00236418">
        <w:rPr>
          <w:b w:val="0"/>
          <w:bCs/>
          <w:i/>
          <w:iCs/>
        </w:rPr>
        <w:tab/>
        <w:t>Paiement de la prime de rapatriement</w:t>
      </w:r>
      <w:bookmarkEnd w:id="1936"/>
      <w:bookmarkEnd w:id="1937"/>
      <w:bookmarkEnd w:id="1938"/>
      <w:bookmarkEnd w:id="1939"/>
    </w:p>
    <w:p w14:paraId="64F368FB" w14:textId="77777777" w:rsidR="00761B6C" w:rsidRPr="00236418" w:rsidRDefault="00761B6C" w:rsidP="00761B6C">
      <w:r w:rsidRPr="00236418">
        <w:t>Le versement de la prime de rapatriement est régi par les conditions et définitions mentionnées dans les Statut et Règlement du personnel. En décembre 20</w:t>
      </w:r>
      <w:r>
        <w:t>20</w:t>
      </w:r>
      <w:r w:rsidRPr="00236418">
        <w:t xml:space="preserve">, la provision se chiffrait à </w:t>
      </w:r>
      <w:r>
        <w:t>12,71</w:t>
      </w:r>
      <w:r w:rsidRPr="00236418">
        <w:t xml:space="preserve"> millions CHF contre </w:t>
      </w:r>
      <w:r>
        <w:t>13,33</w:t>
      </w:r>
      <w:r w:rsidRPr="00236418">
        <w:t xml:space="preserve"> millions CHF en 201</w:t>
      </w:r>
      <w:r>
        <w:t>9</w:t>
      </w:r>
      <w:r w:rsidRPr="00236418">
        <w:t>.</w:t>
      </w:r>
      <w:r>
        <w:t xml:space="preserve"> La</w:t>
      </w:r>
      <w:r w:rsidRPr="00236418">
        <w:t xml:space="preserve"> </w:t>
      </w:r>
      <w:r>
        <w:t>légère baisse</w:t>
      </w:r>
      <w:r w:rsidRPr="00236418">
        <w:t xml:space="preserve"> de cette provision pourrait s</w:t>
      </w:r>
      <w:r>
        <w:t>'</w:t>
      </w:r>
      <w:r w:rsidRPr="00236418">
        <w:t>expliquer</w:t>
      </w:r>
      <w:r w:rsidRPr="00BB57CB">
        <w:t xml:space="preserve"> </w:t>
      </w:r>
      <w:r>
        <w:t xml:space="preserve">par le fait que </w:t>
      </w:r>
      <w:r w:rsidRPr="00BB57CB">
        <w:t>traitements moyens libellés en francs suisses sont plus bas que lors de la dernière évaluation complète effectuée en 2018</w:t>
      </w:r>
      <w:r>
        <w:t>, ce qui entraîne des gains au titre des primes de rapatriement</w:t>
      </w:r>
      <w:r w:rsidRPr="00236418">
        <w:t>.</w:t>
      </w:r>
    </w:p>
    <w:p w14:paraId="690F62B0" w14:textId="77777777" w:rsidR="00761B6C" w:rsidRPr="00236418" w:rsidRDefault="00761B6C" w:rsidP="00761B6C">
      <w:pPr>
        <w:rPr>
          <w:b/>
        </w:rPr>
      </w:pPr>
      <w:r w:rsidRPr="00236418">
        <w:t>Cette provision est alimentée par un prélèvement de 1% sur la rémunération des fonctionnaires autres que ceux recrutés pour des conférences et autres périodes de courte durée.</w:t>
      </w:r>
    </w:p>
    <w:p w14:paraId="0E49DD4C" w14:textId="77777777" w:rsidR="00761B6C" w:rsidRPr="00236418" w:rsidRDefault="00761B6C" w:rsidP="00761B6C">
      <w:r w:rsidRPr="00236418">
        <w:t>Une évaluation actuarielle conforme aux normes IPSAS est effectuée chaque année par un bureau de consultants indépendants.</w:t>
      </w:r>
    </w:p>
    <w:p w14:paraId="42BB5A8A" w14:textId="77777777" w:rsidR="00761B6C" w:rsidRPr="00236418" w:rsidRDefault="00761B6C" w:rsidP="00761B6C">
      <w:pPr>
        <w:pStyle w:val="Heading3"/>
        <w:ind w:left="1134" w:hanging="1134"/>
        <w:rPr>
          <w:b w:val="0"/>
          <w:bCs/>
          <w:i/>
          <w:iCs/>
        </w:rPr>
      </w:pPr>
      <w:bookmarkStart w:id="1940" w:name="_Toc395511731"/>
      <w:bookmarkStart w:id="1941" w:name="_Toc10450764"/>
      <w:bookmarkStart w:id="1942" w:name="_Toc73354459"/>
      <w:bookmarkStart w:id="1943" w:name="_Toc73356435"/>
      <w:r w:rsidRPr="00236418">
        <w:rPr>
          <w:b w:val="0"/>
          <w:bCs/>
          <w:i/>
          <w:iCs/>
        </w:rPr>
        <w:t>17.2.6</w:t>
      </w:r>
      <w:r w:rsidRPr="00236418">
        <w:rPr>
          <w:b w:val="0"/>
          <w:bCs/>
          <w:i/>
          <w:iCs/>
        </w:rPr>
        <w:tab/>
        <w:t>Avantages au personnel concernant le plan de pension du personnel des Nations Unies</w:t>
      </w:r>
      <w:bookmarkEnd w:id="1940"/>
      <w:bookmarkEnd w:id="1941"/>
      <w:bookmarkEnd w:id="1942"/>
      <w:bookmarkEnd w:id="1943"/>
    </w:p>
    <w:p w14:paraId="288D473C" w14:textId="77777777" w:rsidR="00761B6C" w:rsidRPr="00236418" w:rsidRDefault="00761B6C" w:rsidP="00761B6C">
      <w:r w:rsidRPr="00236418">
        <w:t>L</w:t>
      </w:r>
      <w:r>
        <w:t>'</w:t>
      </w:r>
      <w:r w:rsidRPr="00236418">
        <w:t>UIT est une organisation membre de la Caisse commune des pensions du personnel des Nations Unies (la "Caisse"), créée par l</w:t>
      </w:r>
      <w:r>
        <w:t>'</w:t>
      </w:r>
      <w:r w:rsidRPr="00236418">
        <w:t>Assemblée générale des Nations Unies pour assurer aux employés des prestations de retraite, de décès, d</w:t>
      </w:r>
      <w:r>
        <w:t>'</w:t>
      </w:r>
      <w:r w:rsidRPr="00236418">
        <w:t>invalidité et des prestations connexes. La Caisse est un régime multi-employeurs capitalisé à prestations définies. Comme indiqué dans l</w:t>
      </w:r>
      <w:r>
        <w:t>'</w:t>
      </w:r>
      <w:r w:rsidRPr="00236418">
        <w:t>Article 3b) des Statuts de la Caisse, peuvent s</w:t>
      </w:r>
      <w:r>
        <w:t>'</w:t>
      </w:r>
      <w:r w:rsidRPr="00236418">
        <w:t>affilier à la Caisse les institutions spécialisées, ainsi que toute autre organisation intergouvernementale internationale qui applique le régime commun de traitements, indemnités et autres conditions d</w:t>
      </w:r>
      <w:r>
        <w:t>'</w:t>
      </w:r>
      <w:r w:rsidRPr="00236418">
        <w:t>emploi de l</w:t>
      </w:r>
      <w:r>
        <w:t>'</w:t>
      </w:r>
      <w:r w:rsidRPr="00236418">
        <w:t>Organisation des Nations Unies et des institutions spécialisées.</w:t>
      </w:r>
    </w:p>
    <w:p w14:paraId="4EF2A03D" w14:textId="77777777" w:rsidR="00761B6C" w:rsidRPr="00236418" w:rsidRDefault="00761B6C" w:rsidP="00761B6C">
      <w:r w:rsidRPr="00236418">
        <w:lastRenderedPageBreak/>
        <w:t>La Caisse expose les organisations affiliées aux risques actuariels liés aux employés en activité et aux anciens employés d</w:t>
      </w:r>
      <w:r>
        <w:t>'</w:t>
      </w:r>
      <w:r w:rsidRPr="00236418">
        <w:t>autres organisations participant à la Caisse, de sorte qu</w:t>
      </w:r>
      <w:r>
        <w:t>'</w:t>
      </w:r>
      <w:r w:rsidRPr="00236418">
        <w:t>il n</w:t>
      </w:r>
      <w:r>
        <w:t>'</w:t>
      </w:r>
      <w:r w:rsidRPr="00236418">
        <w:t>existe aucune base cohérente et fiable permettant de répartir les engagements, les actifs du régime et les coûts entre les différentes organisations participant à la Caisse. L</w:t>
      </w:r>
      <w:r>
        <w:t>'</w:t>
      </w:r>
      <w:r w:rsidRPr="00236418">
        <w:t>UIT et la Caisse, tout comme les autres organisations affiliées à la Caisse, ne sont pas en mesure de déterminer la quote-part de l</w:t>
      </w:r>
      <w:r>
        <w:t>'</w:t>
      </w:r>
      <w:r w:rsidRPr="00236418">
        <w:t>UIT dans les engagements au titre des prestations définies, les actifs du régime et les coûts associés au régime de façon suffisamment fiable aux fins de comptabilisation. En conséquence, l</w:t>
      </w:r>
      <w:r>
        <w:t>'</w:t>
      </w:r>
      <w:r w:rsidRPr="00236418">
        <w:t>UIT assimile ce régime à un régime à cotisations définies, conformément aux dispositions de la norme IPSAS</w:t>
      </w:r>
      <w:r>
        <w:t> </w:t>
      </w:r>
      <w:r w:rsidRPr="00236418">
        <w:t xml:space="preserve">39 sur </w:t>
      </w:r>
      <w:r w:rsidRPr="00236418">
        <w:rPr>
          <w:color w:val="000000"/>
        </w:rPr>
        <w:t>les avantages du personnel</w:t>
      </w:r>
      <w:r w:rsidRPr="00236418">
        <w:t>. Les cotisations de l</w:t>
      </w:r>
      <w:r>
        <w:t>'</w:t>
      </w:r>
      <w:r w:rsidRPr="00236418">
        <w:t>UIT à la Caisse pendant l</w:t>
      </w:r>
      <w:r>
        <w:t>'</w:t>
      </w:r>
      <w:r w:rsidRPr="00236418">
        <w:t>exercice sont comptabilisées en charges dans l</w:t>
      </w:r>
      <w:r>
        <w:t>'</w:t>
      </w:r>
      <w:r w:rsidRPr="00236418">
        <w:t>état de la performance financière.</w:t>
      </w:r>
    </w:p>
    <w:p w14:paraId="4CFA1D06" w14:textId="77777777" w:rsidR="00761B6C" w:rsidRPr="00236418" w:rsidRDefault="00761B6C" w:rsidP="00761B6C">
      <w:r w:rsidRPr="00236418">
        <w:t>Les Statuts de la Caisse disposent que le Comité mixte fait procéder par l</w:t>
      </w:r>
      <w:r>
        <w:t>'</w:t>
      </w:r>
      <w:r w:rsidRPr="00236418">
        <w:t>actuaire-conseil à une évaluation actuarielle de la Caisse au moins une fois tous les trois ans. En pratique, le Comité mixte fait réaliser une évaluation actuarielle tous les deux ans en utilisant la méthode des agrégats avec entrants. Ces évaluations ont essentiellement pour objectif de déterminer si les actifs actuels et le montant estimatif des actifs futurs de la Caisse seront suffisants pour lui permettre de faire face à ses obligations.</w:t>
      </w:r>
    </w:p>
    <w:p w14:paraId="3238595B" w14:textId="77777777" w:rsidR="00761B6C" w:rsidRPr="00236418" w:rsidRDefault="00761B6C" w:rsidP="00761B6C">
      <w:r w:rsidRPr="00236418">
        <w:t>L</w:t>
      </w:r>
      <w:r>
        <w:t>'</w:t>
      </w:r>
      <w:r w:rsidRPr="00236418">
        <w:t>obligation financière de l</w:t>
      </w:r>
      <w:r>
        <w:t>'</w:t>
      </w:r>
      <w:r w:rsidRPr="00236418">
        <w:t>UIT à l</w:t>
      </w:r>
      <w:r>
        <w:t>'</w:t>
      </w:r>
      <w:r w:rsidRPr="00236418">
        <w:t>égard de la Caisse consiste à verser la cotisation statutaire au taux établi par l</w:t>
      </w:r>
      <w:r>
        <w:t>'</w:t>
      </w:r>
      <w:r w:rsidRPr="00236418">
        <w:t>Assemblée générale des Nations Unies (ce taux est actuellement de 7,9% pour les participants et de 15,8% pour les organisations affiliées), ainsi qu</w:t>
      </w:r>
      <w:r>
        <w:t>'</w:t>
      </w:r>
      <w:r w:rsidRPr="00236418">
        <w:t>une part des paiements qui seraient à faire pour couvrir tout déficit constaté à la suite de l</w:t>
      </w:r>
      <w:r>
        <w:t>'</w:t>
      </w:r>
      <w:r w:rsidRPr="00236418">
        <w:t>évaluation actuarielle conformément à l</w:t>
      </w:r>
      <w:r>
        <w:t>'</w:t>
      </w:r>
      <w:r w:rsidRPr="00236418">
        <w:t>Article 26 des Statuts de la Caisse des pensions. Ces paiements n</w:t>
      </w:r>
      <w:r>
        <w:t>'</w:t>
      </w:r>
      <w:r w:rsidRPr="00236418">
        <w:t>interviennent que si et dans le cas où l</w:t>
      </w:r>
      <w:r>
        <w:t>'</w:t>
      </w:r>
      <w:r w:rsidRPr="00236418">
        <w:t>Assemblée générale des Nations Unies invoque les dispositions de l</w:t>
      </w:r>
      <w:r>
        <w:t>'</w:t>
      </w:r>
      <w:r w:rsidRPr="00236418">
        <w:t>Article 26, après avoir déterminé que les avoirs de la Caisse ne sont pas suffisants pour couvrir ses engagements à la date de l</w:t>
      </w:r>
      <w:r>
        <w:t>'</w:t>
      </w:r>
      <w:r w:rsidRPr="00236418">
        <w:t>évaluation. Pour couvrir ce déficit, chaque organisation affiliée doit apporter un montant proportionnel au total des contributions qu</w:t>
      </w:r>
      <w:r>
        <w:t>'</w:t>
      </w:r>
      <w:r w:rsidRPr="00236418">
        <w:t>elle a versées au cours des trois années précédant la date de l</w:t>
      </w:r>
      <w:r>
        <w:t>'</w:t>
      </w:r>
      <w:r w:rsidRPr="00236418">
        <w:t>évaluation.</w:t>
      </w:r>
    </w:p>
    <w:p w14:paraId="36C8BA4C" w14:textId="35099BFC" w:rsidR="00761B6C" w:rsidRPr="00236418" w:rsidRDefault="00761B6C" w:rsidP="00761B6C">
      <w:r w:rsidRPr="00236418">
        <w:t>L</w:t>
      </w:r>
      <w:r>
        <w:t>'</w:t>
      </w:r>
      <w:r w:rsidRPr="00236418">
        <w:t>évaluation actuarielle de la Caisse la plus récente a été arrêtée au 31 décembre 201</w:t>
      </w:r>
      <w:r>
        <w:t>9</w:t>
      </w:r>
      <w:r w:rsidRPr="00236418">
        <w:t xml:space="preserve"> et </w:t>
      </w:r>
      <w:r>
        <w:t>l</w:t>
      </w:r>
      <w:r w:rsidRPr="00236418">
        <w:t>a Caisse</w:t>
      </w:r>
      <w:r w:rsidR="00403E7A">
        <w:t> </w:t>
      </w:r>
      <w:r>
        <w:t xml:space="preserve">utilisera </w:t>
      </w:r>
      <w:r w:rsidRPr="00236418">
        <w:t>les données relatives à la participation au 31 décembre 201</w:t>
      </w:r>
      <w:r>
        <w:t>9</w:t>
      </w:r>
      <w:r w:rsidR="00403E7A">
        <w:t xml:space="preserve"> plutôt que celles au </w:t>
      </w:r>
      <w:r w:rsidRPr="00236418">
        <w:t>31</w:t>
      </w:r>
      <w:r>
        <w:t> </w:t>
      </w:r>
      <w:r w:rsidRPr="00236418">
        <w:t>décembre 20</w:t>
      </w:r>
      <w:r>
        <w:t>20</w:t>
      </w:r>
      <w:r w:rsidRPr="00236418">
        <w:t xml:space="preserve"> pour établir les états financiers de 20</w:t>
      </w:r>
      <w:r>
        <w:t>20</w:t>
      </w:r>
      <w:r w:rsidRPr="00236418">
        <w:t>.</w:t>
      </w:r>
    </w:p>
    <w:p w14:paraId="4D9FBEF7" w14:textId="77777777" w:rsidR="00761B6C" w:rsidRPr="00236418" w:rsidRDefault="00761B6C" w:rsidP="00761B6C">
      <w:r w:rsidRPr="00236418">
        <w:t>L</w:t>
      </w:r>
      <w:r>
        <w:t>'</w:t>
      </w:r>
      <w:r w:rsidRPr="00236418">
        <w:t>évaluation actuarielle arrêtée au 31 décembre 201</w:t>
      </w:r>
      <w:r>
        <w:t>9</w:t>
      </w:r>
      <w:r w:rsidRPr="00236418">
        <w:t xml:space="preserve"> a eu pour résultat un taux de couverture des passifs par les actifs de </w:t>
      </w:r>
      <w:r>
        <w:t>144,2% (</w:t>
      </w:r>
      <w:r w:rsidRPr="00236418">
        <w:t>139,2%</w:t>
      </w:r>
      <w:r>
        <w:t xml:space="preserve"> dans le cadre de l'évaluation pour 2017)</w:t>
      </w:r>
      <w:r w:rsidRPr="00236418">
        <w:t>, dans l</w:t>
      </w:r>
      <w:r>
        <w:t>'</w:t>
      </w:r>
      <w:r w:rsidRPr="00236418">
        <w:t xml:space="preserve">hypothèse </w:t>
      </w:r>
      <w:r>
        <w:t>de l'absence d'</w:t>
      </w:r>
      <w:r w:rsidRPr="00236418">
        <w:t>ajustement futur des pensions. Ce taux était de </w:t>
      </w:r>
      <w:r>
        <w:t>107,1% (</w:t>
      </w:r>
      <w:r w:rsidRPr="00236418">
        <w:t>102,7%</w:t>
      </w:r>
      <w:r>
        <w:t xml:space="preserve"> dans le cadre de l'évaluation pour 2017)</w:t>
      </w:r>
      <w:r w:rsidRPr="00236418">
        <w:t xml:space="preserve"> en tenant compte du système actuel d</w:t>
      </w:r>
      <w:r>
        <w:t>'</w:t>
      </w:r>
      <w:r w:rsidRPr="00236418">
        <w:t>ajustement des pensions.</w:t>
      </w:r>
    </w:p>
    <w:p w14:paraId="046DDCE8" w14:textId="77777777" w:rsidR="00761B6C" w:rsidRPr="00236418" w:rsidRDefault="00761B6C" w:rsidP="00761B6C">
      <w:r w:rsidRPr="00236418">
        <w:t>Après avoir évalué l</w:t>
      </w:r>
      <w:r>
        <w:t>'</w:t>
      </w:r>
      <w:r w:rsidRPr="00236418">
        <w:t>équilibre actuariel de la Caisse des pensions au regard de ses obligations, l</w:t>
      </w:r>
      <w:r>
        <w:t>'</w:t>
      </w:r>
      <w:r w:rsidRPr="00236418">
        <w:t>actuaire-conseil a conclu qu</w:t>
      </w:r>
      <w:r>
        <w:t>'</w:t>
      </w:r>
      <w:r w:rsidRPr="00236418">
        <w:t>au 31 décembre 201</w:t>
      </w:r>
      <w:r>
        <w:t>9</w:t>
      </w:r>
      <w:r w:rsidRPr="00236418">
        <w:t xml:space="preserve"> une couverture des déficits au titre de l</w:t>
      </w:r>
      <w:r>
        <w:t>'</w:t>
      </w:r>
      <w:r w:rsidRPr="00236418">
        <w:t>Article 26 des Statuts de la Caisse n</w:t>
      </w:r>
      <w:r>
        <w:t>'</w:t>
      </w:r>
      <w:r w:rsidRPr="00236418">
        <w:t>était pas nécessaire étant donné que la valeur actuarielle de l</w:t>
      </w:r>
      <w:r>
        <w:t>'</w:t>
      </w:r>
      <w:r w:rsidRPr="00236418">
        <w:t>actif excédait la valeur actuarielle de toutes les charges à payer dans le cadre du plan. En outre, la valeur de marché des actifs excédait également la valeur actuarielle de tous les passifs cumulés à la date de l</w:t>
      </w:r>
      <w:r>
        <w:t>'</w:t>
      </w:r>
      <w:r w:rsidRPr="00236418">
        <w:t>évaluation. Au moment de l</w:t>
      </w:r>
      <w:r>
        <w:t>'</w:t>
      </w:r>
      <w:r w:rsidRPr="00236418">
        <w:t>établissement du présent rapport, l</w:t>
      </w:r>
      <w:r>
        <w:t>'</w:t>
      </w:r>
      <w:r w:rsidRPr="00236418">
        <w:t>Assemblée générale des Nations Unies n</w:t>
      </w:r>
      <w:r>
        <w:t>'</w:t>
      </w:r>
      <w:r w:rsidRPr="00236418">
        <w:t>avait pas invoqué les dispositions de l</w:t>
      </w:r>
      <w:r>
        <w:t>'</w:t>
      </w:r>
      <w:r w:rsidRPr="00236418">
        <w:t>Article 26.</w:t>
      </w:r>
    </w:p>
    <w:p w14:paraId="4530602D" w14:textId="77777777" w:rsidR="00403E7A" w:rsidRDefault="00761B6C" w:rsidP="00761B6C">
      <w:r w:rsidRPr="00236418">
        <w:t>Si l</w:t>
      </w:r>
      <w:r>
        <w:t>'</w:t>
      </w:r>
      <w:r w:rsidRPr="00236418">
        <w:t>Article 26 devait être invoqué en raison d</w:t>
      </w:r>
      <w:r>
        <w:t>'</w:t>
      </w:r>
      <w:r w:rsidRPr="00236418">
        <w:t>un déficit constaté à la suite de l</w:t>
      </w:r>
      <w:r>
        <w:t>'</w:t>
      </w:r>
      <w:r w:rsidRPr="00236418">
        <w:t>évaluation actuarielle, soit au cours de l</w:t>
      </w:r>
      <w:r>
        <w:t>'</w:t>
      </w:r>
      <w:r w:rsidRPr="00236418">
        <w:t xml:space="preserve">opération en cours soit en raison de la fin de la Caisse, les paiements exigés de chaque organisation membre pour couvrir le déficit seraient définis en fonction de la </w:t>
      </w:r>
      <w:r w:rsidR="00403E7A">
        <w:br w:type="page"/>
      </w:r>
    </w:p>
    <w:p w14:paraId="05C0553A" w14:textId="535D8126" w:rsidR="00761B6C" w:rsidRPr="00236418" w:rsidRDefault="00761B6C" w:rsidP="00761B6C">
      <w:r w:rsidRPr="00236418">
        <w:lastRenderedPageBreak/>
        <w:t>part des cotisations de ces organisations par rapport aux cotisations totales versées à la CCPPNU au cours des trois années précédant la date de l</w:t>
      </w:r>
      <w:r>
        <w:t>'</w:t>
      </w:r>
      <w:r w:rsidRPr="00236418">
        <w:t>évaluation. Le montant total des cotisations versées à la Caisse au cours des trois dernières années (2017</w:t>
      </w:r>
      <w:r>
        <w:t xml:space="preserve">, </w:t>
      </w:r>
      <w:r w:rsidRPr="00236418">
        <w:t>2018</w:t>
      </w:r>
      <w:r>
        <w:t xml:space="preserve"> et 2019</w:t>
      </w:r>
      <w:r w:rsidRPr="00236418">
        <w:t>) s</w:t>
      </w:r>
      <w:r>
        <w:t>'</w:t>
      </w:r>
      <w:r w:rsidRPr="00236418">
        <w:t>élève à</w:t>
      </w:r>
      <w:r>
        <w:t> </w:t>
      </w:r>
      <w:r w:rsidRPr="00236418">
        <w:t>7 </w:t>
      </w:r>
      <w:r>
        <w:t>546</w:t>
      </w:r>
      <w:r w:rsidRPr="00236418">
        <w:t>,</w:t>
      </w:r>
      <w:r>
        <w:t>92</w:t>
      </w:r>
      <w:r w:rsidRPr="00236418">
        <w:t> millions USD, auquel l</w:t>
      </w:r>
      <w:r>
        <w:t>'</w:t>
      </w:r>
      <w:r w:rsidRPr="00236418">
        <w:t>UIT a contribué à hauteur de 0,35%.</w:t>
      </w:r>
    </w:p>
    <w:p w14:paraId="3E92343D" w14:textId="77777777" w:rsidR="00761B6C" w:rsidRPr="00236418" w:rsidRDefault="00761B6C" w:rsidP="00761B6C">
      <w:r w:rsidRPr="00236418">
        <w:t>Au cours de l</w:t>
      </w:r>
      <w:r>
        <w:t>'</w:t>
      </w:r>
      <w:r w:rsidRPr="00236418">
        <w:t>année 20</w:t>
      </w:r>
      <w:r>
        <w:t>20</w:t>
      </w:r>
      <w:r w:rsidRPr="00236418">
        <w:t xml:space="preserve">, les contributions versées à la Caisse se sont élevées à </w:t>
      </w:r>
      <w:r>
        <w:t xml:space="preserve">26,72 millions USD (contre </w:t>
      </w:r>
      <w:r w:rsidRPr="00236418">
        <w:t xml:space="preserve">25,1 millions USD </w:t>
      </w:r>
      <w:r>
        <w:t>en 2019</w:t>
      </w:r>
      <w:r w:rsidRPr="00236418">
        <w:t>). Le montant des cotisations dues en 202</w:t>
      </w:r>
      <w:r>
        <w:t>1</w:t>
      </w:r>
      <w:r w:rsidRPr="00236418">
        <w:t xml:space="preserve"> devrait être d</w:t>
      </w:r>
      <w:r>
        <w:t>'</w:t>
      </w:r>
      <w:r w:rsidRPr="00236418">
        <w:t>environ 2</w:t>
      </w:r>
      <w:r>
        <w:t>7</w:t>
      </w:r>
      <w:r w:rsidRPr="00236418">
        <w:t> millions USD.</w:t>
      </w:r>
    </w:p>
    <w:p w14:paraId="09EADB69" w14:textId="77777777" w:rsidR="00761B6C" w:rsidRPr="00236418" w:rsidRDefault="00761B6C" w:rsidP="00761B6C">
      <w:r w:rsidRPr="00236418">
        <w:t>L</w:t>
      </w:r>
      <w:r>
        <w:t>'</w:t>
      </w:r>
      <w:r w:rsidRPr="00236418">
        <w:t>affiliation à la Caisse peut être résiliée sur décision de l</w:t>
      </w:r>
      <w:r>
        <w:t>'</w:t>
      </w:r>
      <w:r w:rsidRPr="00236418">
        <w:t>Assemblée générale des Nations Unies, sur recommandation affirmative du Comité mixte. Une part proportionnelle du total des actifs de la Caisse à la date de résiliation de l</w:t>
      </w:r>
      <w:r>
        <w:t>'</w:t>
      </w:r>
      <w:r w:rsidRPr="00236418">
        <w:t>affiliation devra être versée à l</w:t>
      </w:r>
      <w:r>
        <w:t>'</w:t>
      </w:r>
      <w:r w:rsidRPr="00236418">
        <w:t>ancienne organisation membre, au bénéfice exclusif des membres de son personnel qui étaient affiliés à la Caisse à cette date, conformément à un accord conclu entre l</w:t>
      </w:r>
      <w:r>
        <w:t>'</w:t>
      </w:r>
      <w:r w:rsidRPr="00236418">
        <w:t>organisation et la Caisse. Le montant est défini par le Comité mixte de la CCPPNU à partir d</w:t>
      </w:r>
      <w:r>
        <w:t>'</w:t>
      </w:r>
      <w:r w:rsidRPr="00236418">
        <w:t>une évaluation actuarielle des actifs et des passifs de la Caisse à la date de résiliation de l</w:t>
      </w:r>
      <w:r>
        <w:t>'</w:t>
      </w:r>
      <w:r w:rsidRPr="00236418">
        <w:t>affiliation; l</w:t>
      </w:r>
      <w:r>
        <w:t>'</w:t>
      </w:r>
      <w:r w:rsidRPr="00236418">
        <w:t>établissement de ce montant ne tient pas compte des actifs en excès par rapport au passif.</w:t>
      </w:r>
    </w:p>
    <w:p w14:paraId="11EFF70E" w14:textId="77777777" w:rsidR="00761B6C" w:rsidRPr="00236418" w:rsidRDefault="00761B6C" w:rsidP="00761B6C">
      <w:pPr>
        <w:keepNext/>
        <w:keepLines/>
      </w:pPr>
      <w:r w:rsidRPr="00236418">
        <w:t>Le Comité des commissaires aux comptes de l</w:t>
      </w:r>
      <w:r>
        <w:t>'</w:t>
      </w:r>
      <w:r w:rsidRPr="00236418">
        <w:t>ONU procède à un audit annuel de la Caisse et rend compte chaque année de ses travaux au Comité mixte de la Caisse commune des pensions et à l</w:t>
      </w:r>
      <w:r>
        <w:t>'</w:t>
      </w:r>
      <w:r w:rsidRPr="00236418">
        <w:t>Assemblée générale des Nations Unies. La Caisse publie des rapports trimestriels sur ses placements, qui peuvent être consultés à l</w:t>
      </w:r>
      <w:r>
        <w:t>'</w:t>
      </w:r>
      <w:r w:rsidRPr="00236418">
        <w:t xml:space="preserve">adresse </w:t>
      </w:r>
      <w:hyperlink r:id="rId41" w:history="1">
        <w:r w:rsidRPr="00236418">
          <w:rPr>
            <w:rFonts w:eastAsia="Calibri"/>
            <w:color w:val="0000FF"/>
            <w:u w:val="single"/>
          </w:rPr>
          <w:t>www.unjspf.org</w:t>
        </w:r>
      </w:hyperlink>
      <w:r w:rsidRPr="00236418">
        <w:t>.</w:t>
      </w:r>
    </w:p>
    <w:p w14:paraId="3DE5987F" w14:textId="77777777" w:rsidR="00761B6C" w:rsidRPr="00236418" w:rsidRDefault="00761B6C" w:rsidP="00761B6C">
      <w:r w:rsidRPr="00236418">
        <w:t>Les chiffres ci-dessous sont tirés des dossiers et de la comptabilité de l</w:t>
      </w:r>
      <w:r>
        <w:t>'</w:t>
      </w:r>
      <w:r w:rsidRPr="00236418">
        <w:t>Union.</w:t>
      </w:r>
    </w:p>
    <w:p w14:paraId="2C1813C2" w14:textId="77777777" w:rsidR="00761B6C" w:rsidRPr="00236418" w:rsidRDefault="00761B6C" w:rsidP="00761B6C">
      <w:pPr>
        <w:pStyle w:val="Tabletitle"/>
        <w:keepLines/>
        <w:spacing w:before="360" w:after="40"/>
        <w:rPr>
          <w:rFonts w:cs="Times New Roman Bold"/>
        </w:rPr>
      </w:pPr>
      <w:r w:rsidRPr="00236418">
        <w:t>État au 31 décembre 20</w:t>
      </w:r>
      <w:r>
        <w:t>20</w:t>
      </w:r>
    </w:p>
    <w:p w14:paraId="32BAC83A" w14:textId="77777777" w:rsidR="00761B6C" w:rsidRPr="00236418" w:rsidRDefault="00761B6C" w:rsidP="00761B6C">
      <w:pPr>
        <w:pStyle w:val="Tabletitle"/>
        <w:keepLines/>
        <w:spacing w:after="240"/>
        <w:rPr>
          <w:szCs w:val="24"/>
        </w:rPr>
      </w:pPr>
      <w:r w:rsidRPr="00236418">
        <w:rPr>
          <w:color w:val="000000"/>
          <w:szCs w:val="24"/>
        </w:rPr>
        <w:t>Nombre d</w:t>
      </w:r>
      <w:r>
        <w:rPr>
          <w:color w:val="000000"/>
          <w:szCs w:val="24"/>
        </w:rPr>
        <w:t>'</w:t>
      </w:r>
      <w:r w:rsidRPr="00236418">
        <w:rPr>
          <w:color w:val="000000"/>
          <w:szCs w:val="24"/>
        </w:rPr>
        <w:t>affiliés au 31 décembre 20</w:t>
      </w:r>
      <w:r>
        <w:rPr>
          <w:color w:val="000000"/>
          <w:szCs w:val="24"/>
        </w:rPr>
        <w:t>20</w:t>
      </w:r>
    </w:p>
    <w:tbl>
      <w:tblPr>
        <w:tblW w:w="5000" w:type="pct"/>
        <w:jc w:val="center"/>
        <w:tblLook w:val="04A0" w:firstRow="1" w:lastRow="0" w:firstColumn="1" w:lastColumn="0" w:noHBand="0" w:noVBand="1"/>
        <w:tblCaption w:val="Etat au 31 décembre 2015 Nombre de participants au 31 décembre 2015"/>
      </w:tblPr>
      <w:tblGrid>
        <w:gridCol w:w="1608"/>
        <w:gridCol w:w="1603"/>
        <w:gridCol w:w="1603"/>
        <w:gridCol w:w="1605"/>
        <w:gridCol w:w="1603"/>
        <w:gridCol w:w="1601"/>
      </w:tblGrid>
      <w:tr w:rsidR="00761B6C" w:rsidRPr="00236418" w14:paraId="18D9644C" w14:textId="77777777" w:rsidTr="00761B6C">
        <w:trPr>
          <w:cantSplit/>
          <w:jc w:val="center"/>
        </w:trPr>
        <w:tc>
          <w:tcPr>
            <w:tcW w:w="835" w:type="pct"/>
            <w:vMerge w:val="restart"/>
            <w:tcBorders>
              <w:top w:val="single" w:sz="6" w:space="0" w:color="auto"/>
              <w:left w:val="single" w:sz="6" w:space="0" w:color="auto"/>
              <w:right w:val="single" w:sz="6" w:space="0" w:color="auto"/>
            </w:tcBorders>
            <w:vAlign w:val="center"/>
            <w:hideMark/>
          </w:tcPr>
          <w:p w14:paraId="42A02F3D" w14:textId="77777777" w:rsidR="00761B6C" w:rsidRPr="00236418" w:rsidRDefault="00761B6C" w:rsidP="00761B6C">
            <w:pPr>
              <w:pStyle w:val="Tablehead"/>
              <w:keepNext/>
              <w:keepLines/>
              <w:spacing w:before="20" w:after="20"/>
              <w:rPr>
                <w:szCs w:val="22"/>
              </w:rPr>
            </w:pPr>
            <w:r w:rsidRPr="00236418">
              <w:rPr>
                <w:szCs w:val="22"/>
              </w:rPr>
              <w:t>Nombre d</w:t>
            </w:r>
            <w:r>
              <w:rPr>
                <w:szCs w:val="22"/>
              </w:rPr>
              <w:t>'</w:t>
            </w:r>
            <w:r w:rsidRPr="00236418">
              <w:rPr>
                <w:szCs w:val="22"/>
              </w:rPr>
              <w:t>affiliés au 31.12.20</w:t>
            </w:r>
            <w:r>
              <w:rPr>
                <w:szCs w:val="22"/>
              </w:rPr>
              <w:t>19</w:t>
            </w:r>
          </w:p>
        </w:tc>
        <w:tc>
          <w:tcPr>
            <w:tcW w:w="833" w:type="pct"/>
            <w:vMerge w:val="restart"/>
            <w:tcBorders>
              <w:top w:val="single" w:sz="6" w:space="0" w:color="auto"/>
              <w:left w:val="single" w:sz="6" w:space="0" w:color="auto"/>
              <w:right w:val="single" w:sz="6" w:space="0" w:color="auto"/>
            </w:tcBorders>
            <w:vAlign w:val="center"/>
            <w:hideMark/>
          </w:tcPr>
          <w:p w14:paraId="16410CA8" w14:textId="77777777" w:rsidR="00761B6C" w:rsidRPr="00236418" w:rsidRDefault="00761B6C" w:rsidP="00761B6C">
            <w:pPr>
              <w:pStyle w:val="Tablehead"/>
              <w:keepNext/>
              <w:keepLines/>
              <w:spacing w:before="20" w:after="20"/>
              <w:rPr>
                <w:szCs w:val="22"/>
              </w:rPr>
            </w:pPr>
            <w:r w:rsidRPr="00236418">
              <w:rPr>
                <w:szCs w:val="22"/>
              </w:rPr>
              <w:t>Nouveaux affiliés</w:t>
            </w:r>
          </w:p>
        </w:tc>
        <w:tc>
          <w:tcPr>
            <w:tcW w:w="1667" w:type="pct"/>
            <w:gridSpan w:val="2"/>
            <w:tcBorders>
              <w:top w:val="single" w:sz="6" w:space="0" w:color="auto"/>
              <w:left w:val="single" w:sz="6" w:space="0" w:color="auto"/>
              <w:bottom w:val="single" w:sz="6" w:space="0" w:color="auto"/>
              <w:right w:val="single" w:sz="6" w:space="0" w:color="auto"/>
            </w:tcBorders>
            <w:vAlign w:val="center"/>
            <w:hideMark/>
          </w:tcPr>
          <w:p w14:paraId="588F462C" w14:textId="77777777" w:rsidR="00761B6C" w:rsidRPr="00236418" w:rsidRDefault="00761B6C" w:rsidP="00761B6C">
            <w:pPr>
              <w:pStyle w:val="Tablehead"/>
              <w:keepNext/>
              <w:keepLines/>
              <w:spacing w:before="20" w:after="20"/>
              <w:rPr>
                <w:szCs w:val="22"/>
              </w:rPr>
            </w:pPr>
            <w:r w:rsidRPr="00236418">
              <w:rPr>
                <w:szCs w:val="22"/>
              </w:rPr>
              <w:t>Mutations</w:t>
            </w:r>
          </w:p>
        </w:tc>
        <w:tc>
          <w:tcPr>
            <w:tcW w:w="833" w:type="pct"/>
            <w:vMerge w:val="restart"/>
            <w:tcBorders>
              <w:top w:val="single" w:sz="6" w:space="0" w:color="auto"/>
              <w:left w:val="single" w:sz="6" w:space="0" w:color="auto"/>
              <w:right w:val="single" w:sz="6" w:space="0" w:color="auto"/>
            </w:tcBorders>
            <w:vAlign w:val="center"/>
          </w:tcPr>
          <w:p w14:paraId="0B83E838" w14:textId="77777777" w:rsidR="00761B6C" w:rsidRPr="00236418" w:rsidRDefault="00761B6C" w:rsidP="00761B6C">
            <w:pPr>
              <w:pStyle w:val="Tablehead"/>
              <w:keepNext/>
              <w:keepLines/>
              <w:spacing w:before="20" w:after="20"/>
              <w:rPr>
                <w:szCs w:val="22"/>
              </w:rPr>
            </w:pPr>
            <w:r w:rsidRPr="00236418">
              <w:rPr>
                <w:szCs w:val="22"/>
              </w:rPr>
              <w:t>Cessation d</w:t>
            </w:r>
            <w:r>
              <w:rPr>
                <w:szCs w:val="22"/>
              </w:rPr>
              <w:t>'</w:t>
            </w:r>
            <w:r w:rsidRPr="00236418">
              <w:rPr>
                <w:szCs w:val="22"/>
              </w:rPr>
              <w:t>activité</w:t>
            </w:r>
          </w:p>
        </w:tc>
        <w:tc>
          <w:tcPr>
            <w:tcW w:w="832" w:type="pct"/>
            <w:vMerge w:val="restart"/>
            <w:tcBorders>
              <w:top w:val="single" w:sz="6" w:space="0" w:color="auto"/>
              <w:left w:val="single" w:sz="6" w:space="0" w:color="auto"/>
              <w:right w:val="single" w:sz="6" w:space="0" w:color="auto"/>
            </w:tcBorders>
            <w:vAlign w:val="center"/>
            <w:hideMark/>
          </w:tcPr>
          <w:p w14:paraId="5E7064D7" w14:textId="77777777" w:rsidR="00761B6C" w:rsidRPr="00236418" w:rsidRDefault="00761B6C" w:rsidP="00761B6C">
            <w:pPr>
              <w:pStyle w:val="Tablehead"/>
              <w:keepNext/>
              <w:keepLines/>
              <w:spacing w:before="20" w:after="20"/>
              <w:rPr>
                <w:szCs w:val="22"/>
              </w:rPr>
            </w:pPr>
            <w:r w:rsidRPr="00236418">
              <w:rPr>
                <w:szCs w:val="22"/>
              </w:rPr>
              <w:t>Participants affiliés</w:t>
            </w:r>
            <w:r w:rsidRPr="00236418">
              <w:rPr>
                <w:szCs w:val="22"/>
              </w:rPr>
              <w:br/>
              <w:t>au 31.12.20</w:t>
            </w:r>
            <w:r>
              <w:rPr>
                <w:szCs w:val="22"/>
              </w:rPr>
              <w:t>20</w:t>
            </w:r>
          </w:p>
        </w:tc>
      </w:tr>
      <w:tr w:rsidR="00761B6C" w:rsidRPr="00236418" w14:paraId="41E25BF3" w14:textId="77777777" w:rsidTr="00761B6C">
        <w:trPr>
          <w:cantSplit/>
          <w:jc w:val="center"/>
        </w:trPr>
        <w:tc>
          <w:tcPr>
            <w:tcW w:w="835" w:type="pct"/>
            <w:vMerge/>
            <w:tcBorders>
              <w:left w:val="single" w:sz="6" w:space="0" w:color="auto"/>
              <w:bottom w:val="single" w:sz="6" w:space="0" w:color="auto"/>
              <w:right w:val="single" w:sz="6" w:space="0" w:color="auto"/>
            </w:tcBorders>
            <w:vAlign w:val="center"/>
            <w:hideMark/>
          </w:tcPr>
          <w:p w14:paraId="66E9896E" w14:textId="77777777" w:rsidR="00761B6C" w:rsidRPr="00236418" w:rsidRDefault="00761B6C" w:rsidP="00761B6C">
            <w:pPr>
              <w:pStyle w:val="Tablehead"/>
              <w:keepNext/>
              <w:keepLines/>
              <w:rPr>
                <w:szCs w:val="22"/>
              </w:rPr>
            </w:pPr>
          </w:p>
        </w:tc>
        <w:tc>
          <w:tcPr>
            <w:tcW w:w="833" w:type="pct"/>
            <w:vMerge/>
            <w:tcBorders>
              <w:left w:val="single" w:sz="6" w:space="0" w:color="auto"/>
              <w:bottom w:val="single" w:sz="6" w:space="0" w:color="auto"/>
              <w:right w:val="single" w:sz="6" w:space="0" w:color="auto"/>
            </w:tcBorders>
            <w:vAlign w:val="center"/>
          </w:tcPr>
          <w:p w14:paraId="284A284A" w14:textId="77777777" w:rsidR="00761B6C" w:rsidRPr="00236418" w:rsidRDefault="00761B6C" w:rsidP="00761B6C">
            <w:pPr>
              <w:pStyle w:val="Tablehead"/>
              <w:keepNext/>
              <w:keepLines/>
              <w:rPr>
                <w:szCs w:val="22"/>
              </w:rPr>
            </w:pPr>
          </w:p>
        </w:tc>
        <w:tc>
          <w:tcPr>
            <w:tcW w:w="833" w:type="pct"/>
            <w:tcBorders>
              <w:top w:val="single" w:sz="6" w:space="0" w:color="auto"/>
              <w:left w:val="single" w:sz="6" w:space="0" w:color="auto"/>
              <w:bottom w:val="single" w:sz="6" w:space="0" w:color="auto"/>
              <w:right w:val="single" w:sz="6" w:space="0" w:color="auto"/>
            </w:tcBorders>
            <w:vAlign w:val="center"/>
            <w:hideMark/>
          </w:tcPr>
          <w:p w14:paraId="3FF864DE" w14:textId="77777777" w:rsidR="00761B6C" w:rsidRPr="00236418" w:rsidRDefault="00761B6C" w:rsidP="00761B6C">
            <w:pPr>
              <w:pStyle w:val="Tablehead"/>
              <w:keepNext/>
              <w:keepLines/>
              <w:spacing w:before="20" w:after="20"/>
              <w:rPr>
                <w:szCs w:val="22"/>
              </w:rPr>
            </w:pPr>
            <w:r w:rsidRPr="00236418">
              <w:rPr>
                <w:szCs w:val="22"/>
              </w:rPr>
              <w:t>À l</w:t>
            </w:r>
            <w:r>
              <w:rPr>
                <w:szCs w:val="22"/>
              </w:rPr>
              <w:t>'</w:t>
            </w:r>
            <w:r w:rsidRPr="00236418">
              <w:rPr>
                <w:szCs w:val="22"/>
              </w:rPr>
              <w:t>UIT</w:t>
            </w:r>
          </w:p>
        </w:tc>
        <w:tc>
          <w:tcPr>
            <w:tcW w:w="834" w:type="pct"/>
            <w:tcBorders>
              <w:top w:val="single" w:sz="6" w:space="0" w:color="auto"/>
              <w:left w:val="single" w:sz="6" w:space="0" w:color="auto"/>
              <w:bottom w:val="single" w:sz="6" w:space="0" w:color="auto"/>
              <w:right w:val="single" w:sz="6" w:space="0" w:color="auto"/>
            </w:tcBorders>
            <w:vAlign w:val="center"/>
            <w:hideMark/>
          </w:tcPr>
          <w:p w14:paraId="37426527" w14:textId="77777777" w:rsidR="00761B6C" w:rsidRPr="00236418" w:rsidRDefault="00761B6C" w:rsidP="00761B6C">
            <w:pPr>
              <w:pStyle w:val="Tablehead"/>
              <w:keepNext/>
              <w:keepLines/>
              <w:spacing w:before="20" w:after="20"/>
              <w:rPr>
                <w:szCs w:val="22"/>
              </w:rPr>
            </w:pPr>
            <w:r w:rsidRPr="00236418">
              <w:rPr>
                <w:szCs w:val="22"/>
              </w:rPr>
              <w:t>À une autre organisation</w:t>
            </w:r>
          </w:p>
        </w:tc>
        <w:tc>
          <w:tcPr>
            <w:tcW w:w="833" w:type="pct"/>
            <w:vMerge/>
            <w:tcBorders>
              <w:left w:val="single" w:sz="6" w:space="0" w:color="auto"/>
              <w:bottom w:val="single" w:sz="6" w:space="0" w:color="auto"/>
              <w:right w:val="single" w:sz="6" w:space="0" w:color="auto"/>
            </w:tcBorders>
            <w:hideMark/>
          </w:tcPr>
          <w:p w14:paraId="092F4E1B" w14:textId="77777777" w:rsidR="00761B6C" w:rsidRPr="00236418" w:rsidRDefault="00761B6C" w:rsidP="00761B6C">
            <w:pPr>
              <w:pStyle w:val="Tablehead"/>
              <w:keepNext/>
              <w:keepLines/>
              <w:rPr>
                <w:szCs w:val="22"/>
              </w:rPr>
            </w:pPr>
          </w:p>
        </w:tc>
        <w:tc>
          <w:tcPr>
            <w:tcW w:w="832" w:type="pct"/>
            <w:vMerge/>
            <w:tcBorders>
              <w:left w:val="single" w:sz="6" w:space="0" w:color="auto"/>
              <w:bottom w:val="single" w:sz="6" w:space="0" w:color="auto"/>
              <w:right w:val="single" w:sz="6" w:space="0" w:color="auto"/>
            </w:tcBorders>
            <w:hideMark/>
          </w:tcPr>
          <w:p w14:paraId="76D4197A" w14:textId="77777777" w:rsidR="00761B6C" w:rsidRPr="00236418" w:rsidRDefault="00761B6C" w:rsidP="00761B6C">
            <w:pPr>
              <w:pStyle w:val="Tablehead"/>
              <w:keepNext/>
              <w:keepLines/>
              <w:rPr>
                <w:szCs w:val="22"/>
              </w:rPr>
            </w:pPr>
          </w:p>
        </w:tc>
      </w:tr>
      <w:tr w:rsidR="00761B6C" w:rsidRPr="00236418" w14:paraId="23416432" w14:textId="77777777" w:rsidTr="00761B6C">
        <w:trPr>
          <w:cantSplit/>
          <w:jc w:val="center"/>
        </w:trPr>
        <w:tc>
          <w:tcPr>
            <w:tcW w:w="835" w:type="pct"/>
            <w:tcBorders>
              <w:top w:val="single" w:sz="6" w:space="0" w:color="auto"/>
              <w:left w:val="single" w:sz="6" w:space="0" w:color="auto"/>
              <w:bottom w:val="single" w:sz="6" w:space="0" w:color="auto"/>
              <w:right w:val="single" w:sz="6" w:space="0" w:color="auto"/>
            </w:tcBorders>
            <w:vAlign w:val="center"/>
          </w:tcPr>
          <w:p w14:paraId="23EE5238" w14:textId="77777777" w:rsidR="00761B6C" w:rsidRPr="00236418" w:rsidRDefault="00761B6C" w:rsidP="00761B6C">
            <w:pPr>
              <w:pStyle w:val="TableText0"/>
              <w:keepNext/>
              <w:keepLines/>
              <w:jc w:val="center"/>
              <w:rPr>
                <w:rFonts w:ascii="Calibri" w:hAnsi="Calibri"/>
                <w:szCs w:val="22"/>
              </w:rPr>
            </w:pPr>
            <w:r>
              <w:rPr>
                <w:rFonts w:ascii="Calibri" w:hAnsi="Calibri"/>
                <w:szCs w:val="22"/>
                <w:lang w:val="en-US"/>
              </w:rPr>
              <w:t>715</w:t>
            </w:r>
          </w:p>
        </w:tc>
        <w:tc>
          <w:tcPr>
            <w:tcW w:w="833" w:type="pct"/>
            <w:tcBorders>
              <w:top w:val="single" w:sz="6" w:space="0" w:color="auto"/>
              <w:left w:val="single" w:sz="6" w:space="0" w:color="auto"/>
              <w:bottom w:val="single" w:sz="6" w:space="0" w:color="auto"/>
              <w:right w:val="single" w:sz="6" w:space="0" w:color="auto"/>
            </w:tcBorders>
            <w:vAlign w:val="center"/>
          </w:tcPr>
          <w:p w14:paraId="08D4F920" w14:textId="77777777" w:rsidR="00761B6C" w:rsidRPr="00236418" w:rsidRDefault="00761B6C" w:rsidP="00761B6C">
            <w:pPr>
              <w:pStyle w:val="TableText0"/>
              <w:keepNext/>
              <w:keepLines/>
              <w:jc w:val="center"/>
              <w:rPr>
                <w:rFonts w:ascii="Calibri" w:hAnsi="Calibri"/>
                <w:szCs w:val="22"/>
              </w:rPr>
            </w:pPr>
            <w:r>
              <w:rPr>
                <w:rFonts w:ascii="Calibri" w:hAnsi="Calibri"/>
                <w:szCs w:val="22"/>
                <w:lang w:val="en-US"/>
              </w:rPr>
              <w:t>51</w:t>
            </w:r>
          </w:p>
        </w:tc>
        <w:tc>
          <w:tcPr>
            <w:tcW w:w="833" w:type="pct"/>
            <w:tcBorders>
              <w:top w:val="single" w:sz="6" w:space="0" w:color="auto"/>
              <w:left w:val="single" w:sz="6" w:space="0" w:color="auto"/>
              <w:bottom w:val="single" w:sz="6" w:space="0" w:color="auto"/>
              <w:right w:val="single" w:sz="6" w:space="0" w:color="auto"/>
            </w:tcBorders>
            <w:vAlign w:val="center"/>
          </w:tcPr>
          <w:p w14:paraId="6D65FEBD" w14:textId="77777777" w:rsidR="00761B6C" w:rsidRPr="00236418" w:rsidRDefault="00761B6C" w:rsidP="00761B6C">
            <w:pPr>
              <w:pStyle w:val="TableText0"/>
              <w:keepNext/>
              <w:keepLines/>
              <w:jc w:val="center"/>
              <w:rPr>
                <w:rFonts w:ascii="Calibri" w:hAnsi="Calibri"/>
                <w:szCs w:val="22"/>
              </w:rPr>
            </w:pPr>
            <w:r>
              <w:rPr>
                <w:rFonts w:ascii="Calibri" w:hAnsi="Calibri"/>
                <w:szCs w:val="22"/>
                <w:lang w:val="en-US"/>
              </w:rPr>
              <w:t>3</w:t>
            </w:r>
          </w:p>
        </w:tc>
        <w:tc>
          <w:tcPr>
            <w:tcW w:w="834" w:type="pct"/>
            <w:tcBorders>
              <w:top w:val="single" w:sz="6" w:space="0" w:color="auto"/>
              <w:left w:val="single" w:sz="6" w:space="0" w:color="auto"/>
              <w:bottom w:val="single" w:sz="6" w:space="0" w:color="auto"/>
              <w:right w:val="single" w:sz="6" w:space="0" w:color="auto"/>
            </w:tcBorders>
            <w:vAlign w:val="center"/>
          </w:tcPr>
          <w:p w14:paraId="7CEA88C0" w14:textId="77777777" w:rsidR="00761B6C" w:rsidRPr="00236418" w:rsidRDefault="00761B6C" w:rsidP="00761B6C">
            <w:pPr>
              <w:pStyle w:val="TableText0"/>
              <w:keepNext/>
              <w:keepLines/>
              <w:jc w:val="center"/>
              <w:rPr>
                <w:rFonts w:ascii="Calibri" w:hAnsi="Calibri"/>
                <w:szCs w:val="22"/>
              </w:rPr>
            </w:pPr>
            <w:r>
              <w:rPr>
                <w:rFonts w:ascii="Calibri" w:hAnsi="Calibri"/>
                <w:szCs w:val="22"/>
                <w:lang w:val="en-US"/>
              </w:rPr>
              <w:t>2</w:t>
            </w:r>
          </w:p>
        </w:tc>
        <w:tc>
          <w:tcPr>
            <w:tcW w:w="833" w:type="pct"/>
            <w:tcBorders>
              <w:top w:val="single" w:sz="6" w:space="0" w:color="auto"/>
              <w:left w:val="single" w:sz="6" w:space="0" w:color="auto"/>
              <w:bottom w:val="single" w:sz="6" w:space="0" w:color="auto"/>
              <w:right w:val="single" w:sz="6" w:space="0" w:color="auto"/>
            </w:tcBorders>
            <w:vAlign w:val="center"/>
          </w:tcPr>
          <w:p w14:paraId="4C8D23C3" w14:textId="77777777" w:rsidR="00761B6C" w:rsidRPr="00236418" w:rsidRDefault="00761B6C" w:rsidP="00761B6C">
            <w:pPr>
              <w:pStyle w:val="TableText0"/>
              <w:keepNext/>
              <w:keepLines/>
              <w:jc w:val="center"/>
              <w:rPr>
                <w:rFonts w:ascii="Calibri" w:hAnsi="Calibri"/>
                <w:szCs w:val="22"/>
              </w:rPr>
            </w:pPr>
            <w:r>
              <w:rPr>
                <w:rFonts w:ascii="Calibri" w:hAnsi="Calibri"/>
                <w:szCs w:val="22"/>
                <w:lang w:val="en-US"/>
              </w:rPr>
              <w:t>37</w:t>
            </w:r>
          </w:p>
        </w:tc>
        <w:tc>
          <w:tcPr>
            <w:tcW w:w="832" w:type="pct"/>
            <w:tcBorders>
              <w:top w:val="single" w:sz="6" w:space="0" w:color="auto"/>
              <w:left w:val="single" w:sz="6" w:space="0" w:color="auto"/>
              <w:bottom w:val="single" w:sz="6" w:space="0" w:color="auto"/>
              <w:right w:val="single" w:sz="6" w:space="0" w:color="auto"/>
            </w:tcBorders>
            <w:vAlign w:val="center"/>
          </w:tcPr>
          <w:p w14:paraId="5DA1CCF9" w14:textId="77777777" w:rsidR="00761B6C" w:rsidRPr="00236418" w:rsidRDefault="00761B6C" w:rsidP="00761B6C">
            <w:pPr>
              <w:pStyle w:val="TableText0"/>
              <w:keepNext/>
              <w:keepLines/>
              <w:jc w:val="center"/>
              <w:rPr>
                <w:rFonts w:ascii="Calibri" w:hAnsi="Calibri"/>
                <w:szCs w:val="22"/>
              </w:rPr>
            </w:pPr>
            <w:r>
              <w:rPr>
                <w:rFonts w:ascii="Calibri" w:hAnsi="Calibri"/>
                <w:szCs w:val="22"/>
                <w:lang w:val="en-US"/>
              </w:rPr>
              <w:t>727</w:t>
            </w:r>
          </w:p>
        </w:tc>
      </w:tr>
    </w:tbl>
    <w:p w14:paraId="036DE4ED" w14:textId="77777777" w:rsidR="00761B6C" w:rsidRPr="00236418" w:rsidRDefault="00761B6C" w:rsidP="00403E7A">
      <w:pPr>
        <w:pStyle w:val="Tabletitle"/>
        <w:spacing w:before="360" w:after="240"/>
      </w:pPr>
      <w:bookmarkStart w:id="1944" w:name="_Toc329178794"/>
      <w:bookmarkStart w:id="1945" w:name="_Toc329181767"/>
      <w:r w:rsidRPr="00236418">
        <w:t>Nombre de prestations servies au cours de l</w:t>
      </w:r>
      <w:r>
        <w:t>'</w:t>
      </w:r>
      <w:r w:rsidRPr="00236418">
        <w:t xml:space="preserve">exercice financier </w:t>
      </w:r>
      <w:r w:rsidRPr="00236418">
        <w:br/>
        <w:t xml:space="preserve">se terminant au 31 décembre </w:t>
      </w:r>
      <w:bookmarkEnd w:id="1944"/>
      <w:bookmarkEnd w:id="1945"/>
      <w:r w:rsidRPr="00236418">
        <w:t>20</w:t>
      </w:r>
      <w:r>
        <w:t>20</w:t>
      </w:r>
    </w:p>
    <w:tbl>
      <w:tblPr>
        <w:tblW w:w="5000" w:type="pct"/>
        <w:jc w:val="center"/>
        <w:tblCellMar>
          <w:left w:w="79" w:type="dxa"/>
          <w:right w:w="79" w:type="dxa"/>
        </w:tblCellMar>
        <w:tblLook w:val="04A0" w:firstRow="1" w:lastRow="0" w:firstColumn="1" w:lastColumn="0" w:noHBand="0" w:noVBand="1"/>
        <w:tblCaption w:val="Nombre de prestations servies au cours de l'exercice financier se terminant au 31 décembre 2015"/>
      </w:tblPr>
      <w:tblGrid>
        <w:gridCol w:w="1544"/>
        <w:gridCol w:w="1372"/>
        <w:gridCol w:w="1372"/>
        <w:gridCol w:w="1372"/>
        <w:gridCol w:w="1372"/>
        <w:gridCol w:w="1295"/>
        <w:gridCol w:w="8"/>
        <w:gridCol w:w="1288"/>
      </w:tblGrid>
      <w:tr w:rsidR="00403E7A" w:rsidRPr="00236418" w14:paraId="3492797A" w14:textId="77777777" w:rsidTr="00403E7A">
        <w:trPr>
          <w:cantSplit/>
          <w:trHeight w:val="688"/>
          <w:jc w:val="center"/>
        </w:trPr>
        <w:tc>
          <w:tcPr>
            <w:tcW w:w="802" w:type="pct"/>
            <w:tcBorders>
              <w:top w:val="single" w:sz="6" w:space="0" w:color="auto"/>
              <w:left w:val="single" w:sz="6" w:space="0" w:color="auto"/>
              <w:right w:val="single" w:sz="6" w:space="0" w:color="auto"/>
            </w:tcBorders>
            <w:hideMark/>
          </w:tcPr>
          <w:p w14:paraId="29F3FBFD" w14:textId="77777777" w:rsidR="00403E7A" w:rsidRPr="00236418" w:rsidRDefault="00403E7A" w:rsidP="00761B6C">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de retraite</w:t>
            </w:r>
          </w:p>
        </w:tc>
        <w:tc>
          <w:tcPr>
            <w:tcW w:w="713" w:type="pct"/>
            <w:tcBorders>
              <w:top w:val="single" w:sz="6" w:space="0" w:color="auto"/>
              <w:left w:val="single" w:sz="6" w:space="0" w:color="auto"/>
              <w:right w:val="single" w:sz="6" w:space="0" w:color="auto"/>
            </w:tcBorders>
            <w:hideMark/>
          </w:tcPr>
          <w:p w14:paraId="1016F2FA" w14:textId="77777777" w:rsidR="00403E7A" w:rsidRPr="00236418" w:rsidRDefault="00403E7A" w:rsidP="00761B6C">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w:t>
            </w:r>
            <w:r>
              <w:rPr>
                <w:rFonts w:ascii="Calibri" w:hAnsi="Calibri"/>
                <w:bCs/>
                <w:szCs w:val="22"/>
              </w:rPr>
              <w:t>'</w:t>
            </w:r>
            <w:r w:rsidRPr="00236418">
              <w:rPr>
                <w:rFonts w:ascii="Calibri" w:hAnsi="Calibri"/>
                <w:bCs/>
                <w:szCs w:val="22"/>
              </w:rPr>
              <w:t>invalidité</w:t>
            </w:r>
          </w:p>
        </w:tc>
        <w:tc>
          <w:tcPr>
            <w:tcW w:w="713" w:type="pct"/>
            <w:tcBorders>
              <w:top w:val="single" w:sz="6" w:space="0" w:color="auto"/>
              <w:left w:val="single" w:sz="6" w:space="0" w:color="auto"/>
              <w:right w:val="single" w:sz="6" w:space="0" w:color="auto"/>
            </w:tcBorders>
            <w:hideMark/>
          </w:tcPr>
          <w:p w14:paraId="5B742108" w14:textId="77777777" w:rsidR="00403E7A" w:rsidRPr="00236418" w:rsidRDefault="00403E7A" w:rsidP="00761B6C">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de réversion</w:t>
            </w:r>
          </w:p>
        </w:tc>
        <w:tc>
          <w:tcPr>
            <w:tcW w:w="713" w:type="pct"/>
            <w:tcBorders>
              <w:top w:val="single" w:sz="6" w:space="0" w:color="auto"/>
              <w:left w:val="single" w:sz="6" w:space="0" w:color="auto"/>
              <w:right w:val="single" w:sz="6" w:space="0" w:color="auto"/>
            </w:tcBorders>
            <w:hideMark/>
          </w:tcPr>
          <w:p w14:paraId="1124234D" w14:textId="77777777" w:rsidR="00403E7A" w:rsidRPr="00236418" w:rsidRDefault="00403E7A" w:rsidP="00761B6C">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w:t>
            </w:r>
            <w:r>
              <w:rPr>
                <w:rFonts w:ascii="Calibri" w:hAnsi="Calibri"/>
                <w:bCs/>
                <w:szCs w:val="22"/>
              </w:rPr>
              <w:t>'</w:t>
            </w:r>
            <w:r w:rsidRPr="00236418">
              <w:rPr>
                <w:rFonts w:ascii="Calibri" w:hAnsi="Calibri"/>
                <w:bCs/>
                <w:szCs w:val="22"/>
              </w:rPr>
              <w:t>enfant</w:t>
            </w:r>
          </w:p>
        </w:tc>
        <w:tc>
          <w:tcPr>
            <w:tcW w:w="713" w:type="pct"/>
            <w:tcBorders>
              <w:top w:val="single" w:sz="6" w:space="0" w:color="auto"/>
              <w:left w:val="single" w:sz="6" w:space="0" w:color="auto"/>
              <w:right w:val="single" w:sz="6" w:space="0" w:color="auto"/>
            </w:tcBorders>
            <w:hideMark/>
          </w:tcPr>
          <w:p w14:paraId="326AE9F6" w14:textId="77777777" w:rsidR="00403E7A" w:rsidRPr="00236418" w:rsidRDefault="00403E7A" w:rsidP="00761B6C">
            <w:pPr>
              <w:pStyle w:val="TableHead0"/>
              <w:keepNext w:val="0"/>
              <w:spacing w:before="20" w:after="20"/>
              <w:rPr>
                <w:rFonts w:ascii="Calibri" w:hAnsi="Calibri"/>
                <w:bCs/>
                <w:szCs w:val="22"/>
              </w:rPr>
            </w:pPr>
            <w:r w:rsidRPr="00236418">
              <w:rPr>
                <w:rFonts w:ascii="Calibri" w:hAnsi="Calibri"/>
                <w:bCs/>
                <w:szCs w:val="22"/>
              </w:rPr>
              <w:t>Autres</w:t>
            </w:r>
            <w:r w:rsidRPr="00236418">
              <w:rPr>
                <w:rFonts w:ascii="Calibri" w:hAnsi="Calibri"/>
                <w:bCs/>
                <w:szCs w:val="22"/>
              </w:rPr>
              <w:br/>
              <w:t>prestations</w:t>
            </w:r>
          </w:p>
        </w:tc>
        <w:tc>
          <w:tcPr>
            <w:tcW w:w="673" w:type="pct"/>
            <w:tcBorders>
              <w:top w:val="single" w:sz="6" w:space="0" w:color="auto"/>
              <w:left w:val="single" w:sz="6" w:space="0" w:color="auto"/>
              <w:right w:val="single" w:sz="6" w:space="0" w:color="auto"/>
            </w:tcBorders>
          </w:tcPr>
          <w:p w14:paraId="5D8ABFE0" w14:textId="77777777" w:rsidR="00403E7A" w:rsidRPr="00236418" w:rsidRDefault="00403E7A" w:rsidP="00761B6C">
            <w:pPr>
              <w:pStyle w:val="TableHead0"/>
              <w:keepNext w:val="0"/>
              <w:spacing w:before="20" w:after="20"/>
              <w:rPr>
                <w:rFonts w:ascii="Calibri" w:hAnsi="Calibri"/>
                <w:bCs/>
                <w:szCs w:val="22"/>
              </w:rPr>
            </w:pPr>
            <w:r w:rsidRPr="00236418">
              <w:rPr>
                <w:rFonts w:ascii="Calibri" w:hAnsi="Calibri"/>
                <w:bCs/>
                <w:szCs w:val="22"/>
              </w:rPr>
              <w:t>Rentes différées</w:t>
            </w:r>
          </w:p>
        </w:tc>
        <w:tc>
          <w:tcPr>
            <w:tcW w:w="673" w:type="pct"/>
            <w:gridSpan w:val="2"/>
            <w:tcBorders>
              <w:top w:val="single" w:sz="6" w:space="0" w:color="auto"/>
              <w:left w:val="single" w:sz="6" w:space="0" w:color="auto"/>
              <w:right w:val="single" w:sz="6" w:space="0" w:color="auto"/>
            </w:tcBorders>
          </w:tcPr>
          <w:p w14:paraId="4A9E438E" w14:textId="2872F76C" w:rsidR="00403E7A" w:rsidRPr="00236418" w:rsidRDefault="00403E7A" w:rsidP="00761B6C">
            <w:pPr>
              <w:pStyle w:val="TableHead0"/>
              <w:spacing w:before="20" w:after="20"/>
              <w:rPr>
                <w:rFonts w:ascii="Calibri" w:hAnsi="Calibri"/>
                <w:bCs/>
                <w:szCs w:val="22"/>
              </w:rPr>
            </w:pPr>
            <w:r w:rsidRPr="00236418">
              <w:rPr>
                <w:rFonts w:ascii="Calibri" w:hAnsi="Calibri"/>
                <w:bCs/>
                <w:szCs w:val="22"/>
              </w:rPr>
              <w:t>TOTAL</w:t>
            </w:r>
          </w:p>
        </w:tc>
      </w:tr>
      <w:tr w:rsidR="00761B6C" w:rsidRPr="00236418" w14:paraId="630316C9" w14:textId="77777777" w:rsidTr="00403E7A">
        <w:trPr>
          <w:cantSplit/>
          <w:jc w:val="center"/>
        </w:trPr>
        <w:tc>
          <w:tcPr>
            <w:tcW w:w="802" w:type="pct"/>
            <w:tcBorders>
              <w:top w:val="single" w:sz="6" w:space="0" w:color="auto"/>
              <w:left w:val="single" w:sz="6" w:space="0" w:color="auto"/>
              <w:bottom w:val="single" w:sz="6" w:space="0" w:color="auto"/>
              <w:right w:val="single" w:sz="6" w:space="0" w:color="auto"/>
            </w:tcBorders>
            <w:vAlign w:val="center"/>
          </w:tcPr>
          <w:p w14:paraId="05AFA895" w14:textId="77777777" w:rsidR="00761B6C" w:rsidRPr="00236418" w:rsidRDefault="00761B6C" w:rsidP="00761B6C">
            <w:pPr>
              <w:pStyle w:val="TableText0"/>
              <w:jc w:val="center"/>
              <w:rPr>
                <w:rFonts w:ascii="Calibri" w:hAnsi="Calibri"/>
                <w:szCs w:val="22"/>
              </w:rPr>
            </w:pPr>
            <w:r>
              <w:rPr>
                <w:rFonts w:ascii="Calibri" w:hAnsi="Calibri"/>
                <w:szCs w:val="22"/>
                <w:lang w:val="en-US"/>
              </w:rPr>
              <w:t>811</w:t>
            </w:r>
          </w:p>
        </w:tc>
        <w:tc>
          <w:tcPr>
            <w:tcW w:w="713" w:type="pct"/>
            <w:tcBorders>
              <w:top w:val="single" w:sz="6" w:space="0" w:color="auto"/>
              <w:left w:val="single" w:sz="6" w:space="0" w:color="auto"/>
              <w:bottom w:val="single" w:sz="6" w:space="0" w:color="auto"/>
              <w:right w:val="single" w:sz="6" w:space="0" w:color="auto"/>
            </w:tcBorders>
            <w:vAlign w:val="center"/>
          </w:tcPr>
          <w:p w14:paraId="3EE31B72" w14:textId="77777777" w:rsidR="00761B6C" w:rsidRPr="00236418" w:rsidRDefault="00761B6C" w:rsidP="00761B6C">
            <w:pPr>
              <w:pStyle w:val="TableText0"/>
              <w:jc w:val="center"/>
              <w:rPr>
                <w:rFonts w:ascii="Calibri" w:hAnsi="Calibri"/>
                <w:szCs w:val="22"/>
              </w:rPr>
            </w:pPr>
            <w:r>
              <w:rPr>
                <w:rFonts w:ascii="Calibri" w:hAnsi="Calibri"/>
                <w:szCs w:val="22"/>
                <w:lang w:val="en-US"/>
              </w:rPr>
              <w:t>41</w:t>
            </w:r>
          </w:p>
        </w:tc>
        <w:tc>
          <w:tcPr>
            <w:tcW w:w="713" w:type="pct"/>
            <w:tcBorders>
              <w:top w:val="single" w:sz="6" w:space="0" w:color="auto"/>
              <w:left w:val="single" w:sz="6" w:space="0" w:color="auto"/>
              <w:bottom w:val="single" w:sz="6" w:space="0" w:color="auto"/>
              <w:right w:val="single" w:sz="6" w:space="0" w:color="auto"/>
            </w:tcBorders>
            <w:vAlign w:val="center"/>
          </w:tcPr>
          <w:p w14:paraId="29A0AA8C" w14:textId="77777777" w:rsidR="00761B6C" w:rsidRPr="00236418" w:rsidRDefault="00761B6C" w:rsidP="00761B6C">
            <w:pPr>
              <w:pStyle w:val="TableText0"/>
              <w:jc w:val="center"/>
              <w:rPr>
                <w:rFonts w:ascii="Calibri" w:hAnsi="Calibri"/>
                <w:szCs w:val="22"/>
              </w:rPr>
            </w:pPr>
            <w:r>
              <w:rPr>
                <w:rFonts w:ascii="Calibri" w:hAnsi="Calibri"/>
                <w:szCs w:val="22"/>
                <w:lang w:val="en-US"/>
              </w:rPr>
              <w:t>199</w:t>
            </w:r>
          </w:p>
        </w:tc>
        <w:tc>
          <w:tcPr>
            <w:tcW w:w="713" w:type="pct"/>
            <w:tcBorders>
              <w:top w:val="single" w:sz="6" w:space="0" w:color="auto"/>
              <w:left w:val="single" w:sz="6" w:space="0" w:color="auto"/>
              <w:bottom w:val="single" w:sz="6" w:space="0" w:color="auto"/>
              <w:right w:val="single" w:sz="6" w:space="0" w:color="auto"/>
            </w:tcBorders>
            <w:vAlign w:val="center"/>
          </w:tcPr>
          <w:p w14:paraId="13BB974D" w14:textId="77777777" w:rsidR="00761B6C" w:rsidRPr="00236418" w:rsidRDefault="00761B6C" w:rsidP="00761B6C">
            <w:pPr>
              <w:pStyle w:val="TableText0"/>
              <w:jc w:val="center"/>
              <w:rPr>
                <w:rFonts w:ascii="Calibri" w:hAnsi="Calibri"/>
                <w:szCs w:val="22"/>
              </w:rPr>
            </w:pPr>
            <w:r>
              <w:rPr>
                <w:rFonts w:ascii="Calibri" w:hAnsi="Calibri"/>
                <w:szCs w:val="22"/>
                <w:lang w:val="en-US"/>
              </w:rPr>
              <w:t>73</w:t>
            </w:r>
          </w:p>
        </w:tc>
        <w:tc>
          <w:tcPr>
            <w:tcW w:w="713" w:type="pct"/>
            <w:tcBorders>
              <w:top w:val="single" w:sz="6" w:space="0" w:color="auto"/>
              <w:left w:val="single" w:sz="6" w:space="0" w:color="auto"/>
              <w:bottom w:val="single" w:sz="6" w:space="0" w:color="auto"/>
              <w:right w:val="single" w:sz="6" w:space="0" w:color="auto"/>
            </w:tcBorders>
            <w:vAlign w:val="center"/>
          </w:tcPr>
          <w:p w14:paraId="1EA821AB" w14:textId="77777777" w:rsidR="00761B6C" w:rsidRPr="00236418" w:rsidRDefault="00761B6C" w:rsidP="00761B6C">
            <w:pPr>
              <w:pStyle w:val="TableText0"/>
              <w:jc w:val="center"/>
              <w:rPr>
                <w:rFonts w:ascii="Calibri" w:hAnsi="Calibri"/>
                <w:szCs w:val="22"/>
              </w:rPr>
            </w:pPr>
            <w:r w:rsidRPr="008B436A">
              <w:rPr>
                <w:rFonts w:ascii="Calibri" w:hAnsi="Calibri"/>
                <w:szCs w:val="22"/>
                <w:lang w:val="en-US"/>
              </w:rPr>
              <w:t>0</w:t>
            </w:r>
          </w:p>
        </w:tc>
        <w:tc>
          <w:tcPr>
            <w:tcW w:w="677" w:type="pct"/>
            <w:gridSpan w:val="2"/>
            <w:tcBorders>
              <w:top w:val="single" w:sz="6" w:space="0" w:color="auto"/>
              <w:left w:val="single" w:sz="6" w:space="0" w:color="auto"/>
              <w:bottom w:val="single" w:sz="6" w:space="0" w:color="auto"/>
              <w:right w:val="single" w:sz="6" w:space="0" w:color="auto"/>
            </w:tcBorders>
            <w:vAlign w:val="center"/>
          </w:tcPr>
          <w:p w14:paraId="3320558B" w14:textId="77777777" w:rsidR="00761B6C" w:rsidRPr="00236418" w:rsidRDefault="00761B6C" w:rsidP="00761B6C">
            <w:pPr>
              <w:pStyle w:val="TableText0"/>
              <w:jc w:val="center"/>
              <w:rPr>
                <w:rFonts w:ascii="Calibri" w:hAnsi="Calibri"/>
                <w:szCs w:val="22"/>
              </w:rPr>
            </w:pPr>
            <w:r>
              <w:rPr>
                <w:rFonts w:ascii="Calibri" w:hAnsi="Calibri"/>
                <w:szCs w:val="22"/>
                <w:lang w:val="en-US"/>
              </w:rPr>
              <w:t>108</w:t>
            </w:r>
          </w:p>
        </w:tc>
        <w:tc>
          <w:tcPr>
            <w:tcW w:w="670" w:type="pct"/>
            <w:tcBorders>
              <w:top w:val="single" w:sz="6" w:space="0" w:color="auto"/>
              <w:left w:val="single" w:sz="6" w:space="0" w:color="auto"/>
              <w:bottom w:val="single" w:sz="6" w:space="0" w:color="auto"/>
              <w:right w:val="single" w:sz="6" w:space="0" w:color="auto"/>
            </w:tcBorders>
            <w:vAlign w:val="center"/>
          </w:tcPr>
          <w:p w14:paraId="7A7E86B7" w14:textId="77777777" w:rsidR="00761B6C" w:rsidRPr="00236418" w:rsidRDefault="00761B6C" w:rsidP="00761B6C">
            <w:pPr>
              <w:pStyle w:val="TableText0"/>
              <w:jc w:val="center"/>
              <w:rPr>
                <w:rFonts w:ascii="Calibri" w:hAnsi="Calibri"/>
                <w:szCs w:val="22"/>
              </w:rPr>
            </w:pPr>
            <w:r>
              <w:rPr>
                <w:rFonts w:ascii="Calibri" w:hAnsi="Calibri"/>
                <w:szCs w:val="22"/>
                <w:lang w:val="en-US"/>
              </w:rPr>
              <w:t>1 232</w:t>
            </w:r>
          </w:p>
        </w:tc>
      </w:tr>
    </w:tbl>
    <w:p w14:paraId="467E5810" w14:textId="77777777" w:rsidR="00403E7A" w:rsidRDefault="00403E7A" w:rsidP="00761B6C">
      <w:pPr>
        <w:pStyle w:val="Tabletitle"/>
        <w:spacing w:before="360" w:after="40"/>
      </w:pPr>
      <w:r>
        <w:br w:type="page"/>
      </w:r>
    </w:p>
    <w:p w14:paraId="088E040D" w14:textId="44853CE8" w:rsidR="00761B6C" w:rsidRPr="00236418" w:rsidRDefault="00761B6C" w:rsidP="00761B6C">
      <w:pPr>
        <w:pStyle w:val="Tabletitle"/>
        <w:spacing w:before="360" w:after="40"/>
      </w:pPr>
      <w:r w:rsidRPr="00236418">
        <w:lastRenderedPageBreak/>
        <w:t xml:space="preserve">Récapitulation des contributions versées à la Caisse pour la période </w:t>
      </w:r>
      <w:r w:rsidRPr="00236418">
        <w:br/>
        <w:t>comprise entre le 1er janvier et le 31 décembre 20</w:t>
      </w:r>
      <w:r>
        <w:t>20</w:t>
      </w:r>
    </w:p>
    <w:p w14:paraId="4B3E10D5" w14:textId="77777777" w:rsidR="00761B6C" w:rsidRPr="00236418" w:rsidRDefault="00761B6C" w:rsidP="00761B6C">
      <w:pPr>
        <w:keepNext/>
        <w:spacing w:before="0" w:after="240"/>
        <w:jc w:val="center"/>
        <w:rPr>
          <w:b/>
          <w:bCs/>
          <w:szCs w:val="24"/>
        </w:rPr>
      </w:pPr>
      <w:r w:rsidRPr="00236418">
        <w:rPr>
          <w:b/>
          <w:bCs/>
          <w:szCs w:val="24"/>
        </w:rPr>
        <w:t>Dollars des États-Unis</w:t>
      </w:r>
    </w:p>
    <w:tbl>
      <w:tblPr>
        <w:tblW w:w="4998" w:type="pct"/>
        <w:jc w:val="center"/>
        <w:tblCellMar>
          <w:left w:w="107" w:type="dxa"/>
          <w:right w:w="107" w:type="dxa"/>
        </w:tblCellMar>
        <w:tblLook w:val="04A0" w:firstRow="1" w:lastRow="0" w:firstColumn="1" w:lastColumn="0" w:noHBand="0" w:noVBand="1"/>
        <w:tblCaption w:val="N"/>
      </w:tblPr>
      <w:tblGrid>
        <w:gridCol w:w="2949"/>
        <w:gridCol w:w="1720"/>
        <w:gridCol w:w="1704"/>
        <w:gridCol w:w="1624"/>
        <w:gridCol w:w="1622"/>
      </w:tblGrid>
      <w:tr w:rsidR="00761B6C" w:rsidRPr="00236418" w14:paraId="0FD09DF6" w14:textId="77777777" w:rsidTr="00761B6C">
        <w:trPr>
          <w:cantSplit/>
          <w:jc w:val="center"/>
        </w:trPr>
        <w:tc>
          <w:tcPr>
            <w:tcW w:w="1533" w:type="pct"/>
            <w:tcBorders>
              <w:top w:val="single" w:sz="6" w:space="0" w:color="auto"/>
              <w:left w:val="single" w:sz="6" w:space="0" w:color="auto"/>
              <w:bottom w:val="single" w:sz="6" w:space="0" w:color="auto"/>
              <w:right w:val="single" w:sz="6" w:space="0" w:color="auto"/>
            </w:tcBorders>
            <w:hideMark/>
          </w:tcPr>
          <w:p w14:paraId="2718985E" w14:textId="77777777" w:rsidR="00761B6C" w:rsidRPr="00236418" w:rsidRDefault="00761B6C" w:rsidP="00761B6C">
            <w:pPr>
              <w:pStyle w:val="Tablehead"/>
              <w:spacing w:before="20" w:after="20"/>
            </w:pPr>
            <w:r w:rsidRPr="00236418">
              <w:t>Nature des contributions</w:t>
            </w:r>
          </w:p>
        </w:tc>
        <w:tc>
          <w:tcPr>
            <w:tcW w:w="894" w:type="pct"/>
            <w:tcBorders>
              <w:top w:val="single" w:sz="6" w:space="0" w:color="auto"/>
              <w:left w:val="single" w:sz="6" w:space="0" w:color="auto"/>
              <w:bottom w:val="single" w:sz="6" w:space="0" w:color="auto"/>
              <w:right w:val="single" w:sz="6" w:space="0" w:color="auto"/>
            </w:tcBorders>
            <w:hideMark/>
          </w:tcPr>
          <w:p w14:paraId="759A1195" w14:textId="77777777" w:rsidR="00761B6C" w:rsidRPr="00236418" w:rsidRDefault="00761B6C" w:rsidP="00761B6C">
            <w:pPr>
              <w:pStyle w:val="Tablehead"/>
              <w:spacing w:before="20" w:after="20"/>
            </w:pPr>
            <w:r w:rsidRPr="00236418">
              <w:t>Contributions normales</w:t>
            </w:r>
          </w:p>
        </w:tc>
        <w:tc>
          <w:tcPr>
            <w:tcW w:w="886" w:type="pct"/>
            <w:tcBorders>
              <w:top w:val="single" w:sz="6" w:space="0" w:color="auto"/>
              <w:left w:val="single" w:sz="6" w:space="0" w:color="auto"/>
              <w:bottom w:val="single" w:sz="6" w:space="0" w:color="auto"/>
              <w:right w:val="single" w:sz="6" w:space="0" w:color="auto"/>
            </w:tcBorders>
            <w:hideMark/>
          </w:tcPr>
          <w:p w14:paraId="32A16D40" w14:textId="77777777" w:rsidR="00761B6C" w:rsidRPr="00236418" w:rsidRDefault="00761B6C" w:rsidP="00761B6C">
            <w:pPr>
              <w:pStyle w:val="Tablehead"/>
              <w:spacing w:before="20" w:after="20"/>
            </w:pPr>
            <w:r w:rsidRPr="00236418">
              <w:t xml:space="preserve">Contributions </w:t>
            </w:r>
            <w:r w:rsidRPr="00236418">
              <w:br/>
              <w:t xml:space="preserve">pour validation </w:t>
            </w:r>
            <w:r w:rsidRPr="00236418">
              <w:br/>
              <w:t>de service</w:t>
            </w:r>
          </w:p>
        </w:tc>
        <w:tc>
          <w:tcPr>
            <w:tcW w:w="844" w:type="pct"/>
            <w:tcBorders>
              <w:top w:val="single" w:sz="6" w:space="0" w:color="auto"/>
              <w:left w:val="single" w:sz="6" w:space="0" w:color="auto"/>
              <w:bottom w:val="single" w:sz="6" w:space="0" w:color="auto"/>
              <w:right w:val="single" w:sz="6" w:space="0" w:color="auto"/>
            </w:tcBorders>
          </w:tcPr>
          <w:p w14:paraId="75E90E48" w14:textId="77777777" w:rsidR="00761B6C" w:rsidRPr="00236418" w:rsidRDefault="00761B6C" w:rsidP="00761B6C">
            <w:pPr>
              <w:pStyle w:val="Tablehead"/>
              <w:spacing w:before="20" w:after="20"/>
            </w:pPr>
            <w:r w:rsidRPr="00236418">
              <w:rPr>
                <w:bCs/>
              </w:rPr>
              <w:t>Contributions volontaires</w:t>
            </w:r>
          </w:p>
        </w:tc>
        <w:tc>
          <w:tcPr>
            <w:tcW w:w="843" w:type="pct"/>
            <w:tcBorders>
              <w:top w:val="single" w:sz="6" w:space="0" w:color="auto"/>
              <w:left w:val="single" w:sz="6" w:space="0" w:color="auto"/>
              <w:bottom w:val="single" w:sz="6" w:space="0" w:color="auto"/>
              <w:right w:val="single" w:sz="6" w:space="0" w:color="auto"/>
            </w:tcBorders>
            <w:hideMark/>
          </w:tcPr>
          <w:p w14:paraId="08D5DECA" w14:textId="77777777" w:rsidR="00761B6C" w:rsidRPr="00236418" w:rsidRDefault="00761B6C" w:rsidP="00761B6C">
            <w:pPr>
              <w:pStyle w:val="Tablehead"/>
              <w:spacing w:before="20" w:after="20"/>
            </w:pPr>
            <w:r w:rsidRPr="00236418">
              <w:t>Total</w:t>
            </w:r>
          </w:p>
        </w:tc>
      </w:tr>
      <w:tr w:rsidR="00761B6C" w:rsidRPr="00236418" w14:paraId="4B9849E0" w14:textId="77777777" w:rsidTr="00761B6C">
        <w:trPr>
          <w:cantSplit/>
          <w:trHeight w:val="168"/>
          <w:jc w:val="center"/>
        </w:trPr>
        <w:tc>
          <w:tcPr>
            <w:tcW w:w="1533" w:type="pct"/>
            <w:tcBorders>
              <w:top w:val="single" w:sz="6" w:space="0" w:color="auto"/>
              <w:left w:val="single" w:sz="6" w:space="0" w:color="auto"/>
              <w:bottom w:val="single" w:sz="6" w:space="0" w:color="auto"/>
              <w:right w:val="single" w:sz="6" w:space="0" w:color="auto"/>
            </w:tcBorders>
            <w:hideMark/>
          </w:tcPr>
          <w:p w14:paraId="5148B125" w14:textId="77777777" w:rsidR="00761B6C" w:rsidRPr="00236418" w:rsidRDefault="00761B6C" w:rsidP="00761B6C">
            <w:pPr>
              <w:pStyle w:val="TableText0"/>
              <w:rPr>
                <w:rFonts w:asciiTheme="minorHAnsi" w:hAnsiTheme="minorHAnsi"/>
              </w:rPr>
            </w:pPr>
            <w:r w:rsidRPr="00236418">
              <w:rPr>
                <w:rFonts w:asciiTheme="minorHAnsi" w:hAnsiTheme="minorHAnsi"/>
              </w:rPr>
              <w:t>Contributions des participants</w:t>
            </w:r>
          </w:p>
        </w:tc>
        <w:tc>
          <w:tcPr>
            <w:tcW w:w="894" w:type="pct"/>
            <w:tcBorders>
              <w:top w:val="single" w:sz="6" w:space="0" w:color="auto"/>
              <w:left w:val="single" w:sz="6" w:space="0" w:color="auto"/>
              <w:bottom w:val="single" w:sz="6" w:space="0" w:color="auto"/>
              <w:right w:val="single" w:sz="6" w:space="0" w:color="auto"/>
            </w:tcBorders>
            <w:vAlign w:val="center"/>
          </w:tcPr>
          <w:p w14:paraId="6CC0BCEB" w14:textId="77777777" w:rsidR="00761B6C" w:rsidRPr="00236418" w:rsidRDefault="00761B6C" w:rsidP="00761B6C">
            <w:pPr>
              <w:pStyle w:val="Tabletext"/>
              <w:jc w:val="right"/>
              <w:rPr>
                <w:bCs/>
                <w:sz w:val="20"/>
              </w:rPr>
            </w:pPr>
            <w:r w:rsidRPr="00AE6188">
              <w:rPr>
                <w:lang w:eastAsia="en-GB"/>
              </w:rPr>
              <w:t>8</w:t>
            </w:r>
            <w:r>
              <w:rPr>
                <w:lang w:eastAsia="en-GB"/>
              </w:rPr>
              <w:t xml:space="preserve"> </w:t>
            </w:r>
            <w:r w:rsidRPr="00AE6188">
              <w:rPr>
                <w:lang w:eastAsia="en-GB"/>
              </w:rPr>
              <w:t>778</w:t>
            </w:r>
            <w:r>
              <w:rPr>
                <w:lang w:eastAsia="en-GB"/>
              </w:rPr>
              <w:t xml:space="preserve"> </w:t>
            </w:r>
            <w:r w:rsidRPr="00AE6188">
              <w:rPr>
                <w:lang w:eastAsia="en-GB"/>
              </w:rPr>
              <w:t>779</w:t>
            </w:r>
          </w:p>
        </w:tc>
        <w:tc>
          <w:tcPr>
            <w:tcW w:w="886" w:type="pct"/>
            <w:tcBorders>
              <w:top w:val="single" w:sz="6" w:space="0" w:color="auto"/>
              <w:left w:val="single" w:sz="6" w:space="0" w:color="auto"/>
              <w:bottom w:val="single" w:sz="6" w:space="0" w:color="auto"/>
              <w:right w:val="single" w:sz="6" w:space="0" w:color="auto"/>
            </w:tcBorders>
            <w:vAlign w:val="center"/>
          </w:tcPr>
          <w:p w14:paraId="391C7377" w14:textId="77777777" w:rsidR="00761B6C" w:rsidRPr="00236418" w:rsidRDefault="00761B6C" w:rsidP="00761B6C">
            <w:pPr>
              <w:pStyle w:val="Tabletext"/>
              <w:jc w:val="right"/>
              <w:rPr>
                <w:bCs/>
                <w:sz w:val="20"/>
              </w:rPr>
            </w:pPr>
            <w:r w:rsidRPr="00AE6188">
              <w:rPr>
                <w:lang w:eastAsia="en-GB"/>
              </w:rPr>
              <w:t> </w:t>
            </w:r>
          </w:p>
        </w:tc>
        <w:tc>
          <w:tcPr>
            <w:tcW w:w="844" w:type="pct"/>
            <w:tcBorders>
              <w:top w:val="single" w:sz="6" w:space="0" w:color="auto"/>
              <w:left w:val="single" w:sz="6" w:space="0" w:color="auto"/>
              <w:bottom w:val="single" w:sz="6" w:space="0" w:color="auto"/>
              <w:right w:val="single" w:sz="6" w:space="0" w:color="auto"/>
            </w:tcBorders>
            <w:vAlign w:val="center"/>
          </w:tcPr>
          <w:p w14:paraId="13866BE2" w14:textId="77777777" w:rsidR="00761B6C" w:rsidRPr="00236418" w:rsidRDefault="00761B6C" w:rsidP="00761B6C">
            <w:pPr>
              <w:pStyle w:val="Tabletext"/>
              <w:jc w:val="right"/>
              <w:rPr>
                <w:bCs/>
                <w:sz w:val="20"/>
              </w:rPr>
            </w:pPr>
            <w:r w:rsidRPr="00AE6188">
              <w:rPr>
                <w:lang w:eastAsia="en-GB"/>
              </w:rPr>
              <w:t>115</w:t>
            </w:r>
            <w:r>
              <w:rPr>
                <w:lang w:eastAsia="en-GB"/>
              </w:rPr>
              <w:t xml:space="preserve"> </w:t>
            </w:r>
            <w:r w:rsidRPr="00AE6188">
              <w:rPr>
                <w:lang w:eastAsia="en-GB"/>
              </w:rPr>
              <w:t>807</w:t>
            </w:r>
          </w:p>
        </w:tc>
        <w:tc>
          <w:tcPr>
            <w:tcW w:w="843" w:type="pct"/>
            <w:tcBorders>
              <w:top w:val="single" w:sz="6" w:space="0" w:color="auto"/>
              <w:left w:val="single" w:sz="6" w:space="0" w:color="auto"/>
              <w:bottom w:val="single" w:sz="6" w:space="0" w:color="auto"/>
              <w:right w:val="single" w:sz="6" w:space="0" w:color="auto"/>
            </w:tcBorders>
            <w:vAlign w:val="center"/>
          </w:tcPr>
          <w:p w14:paraId="26E573CD" w14:textId="77777777" w:rsidR="00761B6C" w:rsidRPr="00236418" w:rsidRDefault="00761B6C" w:rsidP="00761B6C">
            <w:pPr>
              <w:pStyle w:val="Tabletext"/>
              <w:jc w:val="right"/>
              <w:rPr>
                <w:bCs/>
                <w:sz w:val="20"/>
              </w:rPr>
            </w:pPr>
            <w:r w:rsidRPr="00AE6188">
              <w:rPr>
                <w:b/>
                <w:bCs/>
                <w:lang w:eastAsia="en-GB"/>
              </w:rPr>
              <w:t>8</w:t>
            </w:r>
            <w:r>
              <w:rPr>
                <w:b/>
                <w:bCs/>
                <w:lang w:eastAsia="en-GB"/>
              </w:rPr>
              <w:t xml:space="preserve"> </w:t>
            </w:r>
            <w:r w:rsidRPr="00AE6188">
              <w:rPr>
                <w:b/>
                <w:bCs/>
                <w:lang w:eastAsia="en-GB"/>
              </w:rPr>
              <w:t>894</w:t>
            </w:r>
            <w:r>
              <w:rPr>
                <w:b/>
                <w:bCs/>
                <w:lang w:eastAsia="en-GB"/>
              </w:rPr>
              <w:t xml:space="preserve"> </w:t>
            </w:r>
            <w:r w:rsidRPr="00AE6188">
              <w:rPr>
                <w:b/>
                <w:bCs/>
                <w:lang w:eastAsia="en-GB"/>
              </w:rPr>
              <w:t>586</w:t>
            </w:r>
          </w:p>
        </w:tc>
      </w:tr>
      <w:tr w:rsidR="00761B6C" w:rsidRPr="00236418" w14:paraId="7222213D" w14:textId="77777777" w:rsidTr="00761B6C">
        <w:trPr>
          <w:cantSplit/>
          <w:jc w:val="center"/>
        </w:trPr>
        <w:tc>
          <w:tcPr>
            <w:tcW w:w="1533" w:type="pct"/>
            <w:tcBorders>
              <w:top w:val="single" w:sz="6" w:space="0" w:color="auto"/>
              <w:left w:val="single" w:sz="6" w:space="0" w:color="auto"/>
              <w:bottom w:val="single" w:sz="6" w:space="0" w:color="auto"/>
              <w:right w:val="single" w:sz="6" w:space="0" w:color="auto"/>
            </w:tcBorders>
            <w:hideMark/>
          </w:tcPr>
          <w:p w14:paraId="2C56FE61" w14:textId="77777777" w:rsidR="00761B6C" w:rsidRPr="00236418" w:rsidRDefault="00761B6C" w:rsidP="00761B6C">
            <w:pPr>
              <w:pStyle w:val="TableText0"/>
              <w:rPr>
                <w:rFonts w:asciiTheme="minorHAnsi" w:hAnsiTheme="minorHAnsi"/>
              </w:rPr>
            </w:pPr>
            <w:r w:rsidRPr="00236418">
              <w:rPr>
                <w:rFonts w:asciiTheme="minorHAnsi" w:hAnsiTheme="minorHAnsi"/>
              </w:rPr>
              <w:t>Contributions de l</w:t>
            </w:r>
            <w:r>
              <w:rPr>
                <w:rFonts w:asciiTheme="minorHAnsi" w:hAnsiTheme="minorHAnsi"/>
              </w:rPr>
              <w:t>'</w:t>
            </w:r>
            <w:r w:rsidRPr="00236418">
              <w:rPr>
                <w:rFonts w:asciiTheme="minorHAnsi" w:hAnsiTheme="minorHAnsi"/>
              </w:rPr>
              <w:t>Union</w:t>
            </w:r>
          </w:p>
        </w:tc>
        <w:tc>
          <w:tcPr>
            <w:tcW w:w="894" w:type="pct"/>
            <w:tcBorders>
              <w:top w:val="single" w:sz="6" w:space="0" w:color="auto"/>
              <w:left w:val="single" w:sz="6" w:space="0" w:color="auto"/>
              <w:bottom w:val="single" w:sz="6" w:space="0" w:color="auto"/>
              <w:right w:val="single" w:sz="6" w:space="0" w:color="auto"/>
            </w:tcBorders>
            <w:vAlign w:val="center"/>
          </w:tcPr>
          <w:p w14:paraId="20698736" w14:textId="77777777" w:rsidR="00761B6C" w:rsidRPr="00236418" w:rsidRDefault="00761B6C" w:rsidP="00761B6C">
            <w:pPr>
              <w:pStyle w:val="Tabletext"/>
              <w:jc w:val="right"/>
              <w:rPr>
                <w:bCs/>
                <w:sz w:val="20"/>
              </w:rPr>
            </w:pPr>
            <w:r w:rsidRPr="00AE6188">
              <w:rPr>
                <w:lang w:eastAsia="en-GB"/>
              </w:rPr>
              <w:t>17</w:t>
            </w:r>
            <w:r>
              <w:rPr>
                <w:lang w:eastAsia="en-GB"/>
              </w:rPr>
              <w:t xml:space="preserve"> </w:t>
            </w:r>
            <w:r w:rsidRPr="00AE6188">
              <w:rPr>
                <w:lang w:eastAsia="en-GB"/>
              </w:rPr>
              <w:t>557</w:t>
            </w:r>
            <w:r>
              <w:rPr>
                <w:lang w:eastAsia="en-GB"/>
              </w:rPr>
              <w:t xml:space="preserve"> </w:t>
            </w:r>
            <w:r w:rsidRPr="00AE6188">
              <w:rPr>
                <w:lang w:eastAsia="en-GB"/>
              </w:rPr>
              <w:t>558</w:t>
            </w:r>
          </w:p>
        </w:tc>
        <w:tc>
          <w:tcPr>
            <w:tcW w:w="886" w:type="pct"/>
            <w:tcBorders>
              <w:top w:val="single" w:sz="6" w:space="0" w:color="auto"/>
              <w:left w:val="single" w:sz="6" w:space="0" w:color="auto"/>
              <w:bottom w:val="single" w:sz="6" w:space="0" w:color="auto"/>
              <w:right w:val="single" w:sz="6" w:space="0" w:color="auto"/>
            </w:tcBorders>
            <w:vAlign w:val="center"/>
          </w:tcPr>
          <w:p w14:paraId="0B74F065" w14:textId="77777777" w:rsidR="00761B6C" w:rsidRPr="00236418" w:rsidRDefault="00761B6C" w:rsidP="00761B6C">
            <w:pPr>
              <w:pStyle w:val="Tabletext"/>
              <w:jc w:val="right"/>
              <w:rPr>
                <w:bCs/>
                <w:sz w:val="20"/>
              </w:rPr>
            </w:pPr>
            <w:r w:rsidRPr="00AE6188">
              <w:rPr>
                <w:lang w:eastAsia="en-GB"/>
              </w:rPr>
              <w:t> </w:t>
            </w:r>
          </w:p>
        </w:tc>
        <w:tc>
          <w:tcPr>
            <w:tcW w:w="844" w:type="pct"/>
            <w:tcBorders>
              <w:top w:val="single" w:sz="6" w:space="0" w:color="auto"/>
              <w:left w:val="single" w:sz="6" w:space="0" w:color="auto"/>
              <w:bottom w:val="single" w:sz="6" w:space="0" w:color="auto"/>
              <w:right w:val="single" w:sz="6" w:space="0" w:color="auto"/>
            </w:tcBorders>
            <w:vAlign w:val="center"/>
          </w:tcPr>
          <w:p w14:paraId="20371B00" w14:textId="77777777" w:rsidR="00761B6C" w:rsidRPr="00236418" w:rsidRDefault="00761B6C" w:rsidP="00761B6C">
            <w:pPr>
              <w:pStyle w:val="Tabletext"/>
              <w:jc w:val="right"/>
              <w:rPr>
                <w:bCs/>
                <w:sz w:val="20"/>
              </w:rPr>
            </w:pPr>
            <w:r w:rsidRPr="00AE6188">
              <w:rPr>
                <w:lang w:eastAsia="en-GB"/>
              </w:rPr>
              <w:t>231</w:t>
            </w:r>
            <w:r>
              <w:rPr>
                <w:lang w:eastAsia="en-GB"/>
              </w:rPr>
              <w:t xml:space="preserve"> </w:t>
            </w:r>
            <w:r w:rsidRPr="00AE6188">
              <w:rPr>
                <w:lang w:eastAsia="en-GB"/>
              </w:rPr>
              <w:t>615</w:t>
            </w:r>
          </w:p>
        </w:tc>
        <w:tc>
          <w:tcPr>
            <w:tcW w:w="843" w:type="pct"/>
            <w:tcBorders>
              <w:top w:val="single" w:sz="6" w:space="0" w:color="auto"/>
              <w:left w:val="single" w:sz="6" w:space="0" w:color="auto"/>
              <w:bottom w:val="single" w:sz="6" w:space="0" w:color="auto"/>
              <w:right w:val="single" w:sz="6" w:space="0" w:color="auto"/>
            </w:tcBorders>
            <w:vAlign w:val="center"/>
          </w:tcPr>
          <w:p w14:paraId="7D138D56" w14:textId="77777777" w:rsidR="00761B6C" w:rsidRPr="00236418" w:rsidRDefault="00761B6C" w:rsidP="00761B6C">
            <w:pPr>
              <w:pStyle w:val="Tabletext"/>
              <w:jc w:val="right"/>
              <w:rPr>
                <w:bCs/>
                <w:sz w:val="20"/>
              </w:rPr>
            </w:pPr>
            <w:r w:rsidRPr="00AE6188">
              <w:rPr>
                <w:b/>
                <w:bCs/>
                <w:lang w:eastAsia="en-GB"/>
              </w:rPr>
              <w:t>17</w:t>
            </w:r>
            <w:r>
              <w:rPr>
                <w:b/>
                <w:bCs/>
                <w:lang w:eastAsia="en-GB"/>
              </w:rPr>
              <w:t xml:space="preserve"> </w:t>
            </w:r>
            <w:r w:rsidRPr="00AE6188">
              <w:rPr>
                <w:b/>
                <w:bCs/>
                <w:lang w:eastAsia="en-GB"/>
              </w:rPr>
              <w:t>789</w:t>
            </w:r>
            <w:r>
              <w:rPr>
                <w:b/>
                <w:bCs/>
                <w:lang w:eastAsia="en-GB"/>
              </w:rPr>
              <w:t xml:space="preserve"> </w:t>
            </w:r>
            <w:r w:rsidRPr="00AE6188">
              <w:rPr>
                <w:b/>
                <w:bCs/>
                <w:lang w:eastAsia="en-GB"/>
              </w:rPr>
              <w:t>173</w:t>
            </w:r>
          </w:p>
        </w:tc>
      </w:tr>
      <w:tr w:rsidR="00761B6C" w:rsidRPr="00236418" w14:paraId="3BB5938A" w14:textId="77777777" w:rsidTr="00761B6C">
        <w:trPr>
          <w:cantSplit/>
          <w:jc w:val="center"/>
        </w:trPr>
        <w:tc>
          <w:tcPr>
            <w:tcW w:w="1533" w:type="pct"/>
            <w:tcBorders>
              <w:top w:val="single" w:sz="6" w:space="0" w:color="auto"/>
              <w:left w:val="single" w:sz="6" w:space="0" w:color="auto"/>
              <w:bottom w:val="single" w:sz="4" w:space="0" w:color="auto"/>
              <w:right w:val="single" w:sz="6" w:space="0" w:color="auto"/>
            </w:tcBorders>
          </w:tcPr>
          <w:p w14:paraId="22620AE3" w14:textId="77777777" w:rsidR="00761B6C" w:rsidRPr="006C3DC4" w:rsidRDefault="00761B6C" w:rsidP="00761B6C">
            <w:pPr>
              <w:pStyle w:val="TableText0"/>
              <w:rPr>
                <w:rFonts w:asciiTheme="minorHAnsi" w:hAnsiTheme="minorHAnsi"/>
              </w:rPr>
            </w:pPr>
            <w:proofErr w:type="spellStart"/>
            <w:r>
              <w:rPr>
                <w:rFonts w:asciiTheme="minorHAnsi" w:hAnsiTheme="minorHAnsi"/>
                <w:lang w:val="en-GB"/>
              </w:rPr>
              <w:t>Autres</w:t>
            </w:r>
            <w:proofErr w:type="spellEnd"/>
            <w:r>
              <w:rPr>
                <w:rFonts w:asciiTheme="minorHAnsi" w:hAnsiTheme="minorHAnsi"/>
                <w:lang w:val="en-GB"/>
              </w:rPr>
              <w:t xml:space="preserve"> contributions</w:t>
            </w:r>
          </w:p>
        </w:tc>
        <w:tc>
          <w:tcPr>
            <w:tcW w:w="894" w:type="pct"/>
            <w:tcBorders>
              <w:top w:val="single" w:sz="6" w:space="0" w:color="auto"/>
              <w:left w:val="single" w:sz="6" w:space="0" w:color="auto"/>
              <w:bottom w:val="single" w:sz="4" w:space="0" w:color="auto"/>
              <w:right w:val="single" w:sz="6" w:space="0" w:color="auto"/>
            </w:tcBorders>
            <w:vAlign w:val="center"/>
          </w:tcPr>
          <w:p w14:paraId="26486555" w14:textId="77777777" w:rsidR="00761B6C" w:rsidRPr="006C3DC4" w:rsidRDefault="00761B6C" w:rsidP="00761B6C">
            <w:pPr>
              <w:pStyle w:val="Tabletext"/>
              <w:jc w:val="right"/>
              <w:rPr>
                <w:sz w:val="20"/>
              </w:rPr>
            </w:pPr>
            <w:r w:rsidRPr="00AE6188">
              <w:rPr>
                <w:lang w:eastAsia="en-GB"/>
              </w:rPr>
              <w:t> </w:t>
            </w:r>
          </w:p>
        </w:tc>
        <w:tc>
          <w:tcPr>
            <w:tcW w:w="886" w:type="pct"/>
            <w:tcBorders>
              <w:top w:val="single" w:sz="6" w:space="0" w:color="auto"/>
              <w:left w:val="single" w:sz="6" w:space="0" w:color="auto"/>
              <w:bottom w:val="single" w:sz="4" w:space="0" w:color="auto"/>
              <w:right w:val="single" w:sz="6" w:space="0" w:color="auto"/>
            </w:tcBorders>
            <w:vAlign w:val="center"/>
          </w:tcPr>
          <w:p w14:paraId="42643091" w14:textId="77777777" w:rsidR="00761B6C" w:rsidRPr="006C3DC4" w:rsidRDefault="00761B6C" w:rsidP="00761B6C">
            <w:pPr>
              <w:pStyle w:val="Tabletext"/>
              <w:jc w:val="right"/>
              <w:rPr>
                <w:sz w:val="20"/>
              </w:rPr>
            </w:pPr>
            <w:r w:rsidRPr="00AE6188">
              <w:rPr>
                <w:lang w:eastAsia="en-GB"/>
              </w:rPr>
              <w:t> </w:t>
            </w:r>
          </w:p>
        </w:tc>
        <w:tc>
          <w:tcPr>
            <w:tcW w:w="844" w:type="pct"/>
            <w:tcBorders>
              <w:top w:val="single" w:sz="6" w:space="0" w:color="auto"/>
              <w:left w:val="single" w:sz="6" w:space="0" w:color="auto"/>
              <w:bottom w:val="single" w:sz="4" w:space="0" w:color="auto"/>
              <w:right w:val="single" w:sz="6" w:space="0" w:color="auto"/>
            </w:tcBorders>
            <w:vAlign w:val="center"/>
          </w:tcPr>
          <w:p w14:paraId="18A7F77B" w14:textId="77777777" w:rsidR="00761B6C" w:rsidRPr="006C3DC4" w:rsidRDefault="00761B6C" w:rsidP="00761B6C">
            <w:pPr>
              <w:pStyle w:val="Tabletext"/>
              <w:jc w:val="right"/>
              <w:rPr>
                <w:sz w:val="20"/>
              </w:rPr>
            </w:pPr>
            <w:r w:rsidRPr="00AE6188">
              <w:rPr>
                <w:lang w:eastAsia="en-GB"/>
              </w:rPr>
              <w:t>36</w:t>
            </w:r>
            <w:r>
              <w:rPr>
                <w:lang w:eastAsia="en-GB"/>
              </w:rPr>
              <w:t xml:space="preserve"> </w:t>
            </w:r>
            <w:r w:rsidRPr="00AE6188">
              <w:rPr>
                <w:lang w:eastAsia="en-GB"/>
              </w:rPr>
              <w:t>153</w:t>
            </w:r>
          </w:p>
        </w:tc>
        <w:tc>
          <w:tcPr>
            <w:tcW w:w="843" w:type="pct"/>
            <w:tcBorders>
              <w:top w:val="single" w:sz="6" w:space="0" w:color="auto"/>
              <w:left w:val="single" w:sz="6" w:space="0" w:color="auto"/>
              <w:bottom w:val="single" w:sz="4" w:space="0" w:color="auto"/>
              <w:right w:val="single" w:sz="6" w:space="0" w:color="auto"/>
            </w:tcBorders>
            <w:vAlign w:val="center"/>
          </w:tcPr>
          <w:p w14:paraId="7ECDE420" w14:textId="77777777" w:rsidR="00761B6C" w:rsidRPr="006C3DC4" w:rsidRDefault="00761B6C" w:rsidP="00761B6C">
            <w:pPr>
              <w:pStyle w:val="Tabletext"/>
              <w:jc w:val="right"/>
              <w:rPr>
                <w:sz w:val="20"/>
              </w:rPr>
            </w:pPr>
            <w:r w:rsidRPr="00AE6188">
              <w:rPr>
                <w:b/>
                <w:bCs/>
                <w:lang w:eastAsia="en-GB"/>
              </w:rPr>
              <w:t>36</w:t>
            </w:r>
            <w:r>
              <w:rPr>
                <w:b/>
                <w:bCs/>
                <w:lang w:eastAsia="en-GB"/>
              </w:rPr>
              <w:t xml:space="preserve"> </w:t>
            </w:r>
            <w:r w:rsidRPr="00AE6188">
              <w:rPr>
                <w:b/>
                <w:bCs/>
                <w:lang w:eastAsia="en-GB"/>
              </w:rPr>
              <w:t>153</w:t>
            </w:r>
          </w:p>
        </w:tc>
      </w:tr>
      <w:tr w:rsidR="00761B6C" w:rsidRPr="00236418" w14:paraId="7AAB0D99" w14:textId="77777777" w:rsidTr="00761B6C">
        <w:trPr>
          <w:cantSplit/>
          <w:jc w:val="center"/>
        </w:trPr>
        <w:tc>
          <w:tcPr>
            <w:tcW w:w="1533" w:type="pct"/>
            <w:tcBorders>
              <w:top w:val="single" w:sz="6" w:space="0" w:color="auto"/>
              <w:left w:val="single" w:sz="6" w:space="0" w:color="auto"/>
              <w:bottom w:val="single" w:sz="4" w:space="0" w:color="auto"/>
              <w:right w:val="single" w:sz="6" w:space="0" w:color="auto"/>
            </w:tcBorders>
            <w:hideMark/>
          </w:tcPr>
          <w:p w14:paraId="3FE9EEF9" w14:textId="77777777" w:rsidR="00761B6C" w:rsidRPr="00236418" w:rsidRDefault="00761B6C" w:rsidP="00761B6C">
            <w:pPr>
              <w:pStyle w:val="TableText0"/>
              <w:rPr>
                <w:rFonts w:asciiTheme="minorHAnsi" w:hAnsiTheme="minorHAnsi"/>
                <w:b/>
                <w:bCs/>
              </w:rPr>
            </w:pPr>
            <w:r w:rsidRPr="00236418">
              <w:rPr>
                <w:rFonts w:asciiTheme="minorHAnsi" w:hAnsiTheme="minorHAnsi"/>
                <w:b/>
                <w:bCs/>
              </w:rPr>
              <w:t>Total</w:t>
            </w:r>
          </w:p>
        </w:tc>
        <w:tc>
          <w:tcPr>
            <w:tcW w:w="894" w:type="pct"/>
            <w:tcBorders>
              <w:top w:val="single" w:sz="6" w:space="0" w:color="auto"/>
              <w:left w:val="single" w:sz="6" w:space="0" w:color="auto"/>
              <w:bottom w:val="single" w:sz="4" w:space="0" w:color="auto"/>
              <w:right w:val="single" w:sz="6" w:space="0" w:color="auto"/>
            </w:tcBorders>
            <w:vAlign w:val="center"/>
          </w:tcPr>
          <w:p w14:paraId="0C819822" w14:textId="77777777" w:rsidR="00761B6C" w:rsidRPr="00236418" w:rsidRDefault="00761B6C" w:rsidP="00761B6C">
            <w:pPr>
              <w:pStyle w:val="Tabletext"/>
              <w:jc w:val="right"/>
              <w:rPr>
                <w:b/>
                <w:sz w:val="20"/>
              </w:rPr>
            </w:pPr>
            <w:r w:rsidRPr="00AE6188">
              <w:rPr>
                <w:b/>
                <w:bCs/>
                <w:lang w:eastAsia="en-GB"/>
              </w:rPr>
              <w:t>26</w:t>
            </w:r>
            <w:r>
              <w:rPr>
                <w:b/>
                <w:bCs/>
                <w:lang w:eastAsia="en-GB"/>
              </w:rPr>
              <w:t xml:space="preserve"> </w:t>
            </w:r>
            <w:r w:rsidRPr="00AE6188">
              <w:rPr>
                <w:b/>
                <w:bCs/>
                <w:lang w:eastAsia="en-GB"/>
              </w:rPr>
              <w:t>336</w:t>
            </w:r>
            <w:r>
              <w:rPr>
                <w:b/>
                <w:bCs/>
                <w:lang w:eastAsia="en-GB"/>
              </w:rPr>
              <w:t xml:space="preserve"> </w:t>
            </w:r>
            <w:r w:rsidRPr="00AE6188">
              <w:rPr>
                <w:b/>
                <w:bCs/>
                <w:lang w:eastAsia="en-GB"/>
              </w:rPr>
              <w:t>337</w:t>
            </w:r>
          </w:p>
        </w:tc>
        <w:tc>
          <w:tcPr>
            <w:tcW w:w="886" w:type="pct"/>
            <w:tcBorders>
              <w:top w:val="single" w:sz="6" w:space="0" w:color="auto"/>
              <w:left w:val="single" w:sz="6" w:space="0" w:color="auto"/>
              <w:bottom w:val="single" w:sz="4" w:space="0" w:color="auto"/>
              <w:right w:val="single" w:sz="6" w:space="0" w:color="auto"/>
            </w:tcBorders>
            <w:vAlign w:val="center"/>
          </w:tcPr>
          <w:p w14:paraId="62B60360" w14:textId="77777777" w:rsidR="00761B6C" w:rsidRPr="00236418" w:rsidRDefault="00761B6C" w:rsidP="00761B6C">
            <w:pPr>
              <w:pStyle w:val="Tabletext"/>
              <w:jc w:val="right"/>
              <w:rPr>
                <w:b/>
                <w:sz w:val="20"/>
              </w:rPr>
            </w:pPr>
            <w:r w:rsidRPr="006C3DC4">
              <w:rPr>
                <w:b/>
                <w:sz w:val="20"/>
              </w:rPr>
              <w:t>–</w:t>
            </w:r>
          </w:p>
        </w:tc>
        <w:tc>
          <w:tcPr>
            <w:tcW w:w="844" w:type="pct"/>
            <w:tcBorders>
              <w:top w:val="single" w:sz="6" w:space="0" w:color="auto"/>
              <w:left w:val="single" w:sz="6" w:space="0" w:color="auto"/>
              <w:bottom w:val="single" w:sz="4" w:space="0" w:color="auto"/>
              <w:right w:val="single" w:sz="6" w:space="0" w:color="auto"/>
            </w:tcBorders>
            <w:vAlign w:val="center"/>
          </w:tcPr>
          <w:p w14:paraId="7BAC6E76" w14:textId="77777777" w:rsidR="00761B6C" w:rsidRPr="00236418" w:rsidRDefault="00761B6C" w:rsidP="00761B6C">
            <w:pPr>
              <w:pStyle w:val="Tabletext"/>
              <w:jc w:val="right"/>
              <w:rPr>
                <w:b/>
                <w:sz w:val="20"/>
              </w:rPr>
            </w:pPr>
            <w:r w:rsidRPr="00AE6188">
              <w:rPr>
                <w:b/>
                <w:bCs/>
                <w:lang w:eastAsia="en-GB"/>
              </w:rPr>
              <w:t>383</w:t>
            </w:r>
            <w:r>
              <w:rPr>
                <w:b/>
                <w:bCs/>
                <w:lang w:eastAsia="en-GB"/>
              </w:rPr>
              <w:t xml:space="preserve"> </w:t>
            </w:r>
            <w:r w:rsidRPr="00AE6188">
              <w:rPr>
                <w:b/>
                <w:bCs/>
                <w:lang w:eastAsia="en-GB"/>
              </w:rPr>
              <w:t>576</w:t>
            </w:r>
          </w:p>
        </w:tc>
        <w:tc>
          <w:tcPr>
            <w:tcW w:w="843" w:type="pct"/>
            <w:tcBorders>
              <w:top w:val="single" w:sz="6" w:space="0" w:color="auto"/>
              <w:left w:val="single" w:sz="6" w:space="0" w:color="auto"/>
              <w:bottom w:val="single" w:sz="4" w:space="0" w:color="auto"/>
              <w:right w:val="single" w:sz="6" w:space="0" w:color="auto"/>
            </w:tcBorders>
            <w:vAlign w:val="center"/>
          </w:tcPr>
          <w:p w14:paraId="211696FC" w14:textId="77777777" w:rsidR="00761B6C" w:rsidRPr="00236418" w:rsidRDefault="00761B6C" w:rsidP="00761B6C">
            <w:pPr>
              <w:pStyle w:val="Tabletext"/>
              <w:jc w:val="right"/>
              <w:rPr>
                <w:b/>
                <w:sz w:val="20"/>
              </w:rPr>
            </w:pPr>
            <w:r w:rsidRPr="00AE6188">
              <w:rPr>
                <w:b/>
                <w:bCs/>
                <w:lang w:eastAsia="en-GB"/>
              </w:rPr>
              <w:t>26</w:t>
            </w:r>
            <w:r>
              <w:rPr>
                <w:b/>
                <w:bCs/>
                <w:lang w:eastAsia="en-GB"/>
              </w:rPr>
              <w:t xml:space="preserve"> </w:t>
            </w:r>
            <w:r w:rsidRPr="00AE6188">
              <w:rPr>
                <w:b/>
                <w:bCs/>
                <w:lang w:eastAsia="en-GB"/>
              </w:rPr>
              <w:t>719</w:t>
            </w:r>
            <w:r>
              <w:rPr>
                <w:b/>
                <w:bCs/>
                <w:lang w:eastAsia="en-GB"/>
              </w:rPr>
              <w:t xml:space="preserve"> </w:t>
            </w:r>
            <w:r w:rsidRPr="00AE6188">
              <w:rPr>
                <w:b/>
                <w:bCs/>
                <w:lang w:eastAsia="en-GB"/>
              </w:rPr>
              <w:t>913</w:t>
            </w:r>
          </w:p>
        </w:tc>
      </w:tr>
    </w:tbl>
    <w:p w14:paraId="0F358E70" w14:textId="77777777" w:rsidR="00761B6C" w:rsidRPr="00236418" w:rsidRDefault="00761B6C" w:rsidP="00761B6C">
      <w:pPr>
        <w:pStyle w:val="Normalaftertitle"/>
        <w:rPr>
          <w:u w:val="single"/>
        </w:rPr>
      </w:pPr>
      <w:r w:rsidRPr="00236418">
        <w:rPr>
          <w:u w:val="single"/>
        </w:rPr>
        <w:t>Engagements concernant les autres avantages du personnel</w:t>
      </w:r>
    </w:p>
    <w:p w14:paraId="14A608E0" w14:textId="77777777" w:rsidR="00761B6C" w:rsidRPr="00236418" w:rsidRDefault="00761B6C" w:rsidP="00761B6C">
      <w:r w:rsidRPr="00236418">
        <w:t>Avant la constitution de la Caisse commune des pensions du personnel des Nations Unies et de la Caisse d</w:t>
      </w:r>
      <w:r>
        <w:t>'</w:t>
      </w:r>
      <w:r w:rsidRPr="00236418">
        <w:t>assurance pour la protection de la santé du personnel et son affiliation à ces caisses, l</w:t>
      </w:r>
      <w:r>
        <w:t>'</w:t>
      </w:r>
      <w:r w:rsidRPr="00236418">
        <w:t>UIT avait créé des fonds pour fournir les prestations de retraite, de décès, d</w:t>
      </w:r>
      <w:r>
        <w:t>'</w:t>
      </w:r>
      <w:r w:rsidRPr="00236418">
        <w:t>invalidité ou d</w:t>
      </w:r>
      <w:r>
        <w:t>'</w:t>
      </w:r>
      <w:r w:rsidRPr="00236418">
        <w:t>assurance</w:t>
      </w:r>
      <w:r>
        <w:noBreakHyphen/>
      </w:r>
      <w:r w:rsidRPr="00236418">
        <w:t>maladie aux membres de son personnel. Ces fonds fonctionnent en caisse fermée depuis l</w:t>
      </w:r>
      <w:r>
        <w:t>'</w:t>
      </w:r>
      <w:r w:rsidRPr="00236418">
        <w:t>affiliation de l</w:t>
      </w:r>
      <w:r>
        <w:t>'</w:t>
      </w:r>
      <w:r w:rsidRPr="00236418">
        <w:t>UIT aux Caisses susmentionnées. Les engagements sont indiqués dans les passifs à long terme. Des conventions ont été établies entre l</w:t>
      </w:r>
      <w:r>
        <w:t>'</w:t>
      </w:r>
      <w:r w:rsidRPr="00236418">
        <w:t>UIT et les fonds de l</w:t>
      </w:r>
      <w:r>
        <w:t>'</w:t>
      </w:r>
      <w:r w:rsidRPr="00236418">
        <w:t>UIT afin d</w:t>
      </w:r>
      <w:r>
        <w:t>'</w:t>
      </w:r>
      <w:r w:rsidRPr="00236418">
        <w:t>assurer le financement de ces derniers.</w:t>
      </w:r>
    </w:p>
    <w:p w14:paraId="40AF36F7" w14:textId="77777777" w:rsidR="00761B6C" w:rsidRPr="00236418" w:rsidRDefault="00761B6C" w:rsidP="00761B6C">
      <w:pPr>
        <w:rPr>
          <w:sz w:val="22"/>
          <w:lang w:eastAsia="zh-CN"/>
        </w:rPr>
      </w:pPr>
      <w:r w:rsidRPr="00236418">
        <w:t>En 20</w:t>
      </w:r>
      <w:r>
        <w:t>20</w:t>
      </w:r>
      <w:r w:rsidRPr="00236418">
        <w:t>, l</w:t>
      </w:r>
      <w:r>
        <w:t>'</w:t>
      </w:r>
      <w:r w:rsidRPr="00236418">
        <w:t>Union n</w:t>
      </w:r>
      <w:r>
        <w:t>'</w:t>
      </w:r>
      <w:r w:rsidRPr="00236418">
        <w:t>a pas jugé utile de demander une nouvelle étude actuarielle pour la Caisse d</w:t>
      </w:r>
      <w:r>
        <w:t>'</w:t>
      </w:r>
      <w:r w:rsidRPr="00236418">
        <w:t>assurance du personnel de l</w:t>
      </w:r>
      <w:r>
        <w:t>'</w:t>
      </w:r>
      <w:r w:rsidRPr="00236418">
        <w:t>UIT. Au 31 décembre 20</w:t>
      </w:r>
      <w:r>
        <w:t>20</w:t>
      </w:r>
      <w:r w:rsidRPr="00236418">
        <w:t>, la provision pour les engagements résultant des rentes en cours des anciens fonctionnaires affiliés à la Caisse d</w:t>
      </w:r>
      <w:r>
        <w:t>'</w:t>
      </w:r>
      <w:r w:rsidRPr="00236418">
        <w:t>assurance du personnel, comptabilisée en 2010 pour un montant de 54 000 CHF, reste inchangée.</w:t>
      </w:r>
    </w:p>
    <w:p w14:paraId="1CDC8769" w14:textId="77777777" w:rsidR="00761B6C" w:rsidRPr="00236418" w:rsidRDefault="00761B6C" w:rsidP="00761B6C">
      <w:pPr>
        <w:pStyle w:val="Heading1"/>
        <w:spacing w:before="240" w:after="120"/>
        <w:rPr>
          <w:sz w:val="24"/>
          <w:szCs w:val="24"/>
        </w:rPr>
      </w:pPr>
      <w:bookmarkStart w:id="1946" w:name="_Toc268007555"/>
      <w:bookmarkStart w:id="1947" w:name="_Toc329178795"/>
      <w:bookmarkStart w:id="1948" w:name="_Toc329181768"/>
      <w:bookmarkStart w:id="1949" w:name="_Toc329202588"/>
      <w:bookmarkStart w:id="1950" w:name="_Toc329205020"/>
      <w:bookmarkStart w:id="1951" w:name="_Toc329206857"/>
      <w:bookmarkStart w:id="1952" w:name="_Toc358379940"/>
      <w:bookmarkStart w:id="1953" w:name="_Toc358380483"/>
      <w:bookmarkStart w:id="1954" w:name="_Toc452139850"/>
      <w:bookmarkStart w:id="1955" w:name="_Toc452140724"/>
      <w:bookmarkStart w:id="1956" w:name="_Toc482801512"/>
      <w:bookmarkStart w:id="1957" w:name="_Toc511649484"/>
      <w:bookmarkStart w:id="1958" w:name="_Toc511649854"/>
      <w:bookmarkStart w:id="1959" w:name="_Toc511649970"/>
      <w:bookmarkStart w:id="1960" w:name="_Toc511651230"/>
      <w:bookmarkStart w:id="1961" w:name="_Toc511724093"/>
      <w:bookmarkStart w:id="1962" w:name="_Toc511739082"/>
      <w:bookmarkStart w:id="1963" w:name="_Toc511741253"/>
      <w:bookmarkStart w:id="1964" w:name="_Toc10450766"/>
      <w:bookmarkStart w:id="1965" w:name="_Toc41566359"/>
      <w:bookmarkStart w:id="1966" w:name="_Toc41567366"/>
      <w:bookmarkStart w:id="1967" w:name="_Toc41567869"/>
      <w:bookmarkStart w:id="1968" w:name="_Toc41814963"/>
      <w:bookmarkStart w:id="1969" w:name="_Toc73354460"/>
      <w:bookmarkStart w:id="1970" w:name="_Toc73356436"/>
      <w:r w:rsidRPr="00236418">
        <w:rPr>
          <w:sz w:val="24"/>
          <w:szCs w:val="24"/>
        </w:rPr>
        <w:t>Note 18</w:t>
      </w:r>
      <w:r w:rsidRPr="00236418">
        <w:rPr>
          <w:sz w:val="24"/>
          <w:szCs w:val="24"/>
        </w:rPr>
        <w:tab/>
        <w:t>Provisions</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14:paraId="53438D47" w14:textId="77777777" w:rsidR="00761B6C" w:rsidRPr="00236418" w:rsidRDefault="00761B6C" w:rsidP="00761B6C">
      <w:pPr>
        <w:pStyle w:val="Normalaftertitle"/>
        <w:keepNext/>
        <w:keepLines/>
        <w:spacing w:before="120"/>
        <w:rPr>
          <w:bCs/>
        </w:rPr>
      </w:pPr>
      <w:r w:rsidRPr="00236418">
        <w:t>Les provisions pour risques et charges se composent de la provision pour litiges qui représente l</w:t>
      </w:r>
      <w:r>
        <w:t>'</w:t>
      </w:r>
      <w:r w:rsidRPr="00236418">
        <w:t>évaluation à la date de clôture des obligations futures liées à un évènement passé au titre de divers litiges auxquels l</w:t>
      </w:r>
      <w:r>
        <w:t>'</w:t>
      </w:r>
      <w:r w:rsidRPr="00236418">
        <w:t>UIT est partie prenante ainsi que du coût moyen pour les frais administratifs de chaque cas présenté au tribunal.</w:t>
      </w:r>
    </w:p>
    <w:p w14:paraId="618FB73B" w14:textId="77777777" w:rsidR="00761B6C" w:rsidRDefault="00761B6C" w:rsidP="00761B6C">
      <w:pPr>
        <w:spacing w:after="240"/>
        <w:rPr>
          <w:bCs/>
        </w:rPr>
      </w:pPr>
      <w:r w:rsidRPr="00236418">
        <w:rPr>
          <w:bCs/>
        </w:rPr>
        <w:t>La provision pour les fiches de notification des réseaux à satellite (SNF) constitue le montant que les Administrations peuvent demander au titre de la gratuité de leur demande de publication au cours d</w:t>
      </w:r>
      <w:r>
        <w:rPr>
          <w:bCs/>
        </w:rPr>
        <w:t>'</w:t>
      </w:r>
      <w:r w:rsidRPr="00236418">
        <w:rPr>
          <w:bCs/>
        </w:rPr>
        <w:t>une année. Cette provision a été entièrement utilisée au cours de l</w:t>
      </w:r>
      <w:r>
        <w:rPr>
          <w:bCs/>
        </w:rPr>
        <w:t>'</w:t>
      </w:r>
      <w:r w:rsidRPr="00236418">
        <w:rPr>
          <w:bCs/>
        </w:rPr>
        <w:t>exercice.</w:t>
      </w:r>
    </w:p>
    <w:tbl>
      <w:tblPr>
        <w:tblStyle w:val="TableGrid"/>
        <w:tblW w:w="0" w:type="auto"/>
        <w:tblLook w:val="04A0" w:firstRow="1" w:lastRow="0" w:firstColumn="1" w:lastColumn="0" w:noHBand="0" w:noVBand="1"/>
        <w:tblCaption w:val="E"/>
      </w:tblPr>
      <w:tblGrid>
        <w:gridCol w:w="3541"/>
        <w:gridCol w:w="1841"/>
        <w:gridCol w:w="1984"/>
        <w:gridCol w:w="1843"/>
      </w:tblGrid>
      <w:tr w:rsidR="00761B6C" w:rsidRPr="00236418" w14:paraId="236A51E9" w14:textId="77777777" w:rsidTr="00761B6C">
        <w:tc>
          <w:tcPr>
            <w:tcW w:w="3541" w:type="dxa"/>
          </w:tcPr>
          <w:p w14:paraId="6891DB31" w14:textId="77777777" w:rsidR="00761B6C" w:rsidRPr="00236418" w:rsidRDefault="00761B6C" w:rsidP="00403E7A">
            <w:pPr>
              <w:pStyle w:val="Tablehead"/>
              <w:spacing w:before="40" w:after="40"/>
              <w:rPr>
                <w:sz w:val="20"/>
                <w:lang w:eastAsia="zh-CN"/>
              </w:rPr>
            </w:pPr>
          </w:p>
        </w:tc>
        <w:tc>
          <w:tcPr>
            <w:tcW w:w="5668" w:type="dxa"/>
            <w:gridSpan w:val="3"/>
          </w:tcPr>
          <w:p w14:paraId="3E92DE63" w14:textId="77777777" w:rsidR="00761B6C" w:rsidRPr="00236418" w:rsidRDefault="00761B6C" w:rsidP="00403E7A">
            <w:pPr>
              <w:pStyle w:val="Tablehead"/>
              <w:spacing w:before="40" w:after="40"/>
              <w:rPr>
                <w:sz w:val="20"/>
                <w:lang w:eastAsia="zh-CN"/>
              </w:rPr>
            </w:pPr>
            <w:r w:rsidRPr="00236418">
              <w:rPr>
                <w:sz w:val="20"/>
                <w:lang w:eastAsia="zh-CN"/>
              </w:rPr>
              <w:t>Provisions</w:t>
            </w:r>
          </w:p>
        </w:tc>
      </w:tr>
      <w:tr w:rsidR="00761B6C" w:rsidRPr="00236418" w14:paraId="290F1595" w14:textId="77777777" w:rsidTr="00761B6C">
        <w:tc>
          <w:tcPr>
            <w:tcW w:w="3541" w:type="dxa"/>
            <w:hideMark/>
          </w:tcPr>
          <w:p w14:paraId="40D5183C" w14:textId="77777777" w:rsidR="00761B6C" w:rsidRPr="00236418" w:rsidRDefault="00761B6C" w:rsidP="00403E7A">
            <w:pPr>
              <w:pStyle w:val="Tablehead"/>
              <w:spacing w:before="40" w:after="40"/>
              <w:rPr>
                <w:sz w:val="20"/>
                <w:lang w:eastAsia="zh-CN"/>
              </w:rPr>
            </w:pPr>
            <w:r w:rsidRPr="00236418">
              <w:rPr>
                <w:sz w:val="20"/>
                <w:lang w:eastAsia="zh-CN"/>
              </w:rPr>
              <w:t>En milliers</w:t>
            </w:r>
            <w:r>
              <w:rPr>
                <w:sz w:val="20"/>
                <w:lang w:eastAsia="zh-CN"/>
              </w:rPr>
              <w:t xml:space="preserve"> </w:t>
            </w:r>
            <w:r w:rsidRPr="00236418">
              <w:rPr>
                <w:sz w:val="20"/>
                <w:lang w:eastAsia="zh-CN"/>
              </w:rPr>
              <w:t>CHF</w:t>
            </w:r>
          </w:p>
        </w:tc>
        <w:tc>
          <w:tcPr>
            <w:tcW w:w="1841" w:type="dxa"/>
            <w:hideMark/>
          </w:tcPr>
          <w:p w14:paraId="4A0F7F4D" w14:textId="77777777" w:rsidR="00761B6C" w:rsidRPr="00236418" w:rsidRDefault="00761B6C" w:rsidP="00403E7A">
            <w:pPr>
              <w:pStyle w:val="Tablehead"/>
              <w:spacing w:before="40" w:after="40"/>
              <w:rPr>
                <w:sz w:val="20"/>
                <w:lang w:eastAsia="zh-CN"/>
              </w:rPr>
            </w:pPr>
            <w:r w:rsidRPr="00236418">
              <w:rPr>
                <w:sz w:val="20"/>
                <w:lang w:eastAsia="zh-CN"/>
              </w:rPr>
              <w:t>SNF</w:t>
            </w:r>
          </w:p>
        </w:tc>
        <w:tc>
          <w:tcPr>
            <w:tcW w:w="1984" w:type="dxa"/>
            <w:hideMark/>
          </w:tcPr>
          <w:p w14:paraId="4F938E14" w14:textId="77777777" w:rsidR="00761B6C" w:rsidRPr="00236418" w:rsidRDefault="00761B6C" w:rsidP="00403E7A">
            <w:pPr>
              <w:pStyle w:val="Tablehead"/>
              <w:spacing w:before="40" w:after="40"/>
              <w:rPr>
                <w:sz w:val="20"/>
                <w:lang w:eastAsia="zh-CN"/>
              </w:rPr>
            </w:pPr>
            <w:r w:rsidRPr="00236418">
              <w:rPr>
                <w:sz w:val="20"/>
                <w:lang w:eastAsia="zh-CN"/>
              </w:rPr>
              <w:t>Litiges</w:t>
            </w:r>
          </w:p>
        </w:tc>
        <w:tc>
          <w:tcPr>
            <w:tcW w:w="1843" w:type="dxa"/>
            <w:hideMark/>
          </w:tcPr>
          <w:p w14:paraId="6ABE7EB0" w14:textId="77777777" w:rsidR="00761B6C" w:rsidRPr="00236418" w:rsidRDefault="00761B6C" w:rsidP="00403E7A">
            <w:pPr>
              <w:pStyle w:val="Tablehead"/>
              <w:spacing w:before="40" w:after="40"/>
              <w:rPr>
                <w:sz w:val="20"/>
                <w:lang w:eastAsia="zh-CN"/>
              </w:rPr>
            </w:pPr>
            <w:r w:rsidRPr="00236418">
              <w:rPr>
                <w:sz w:val="20"/>
                <w:lang w:eastAsia="zh-CN"/>
              </w:rPr>
              <w:t>TOTAL</w:t>
            </w:r>
          </w:p>
        </w:tc>
      </w:tr>
      <w:tr w:rsidR="00761B6C" w:rsidRPr="00236418" w14:paraId="1094F203" w14:textId="77777777" w:rsidTr="00761B6C">
        <w:tc>
          <w:tcPr>
            <w:tcW w:w="3541" w:type="dxa"/>
            <w:hideMark/>
          </w:tcPr>
          <w:p w14:paraId="42BBC155" w14:textId="77777777" w:rsidR="00761B6C" w:rsidRPr="00236418" w:rsidRDefault="00761B6C" w:rsidP="00403E7A">
            <w:pPr>
              <w:pStyle w:val="Tabletext"/>
              <w:spacing w:before="40" w:after="40"/>
              <w:rPr>
                <w:b/>
                <w:bCs/>
                <w:sz w:val="20"/>
                <w:lang w:eastAsia="zh-CN"/>
              </w:rPr>
            </w:pPr>
            <w:r w:rsidRPr="00236418">
              <w:rPr>
                <w:b/>
                <w:bCs/>
                <w:sz w:val="20"/>
                <w:lang w:eastAsia="zh-CN"/>
              </w:rPr>
              <w:t>Solde d</w:t>
            </w:r>
            <w:r>
              <w:rPr>
                <w:b/>
                <w:bCs/>
                <w:sz w:val="20"/>
                <w:lang w:eastAsia="zh-CN"/>
              </w:rPr>
              <w:t>'</w:t>
            </w:r>
            <w:r w:rsidRPr="00236418">
              <w:rPr>
                <w:b/>
                <w:bCs/>
                <w:sz w:val="20"/>
                <w:lang w:eastAsia="zh-CN"/>
              </w:rPr>
              <w:t xml:space="preserve">ouverture </w:t>
            </w:r>
          </w:p>
        </w:tc>
        <w:tc>
          <w:tcPr>
            <w:tcW w:w="1841" w:type="dxa"/>
            <w:vAlign w:val="center"/>
          </w:tcPr>
          <w:p w14:paraId="37F4A94E" w14:textId="77777777" w:rsidR="00761B6C" w:rsidRPr="00DF4023" w:rsidRDefault="00761B6C" w:rsidP="00403E7A">
            <w:pPr>
              <w:pStyle w:val="Tabletext"/>
              <w:spacing w:before="40" w:after="40"/>
              <w:jc w:val="right"/>
              <w:rPr>
                <w:b/>
                <w:bCs/>
                <w:sz w:val="20"/>
                <w:szCs w:val="20"/>
                <w:lang w:eastAsia="zh-CN"/>
              </w:rPr>
            </w:pPr>
            <w:r w:rsidRPr="00DF4023">
              <w:rPr>
                <w:rFonts w:cs="Arial"/>
                <w:b/>
                <w:bCs/>
                <w:color w:val="000000"/>
                <w:sz w:val="20"/>
                <w:szCs w:val="20"/>
                <w:lang w:val="en-US" w:eastAsia="zh-CN"/>
              </w:rPr>
              <w:t>545</w:t>
            </w:r>
          </w:p>
        </w:tc>
        <w:tc>
          <w:tcPr>
            <w:tcW w:w="1984" w:type="dxa"/>
            <w:vAlign w:val="center"/>
          </w:tcPr>
          <w:p w14:paraId="400FDD7E" w14:textId="77777777" w:rsidR="00761B6C" w:rsidRPr="00DF4023" w:rsidRDefault="00761B6C" w:rsidP="00403E7A">
            <w:pPr>
              <w:pStyle w:val="Tabletext"/>
              <w:spacing w:before="40" w:after="40"/>
              <w:jc w:val="right"/>
              <w:rPr>
                <w:b/>
                <w:bCs/>
                <w:sz w:val="20"/>
                <w:szCs w:val="20"/>
                <w:lang w:eastAsia="zh-CN"/>
              </w:rPr>
            </w:pPr>
            <w:r w:rsidRPr="00DF4023">
              <w:rPr>
                <w:rFonts w:cs="Arial"/>
                <w:b/>
                <w:bCs/>
                <w:color w:val="000000"/>
                <w:sz w:val="20"/>
                <w:szCs w:val="20"/>
                <w:lang w:val="en-US" w:eastAsia="zh-CN"/>
              </w:rPr>
              <w:t>182</w:t>
            </w:r>
          </w:p>
        </w:tc>
        <w:tc>
          <w:tcPr>
            <w:tcW w:w="1843" w:type="dxa"/>
            <w:vAlign w:val="center"/>
          </w:tcPr>
          <w:p w14:paraId="3BB1018A" w14:textId="77777777" w:rsidR="00761B6C" w:rsidRPr="00DF4023" w:rsidRDefault="00761B6C" w:rsidP="00403E7A">
            <w:pPr>
              <w:pStyle w:val="Tabletext"/>
              <w:spacing w:before="40" w:after="40"/>
              <w:jc w:val="right"/>
              <w:rPr>
                <w:b/>
                <w:bCs/>
                <w:sz w:val="20"/>
                <w:szCs w:val="20"/>
                <w:lang w:eastAsia="zh-CN"/>
              </w:rPr>
            </w:pPr>
            <w:r w:rsidRPr="00DF4023">
              <w:rPr>
                <w:rFonts w:cs="Arial"/>
                <w:b/>
                <w:bCs/>
                <w:color w:val="000000"/>
                <w:sz w:val="20"/>
                <w:szCs w:val="20"/>
                <w:lang w:val="en-US" w:eastAsia="zh-CN"/>
              </w:rPr>
              <w:t>727</w:t>
            </w:r>
          </w:p>
        </w:tc>
      </w:tr>
      <w:tr w:rsidR="00761B6C" w:rsidRPr="00236418" w14:paraId="1F2004FD" w14:textId="77777777" w:rsidTr="00761B6C">
        <w:tc>
          <w:tcPr>
            <w:tcW w:w="3541" w:type="dxa"/>
          </w:tcPr>
          <w:p w14:paraId="3D151FA0" w14:textId="77777777" w:rsidR="00761B6C" w:rsidRPr="00236418" w:rsidRDefault="00761B6C" w:rsidP="00403E7A">
            <w:pPr>
              <w:pStyle w:val="Tabletext"/>
              <w:spacing w:before="40" w:after="40"/>
              <w:rPr>
                <w:sz w:val="20"/>
                <w:lang w:eastAsia="zh-CN"/>
              </w:rPr>
            </w:pPr>
            <w:r w:rsidRPr="00236418">
              <w:rPr>
                <w:sz w:val="20"/>
                <w:lang w:eastAsia="zh-CN"/>
              </w:rPr>
              <w:t>Augmentation</w:t>
            </w:r>
          </w:p>
        </w:tc>
        <w:tc>
          <w:tcPr>
            <w:tcW w:w="1841" w:type="dxa"/>
            <w:vAlign w:val="bottom"/>
          </w:tcPr>
          <w:p w14:paraId="6E6B225A" w14:textId="77777777" w:rsidR="00761B6C" w:rsidRPr="00DF4023" w:rsidRDefault="00761B6C" w:rsidP="00403E7A">
            <w:pPr>
              <w:pStyle w:val="Tabletext"/>
              <w:spacing w:before="40" w:after="40"/>
              <w:jc w:val="right"/>
              <w:rPr>
                <w:sz w:val="20"/>
                <w:szCs w:val="20"/>
                <w:lang w:eastAsia="zh-CN"/>
              </w:rPr>
            </w:pPr>
            <w:r w:rsidRPr="00DF4023">
              <w:rPr>
                <w:rFonts w:cs="Arial"/>
                <w:color w:val="000000"/>
                <w:sz w:val="20"/>
                <w:szCs w:val="20"/>
                <w:lang w:val="en-US" w:eastAsia="zh-CN"/>
              </w:rPr>
              <w:t>530</w:t>
            </w:r>
          </w:p>
        </w:tc>
        <w:tc>
          <w:tcPr>
            <w:tcW w:w="1984" w:type="dxa"/>
            <w:vAlign w:val="bottom"/>
          </w:tcPr>
          <w:p w14:paraId="1F11BFBF" w14:textId="77777777" w:rsidR="00761B6C" w:rsidRPr="00DF4023" w:rsidRDefault="00761B6C" w:rsidP="00403E7A">
            <w:pPr>
              <w:pStyle w:val="Tabletext"/>
              <w:spacing w:before="40" w:after="40"/>
              <w:jc w:val="right"/>
              <w:rPr>
                <w:sz w:val="20"/>
                <w:szCs w:val="20"/>
                <w:lang w:eastAsia="zh-CN"/>
              </w:rPr>
            </w:pPr>
            <w:r w:rsidRPr="00DF4023">
              <w:rPr>
                <w:rFonts w:cs="Arial"/>
                <w:color w:val="000000"/>
                <w:sz w:val="20"/>
                <w:szCs w:val="20"/>
                <w:lang w:val="en-US" w:eastAsia="zh-CN"/>
              </w:rPr>
              <w:t>486</w:t>
            </w:r>
          </w:p>
        </w:tc>
        <w:tc>
          <w:tcPr>
            <w:tcW w:w="1843" w:type="dxa"/>
            <w:vAlign w:val="bottom"/>
          </w:tcPr>
          <w:p w14:paraId="06F5CF58" w14:textId="77777777" w:rsidR="00761B6C" w:rsidRPr="00DF4023" w:rsidRDefault="00761B6C" w:rsidP="00403E7A">
            <w:pPr>
              <w:pStyle w:val="Tabletext"/>
              <w:spacing w:before="40" w:after="40"/>
              <w:jc w:val="right"/>
              <w:rPr>
                <w:sz w:val="20"/>
                <w:szCs w:val="20"/>
                <w:lang w:eastAsia="zh-CN"/>
              </w:rPr>
            </w:pPr>
            <w:r w:rsidRPr="00DF4023">
              <w:rPr>
                <w:rFonts w:cs="Arial"/>
                <w:color w:val="000000"/>
                <w:sz w:val="20"/>
                <w:szCs w:val="20"/>
                <w:lang w:val="en-US" w:eastAsia="zh-CN"/>
              </w:rPr>
              <w:t>1</w:t>
            </w:r>
            <w:r>
              <w:rPr>
                <w:rFonts w:cs="Arial"/>
                <w:color w:val="000000"/>
                <w:sz w:val="20"/>
                <w:szCs w:val="20"/>
                <w:lang w:val="en-US" w:eastAsia="zh-CN"/>
              </w:rPr>
              <w:t xml:space="preserve"> </w:t>
            </w:r>
            <w:r w:rsidRPr="00DF4023">
              <w:rPr>
                <w:rFonts w:cs="Arial"/>
                <w:color w:val="000000"/>
                <w:sz w:val="20"/>
                <w:szCs w:val="20"/>
                <w:lang w:val="en-US" w:eastAsia="zh-CN"/>
              </w:rPr>
              <w:t>016</w:t>
            </w:r>
          </w:p>
        </w:tc>
      </w:tr>
      <w:tr w:rsidR="00761B6C" w:rsidRPr="00236418" w14:paraId="0CF58F59" w14:textId="77777777" w:rsidTr="00761B6C">
        <w:tc>
          <w:tcPr>
            <w:tcW w:w="3541" w:type="dxa"/>
          </w:tcPr>
          <w:p w14:paraId="2A6C2338" w14:textId="77777777" w:rsidR="00761B6C" w:rsidRPr="00236418" w:rsidRDefault="00761B6C" w:rsidP="00403E7A">
            <w:pPr>
              <w:pStyle w:val="Tabletext"/>
              <w:spacing w:before="40" w:after="40"/>
              <w:rPr>
                <w:sz w:val="20"/>
                <w:lang w:eastAsia="zh-CN"/>
              </w:rPr>
            </w:pPr>
            <w:r w:rsidRPr="00236418">
              <w:rPr>
                <w:sz w:val="20"/>
                <w:lang w:eastAsia="zh-CN"/>
              </w:rPr>
              <w:t>Utilisé en cours d</w:t>
            </w:r>
            <w:r>
              <w:rPr>
                <w:sz w:val="20"/>
                <w:lang w:eastAsia="zh-CN"/>
              </w:rPr>
              <w:t>'</w:t>
            </w:r>
            <w:r w:rsidRPr="00236418">
              <w:rPr>
                <w:sz w:val="20"/>
                <w:lang w:eastAsia="zh-CN"/>
              </w:rPr>
              <w:t>exercice</w:t>
            </w:r>
          </w:p>
        </w:tc>
        <w:tc>
          <w:tcPr>
            <w:tcW w:w="1841" w:type="dxa"/>
            <w:vAlign w:val="bottom"/>
          </w:tcPr>
          <w:p w14:paraId="118FF5DC" w14:textId="77777777" w:rsidR="00761B6C" w:rsidRPr="00DF4023" w:rsidRDefault="00761B6C" w:rsidP="00403E7A">
            <w:pPr>
              <w:pStyle w:val="Tabletext"/>
              <w:spacing w:before="40" w:after="40"/>
              <w:jc w:val="right"/>
              <w:rPr>
                <w:sz w:val="20"/>
                <w:szCs w:val="20"/>
                <w:lang w:eastAsia="zh-CN"/>
              </w:rPr>
            </w:pPr>
            <w:r w:rsidRPr="00DF4023">
              <w:rPr>
                <w:rFonts w:cs="Arial"/>
                <w:color w:val="000000"/>
                <w:sz w:val="20"/>
                <w:lang w:val="en-US" w:eastAsia="zh-CN"/>
              </w:rPr>
              <w:t>–</w:t>
            </w:r>
            <w:r w:rsidRPr="00DF4023">
              <w:rPr>
                <w:rFonts w:cs="Arial"/>
                <w:color w:val="000000"/>
                <w:sz w:val="20"/>
                <w:szCs w:val="20"/>
                <w:lang w:val="en-US" w:eastAsia="zh-CN"/>
              </w:rPr>
              <w:t>305</w:t>
            </w:r>
          </w:p>
        </w:tc>
        <w:tc>
          <w:tcPr>
            <w:tcW w:w="1984" w:type="dxa"/>
            <w:vAlign w:val="bottom"/>
          </w:tcPr>
          <w:p w14:paraId="5AD7BC95" w14:textId="77777777" w:rsidR="00761B6C" w:rsidRPr="00DF4023" w:rsidRDefault="00761B6C" w:rsidP="00403E7A">
            <w:pPr>
              <w:pStyle w:val="Tabletext"/>
              <w:spacing w:before="40" w:after="40"/>
              <w:jc w:val="right"/>
              <w:rPr>
                <w:sz w:val="20"/>
                <w:szCs w:val="20"/>
                <w:lang w:eastAsia="zh-CN"/>
              </w:rPr>
            </w:pPr>
            <w:r>
              <w:rPr>
                <w:rFonts w:cs="Arial"/>
                <w:color w:val="000000"/>
                <w:sz w:val="20"/>
                <w:szCs w:val="20"/>
                <w:lang w:val="en-US" w:eastAsia="zh-CN"/>
              </w:rPr>
              <w:t>–</w:t>
            </w:r>
            <w:r w:rsidRPr="00DF4023">
              <w:rPr>
                <w:rFonts w:cs="Arial"/>
                <w:color w:val="000000"/>
                <w:sz w:val="20"/>
                <w:szCs w:val="20"/>
                <w:lang w:val="en-US" w:eastAsia="zh-CN"/>
              </w:rPr>
              <w:t>81</w:t>
            </w:r>
          </w:p>
        </w:tc>
        <w:tc>
          <w:tcPr>
            <w:tcW w:w="1843" w:type="dxa"/>
            <w:vAlign w:val="bottom"/>
          </w:tcPr>
          <w:p w14:paraId="216A7ACB" w14:textId="77777777" w:rsidR="00761B6C" w:rsidRPr="00DF4023" w:rsidRDefault="00761B6C" w:rsidP="00403E7A">
            <w:pPr>
              <w:pStyle w:val="Tabletext"/>
              <w:spacing w:before="40" w:after="40"/>
              <w:jc w:val="right"/>
              <w:rPr>
                <w:sz w:val="20"/>
                <w:szCs w:val="20"/>
                <w:lang w:eastAsia="zh-CN"/>
              </w:rPr>
            </w:pPr>
            <w:r>
              <w:rPr>
                <w:rFonts w:cs="Arial"/>
                <w:color w:val="000000"/>
                <w:sz w:val="20"/>
                <w:szCs w:val="20"/>
                <w:lang w:val="en-US" w:eastAsia="zh-CN"/>
              </w:rPr>
              <w:t>–</w:t>
            </w:r>
            <w:r w:rsidRPr="00DF4023">
              <w:rPr>
                <w:rFonts w:cs="Arial"/>
                <w:color w:val="000000"/>
                <w:sz w:val="20"/>
                <w:szCs w:val="20"/>
                <w:lang w:val="en-US" w:eastAsia="zh-CN"/>
              </w:rPr>
              <w:t>386</w:t>
            </w:r>
          </w:p>
        </w:tc>
      </w:tr>
      <w:tr w:rsidR="00761B6C" w:rsidRPr="00236418" w14:paraId="3A1472E8" w14:textId="77777777" w:rsidTr="00761B6C">
        <w:tc>
          <w:tcPr>
            <w:tcW w:w="3541" w:type="dxa"/>
          </w:tcPr>
          <w:p w14:paraId="4388F564" w14:textId="77777777" w:rsidR="00761B6C" w:rsidRPr="00236418" w:rsidRDefault="00761B6C" w:rsidP="00403E7A">
            <w:pPr>
              <w:pStyle w:val="Tabletext"/>
              <w:spacing w:before="40" w:after="40"/>
              <w:rPr>
                <w:sz w:val="20"/>
                <w:lang w:eastAsia="zh-CN"/>
              </w:rPr>
            </w:pPr>
            <w:r w:rsidRPr="00236418">
              <w:rPr>
                <w:sz w:val="20"/>
                <w:lang w:eastAsia="zh-CN"/>
              </w:rPr>
              <w:t>Débloqué</w:t>
            </w:r>
          </w:p>
        </w:tc>
        <w:tc>
          <w:tcPr>
            <w:tcW w:w="1841" w:type="dxa"/>
            <w:vAlign w:val="bottom"/>
          </w:tcPr>
          <w:p w14:paraId="783ACFAC" w14:textId="77777777" w:rsidR="00761B6C" w:rsidRPr="00DF4023" w:rsidRDefault="00761B6C" w:rsidP="00403E7A">
            <w:pPr>
              <w:pStyle w:val="Tabletext"/>
              <w:spacing w:before="40" w:after="40"/>
              <w:jc w:val="right"/>
              <w:rPr>
                <w:sz w:val="20"/>
                <w:szCs w:val="20"/>
                <w:lang w:eastAsia="zh-CN"/>
              </w:rPr>
            </w:pPr>
            <w:r>
              <w:rPr>
                <w:rFonts w:cs="Arial"/>
                <w:color w:val="000000"/>
                <w:sz w:val="20"/>
                <w:szCs w:val="20"/>
                <w:lang w:val="en-US" w:eastAsia="zh-CN"/>
              </w:rPr>
              <w:t>–</w:t>
            </w:r>
            <w:r w:rsidRPr="00DF4023">
              <w:rPr>
                <w:rFonts w:cs="Arial"/>
                <w:color w:val="000000"/>
                <w:sz w:val="20"/>
                <w:szCs w:val="20"/>
                <w:lang w:val="en-US" w:eastAsia="zh-CN"/>
              </w:rPr>
              <w:t>240</w:t>
            </w:r>
          </w:p>
        </w:tc>
        <w:tc>
          <w:tcPr>
            <w:tcW w:w="1984" w:type="dxa"/>
            <w:vAlign w:val="bottom"/>
          </w:tcPr>
          <w:p w14:paraId="033DEB3B" w14:textId="77777777" w:rsidR="00761B6C" w:rsidRPr="00DF4023" w:rsidRDefault="00761B6C" w:rsidP="00403E7A">
            <w:pPr>
              <w:pStyle w:val="Tabletext"/>
              <w:spacing w:before="40" w:after="40"/>
              <w:jc w:val="right"/>
              <w:rPr>
                <w:sz w:val="20"/>
                <w:szCs w:val="20"/>
                <w:lang w:eastAsia="zh-CN"/>
              </w:rPr>
            </w:pPr>
            <w:r>
              <w:rPr>
                <w:rFonts w:cs="Arial"/>
                <w:color w:val="000000"/>
                <w:sz w:val="20"/>
                <w:szCs w:val="20"/>
                <w:lang w:val="en-US" w:eastAsia="zh-CN"/>
              </w:rPr>
              <w:t>–</w:t>
            </w:r>
            <w:r w:rsidRPr="00DF4023">
              <w:rPr>
                <w:rFonts w:cs="Arial"/>
                <w:color w:val="000000"/>
                <w:sz w:val="20"/>
                <w:szCs w:val="20"/>
                <w:lang w:val="en-US" w:eastAsia="zh-CN"/>
              </w:rPr>
              <w:t>5</w:t>
            </w:r>
          </w:p>
        </w:tc>
        <w:tc>
          <w:tcPr>
            <w:tcW w:w="1843" w:type="dxa"/>
            <w:vAlign w:val="bottom"/>
          </w:tcPr>
          <w:p w14:paraId="7975DFB7" w14:textId="77777777" w:rsidR="00761B6C" w:rsidRPr="00DF4023" w:rsidRDefault="00761B6C" w:rsidP="00403E7A">
            <w:pPr>
              <w:pStyle w:val="Tabletext"/>
              <w:spacing w:before="40" w:after="40"/>
              <w:jc w:val="right"/>
              <w:rPr>
                <w:sz w:val="20"/>
                <w:szCs w:val="20"/>
                <w:lang w:eastAsia="zh-CN"/>
              </w:rPr>
            </w:pPr>
            <w:r>
              <w:rPr>
                <w:rFonts w:cs="Arial"/>
                <w:color w:val="000000"/>
                <w:sz w:val="20"/>
                <w:szCs w:val="20"/>
                <w:lang w:val="en-US" w:eastAsia="zh-CN"/>
              </w:rPr>
              <w:t>–</w:t>
            </w:r>
            <w:r w:rsidRPr="00DF4023">
              <w:rPr>
                <w:rFonts w:cs="Arial"/>
                <w:color w:val="000000"/>
                <w:sz w:val="20"/>
                <w:szCs w:val="20"/>
                <w:lang w:val="en-US" w:eastAsia="zh-CN"/>
              </w:rPr>
              <w:t>245</w:t>
            </w:r>
          </w:p>
        </w:tc>
      </w:tr>
      <w:tr w:rsidR="00761B6C" w:rsidRPr="00236418" w14:paraId="1EEE38CC" w14:textId="77777777" w:rsidTr="00761B6C">
        <w:tc>
          <w:tcPr>
            <w:tcW w:w="3541" w:type="dxa"/>
          </w:tcPr>
          <w:p w14:paraId="3D890FC3" w14:textId="77777777" w:rsidR="00761B6C" w:rsidRPr="00236418" w:rsidRDefault="00761B6C" w:rsidP="00403E7A">
            <w:pPr>
              <w:pStyle w:val="Tabletext"/>
              <w:spacing w:before="40" w:after="40"/>
              <w:rPr>
                <w:sz w:val="20"/>
                <w:lang w:eastAsia="zh-CN"/>
              </w:rPr>
            </w:pPr>
            <w:r w:rsidRPr="00236418">
              <w:rPr>
                <w:sz w:val="20"/>
                <w:lang w:eastAsia="zh-CN"/>
              </w:rPr>
              <w:t>Mutation</w:t>
            </w:r>
          </w:p>
        </w:tc>
        <w:tc>
          <w:tcPr>
            <w:tcW w:w="1841" w:type="dxa"/>
            <w:vAlign w:val="bottom"/>
          </w:tcPr>
          <w:p w14:paraId="4E2E91BE" w14:textId="77777777" w:rsidR="00761B6C" w:rsidRPr="00DF4023" w:rsidRDefault="00761B6C" w:rsidP="00403E7A">
            <w:pPr>
              <w:pStyle w:val="Tabletext"/>
              <w:spacing w:before="40" w:after="40"/>
              <w:jc w:val="right"/>
              <w:rPr>
                <w:sz w:val="20"/>
                <w:szCs w:val="20"/>
                <w:lang w:eastAsia="zh-CN"/>
              </w:rPr>
            </w:pPr>
            <w:r w:rsidRPr="00DF4023">
              <w:rPr>
                <w:rFonts w:cs="Arial"/>
                <w:color w:val="000000"/>
                <w:sz w:val="20"/>
                <w:szCs w:val="20"/>
                <w:lang w:val="en-US" w:eastAsia="zh-CN"/>
              </w:rPr>
              <w:t> </w:t>
            </w:r>
          </w:p>
        </w:tc>
        <w:tc>
          <w:tcPr>
            <w:tcW w:w="1984" w:type="dxa"/>
            <w:vAlign w:val="bottom"/>
          </w:tcPr>
          <w:p w14:paraId="6B9A010F" w14:textId="77777777" w:rsidR="00761B6C" w:rsidRPr="00DF4023" w:rsidRDefault="00761B6C" w:rsidP="00403E7A">
            <w:pPr>
              <w:pStyle w:val="Tabletext"/>
              <w:spacing w:before="40" w:after="40"/>
              <w:jc w:val="right"/>
              <w:rPr>
                <w:sz w:val="20"/>
                <w:szCs w:val="20"/>
                <w:lang w:eastAsia="zh-CN"/>
              </w:rPr>
            </w:pPr>
            <w:r w:rsidRPr="00DF4023">
              <w:rPr>
                <w:rFonts w:cs="Arial"/>
                <w:color w:val="000000"/>
                <w:sz w:val="20"/>
                <w:szCs w:val="20"/>
                <w:lang w:val="en-US" w:eastAsia="zh-CN"/>
              </w:rPr>
              <w:t> </w:t>
            </w:r>
          </w:p>
        </w:tc>
        <w:tc>
          <w:tcPr>
            <w:tcW w:w="1843" w:type="dxa"/>
            <w:vAlign w:val="bottom"/>
          </w:tcPr>
          <w:p w14:paraId="0E2790E4" w14:textId="77777777" w:rsidR="00761B6C" w:rsidRPr="00DF4023" w:rsidRDefault="00761B6C" w:rsidP="00403E7A">
            <w:pPr>
              <w:pStyle w:val="Tabletext"/>
              <w:spacing w:before="40" w:after="40"/>
              <w:jc w:val="right"/>
              <w:rPr>
                <w:sz w:val="20"/>
                <w:szCs w:val="20"/>
                <w:lang w:eastAsia="zh-CN"/>
              </w:rPr>
            </w:pPr>
            <w:r w:rsidRPr="00DF4023">
              <w:rPr>
                <w:rFonts w:cs="Arial"/>
                <w:color w:val="000000"/>
                <w:sz w:val="20"/>
                <w:szCs w:val="20"/>
                <w:lang w:val="en-US" w:eastAsia="zh-CN"/>
              </w:rPr>
              <w:t> </w:t>
            </w:r>
          </w:p>
        </w:tc>
      </w:tr>
      <w:tr w:rsidR="00761B6C" w:rsidRPr="00236418" w14:paraId="48CEB21E" w14:textId="77777777" w:rsidTr="00761B6C">
        <w:tc>
          <w:tcPr>
            <w:tcW w:w="3541" w:type="dxa"/>
          </w:tcPr>
          <w:p w14:paraId="3405A5E7" w14:textId="77777777" w:rsidR="00761B6C" w:rsidRPr="00236418" w:rsidRDefault="00761B6C" w:rsidP="00403E7A">
            <w:pPr>
              <w:pStyle w:val="Tabletext"/>
              <w:spacing w:before="40" w:after="40"/>
              <w:rPr>
                <w:sz w:val="20"/>
                <w:lang w:eastAsia="zh-CN"/>
              </w:rPr>
            </w:pPr>
            <w:r w:rsidRPr="00236418">
              <w:rPr>
                <w:sz w:val="20"/>
                <w:lang w:eastAsia="zh-CN"/>
              </w:rPr>
              <w:t>Gains de change non réalisés</w:t>
            </w:r>
          </w:p>
        </w:tc>
        <w:tc>
          <w:tcPr>
            <w:tcW w:w="1841" w:type="dxa"/>
            <w:vAlign w:val="bottom"/>
          </w:tcPr>
          <w:p w14:paraId="57BA66CF" w14:textId="77777777" w:rsidR="00761B6C" w:rsidRPr="00DF4023" w:rsidRDefault="00761B6C" w:rsidP="00403E7A">
            <w:pPr>
              <w:pStyle w:val="Tabletext"/>
              <w:spacing w:before="40" w:after="40"/>
              <w:jc w:val="right"/>
              <w:rPr>
                <w:sz w:val="20"/>
                <w:szCs w:val="20"/>
                <w:lang w:eastAsia="zh-CN"/>
              </w:rPr>
            </w:pPr>
            <w:r w:rsidRPr="009848A4">
              <w:rPr>
                <w:rFonts w:cs="Arial"/>
                <w:color w:val="000000"/>
                <w:sz w:val="20"/>
                <w:szCs w:val="20"/>
                <w:lang w:eastAsia="zh-CN"/>
              </w:rPr>
              <w:t> </w:t>
            </w:r>
          </w:p>
        </w:tc>
        <w:tc>
          <w:tcPr>
            <w:tcW w:w="1984" w:type="dxa"/>
            <w:vAlign w:val="bottom"/>
          </w:tcPr>
          <w:p w14:paraId="2506EF83" w14:textId="77777777" w:rsidR="00761B6C" w:rsidRPr="00DF4023" w:rsidRDefault="00761B6C" w:rsidP="00403E7A">
            <w:pPr>
              <w:pStyle w:val="Tabletext"/>
              <w:spacing w:before="40" w:after="40"/>
              <w:jc w:val="right"/>
              <w:rPr>
                <w:sz w:val="20"/>
                <w:szCs w:val="20"/>
                <w:lang w:eastAsia="zh-CN"/>
              </w:rPr>
            </w:pPr>
            <w:r w:rsidRPr="009848A4">
              <w:rPr>
                <w:rFonts w:cs="Arial"/>
                <w:color w:val="000000"/>
                <w:sz w:val="20"/>
                <w:szCs w:val="20"/>
                <w:lang w:eastAsia="zh-CN"/>
              </w:rPr>
              <w:t> </w:t>
            </w:r>
          </w:p>
        </w:tc>
        <w:tc>
          <w:tcPr>
            <w:tcW w:w="1843" w:type="dxa"/>
            <w:vAlign w:val="bottom"/>
          </w:tcPr>
          <w:p w14:paraId="161F460A" w14:textId="77777777" w:rsidR="00761B6C" w:rsidRPr="00DF4023" w:rsidRDefault="00761B6C" w:rsidP="00403E7A">
            <w:pPr>
              <w:pStyle w:val="Tabletext"/>
              <w:spacing w:before="40" w:after="40"/>
              <w:jc w:val="right"/>
              <w:rPr>
                <w:sz w:val="20"/>
                <w:szCs w:val="20"/>
                <w:lang w:eastAsia="zh-CN"/>
              </w:rPr>
            </w:pPr>
            <w:r w:rsidRPr="009848A4">
              <w:rPr>
                <w:rFonts w:cs="Arial"/>
                <w:color w:val="000000"/>
                <w:sz w:val="20"/>
                <w:szCs w:val="20"/>
                <w:lang w:eastAsia="zh-CN"/>
              </w:rPr>
              <w:t> </w:t>
            </w:r>
          </w:p>
        </w:tc>
      </w:tr>
      <w:tr w:rsidR="00761B6C" w:rsidRPr="00236418" w14:paraId="52ACFFB0" w14:textId="77777777" w:rsidTr="00761B6C">
        <w:tc>
          <w:tcPr>
            <w:tcW w:w="3541" w:type="dxa"/>
            <w:hideMark/>
          </w:tcPr>
          <w:p w14:paraId="3C94037D" w14:textId="77777777" w:rsidR="00761B6C" w:rsidRPr="00236418" w:rsidRDefault="00761B6C" w:rsidP="00403E7A">
            <w:pPr>
              <w:pStyle w:val="Tabletext"/>
              <w:spacing w:before="40" w:after="40"/>
              <w:rPr>
                <w:b/>
                <w:bCs/>
                <w:sz w:val="20"/>
              </w:rPr>
            </w:pPr>
            <w:r w:rsidRPr="00236418">
              <w:rPr>
                <w:b/>
                <w:bCs/>
                <w:sz w:val="20"/>
                <w:lang w:eastAsia="zh-CN"/>
              </w:rPr>
              <w:t>Solde de clôture</w:t>
            </w:r>
            <w:r w:rsidRPr="00236418">
              <w:rPr>
                <w:b/>
                <w:bCs/>
                <w:sz w:val="20"/>
              </w:rPr>
              <w:t xml:space="preserve"> </w:t>
            </w:r>
          </w:p>
        </w:tc>
        <w:tc>
          <w:tcPr>
            <w:tcW w:w="1841" w:type="dxa"/>
            <w:vAlign w:val="center"/>
          </w:tcPr>
          <w:p w14:paraId="15569D0B" w14:textId="77777777" w:rsidR="00761B6C" w:rsidRPr="00DF4023" w:rsidRDefault="00761B6C" w:rsidP="00403E7A">
            <w:pPr>
              <w:pStyle w:val="Tabletext"/>
              <w:spacing w:before="40" w:after="40"/>
              <w:jc w:val="right"/>
              <w:rPr>
                <w:b/>
                <w:bCs/>
                <w:sz w:val="20"/>
                <w:szCs w:val="20"/>
                <w:lang w:eastAsia="zh-CN"/>
              </w:rPr>
            </w:pPr>
            <w:r w:rsidRPr="00DF4023">
              <w:rPr>
                <w:rFonts w:cs="Arial"/>
                <w:b/>
                <w:bCs/>
                <w:color w:val="000000"/>
                <w:sz w:val="20"/>
                <w:szCs w:val="20"/>
                <w:lang w:val="en-US" w:eastAsia="zh-CN"/>
              </w:rPr>
              <w:t>530</w:t>
            </w:r>
          </w:p>
        </w:tc>
        <w:tc>
          <w:tcPr>
            <w:tcW w:w="1984" w:type="dxa"/>
            <w:vAlign w:val="center"/>
          </w:tcPr>
          <w:p w14:paraId="36D35F2D" w14:textId="77777777" w:rsidR="00761B6C" w:rsidRPr="00DF4023" w:rsidRDefault="00761B6C" w:rsidP="00403E7A">
            <w:pPr>
              <w:pStyle w:val="Tabletext"/>
              <w:spacing w:before="40" w:after="40"/>
              <w:jc w:val="right"/>
              <w:rPr>
                <w:b/>
                <w:bCs/>
                <w:sz w:val="20"/>
                <w:szCs w:val="20"/>
                <w:lang w:eastAsia="zh-CN"/>
              </w:rPr>
            </w:pPr>
            <w:r w:rsidRPr="00DF4023">
              <w:rPr>
                <w:rFonts w:cs="Arial"/>
                <w:b/>
                <w:bCs/>
                <w:color w:val="000000"/>
                <w:sz w:val="20"/>
                <w:szCs w:val="20"/>
                <w:lang w:val="en-US" w:eastAsia="zh-CN"/>
              </w:rPr>
              <w:t>574</w:t>
            </w:r>
          </w:p>
        </w:tc>
        <w:tc>
          <w:tcPr>
            <w:tcW w:w="1843" w:type="dxa"/>
            <w:vAlign w:val="center"/>
          </w:tcPr>
          <w:p w14:paraId="65F71351" w14:textId="77777777" w:rsidR="00761B6C" w:rsidRPr="00DF4023" w:rsidRDefault="00761B6C" w:rsidP="00403E7A">
            <w:pPr>
              <w:pStyle w:val="Tabletext"/>
              <w:spacing w:before="40" w:after="40"/>
              <w:jc w:val="right"/>
              <w:rPr>
                <w:b/>
                <w:bCs/>
                <w:sz w:val="20"/>
                <w:szCs w:val="20"/>
                <w:lang w:eastAsia="zh-CN"/>
              </w:rPr>
            </w:pPr>
            <w:r w:rsidRPr="00DF4023">
              <w:rPr>
                <w:rFonts w:cs="Arial"/>
                <w:b/>
                <w:bCs/>
                <w:color w:val="000000"/>
                <w:sz w:val="20"/>
                <w:szCs w:val="20"/>
                <w:lang w:val="en-US" w:eastAsia="zh-CN"/>
              </w:rPr>
              <w:t>1</w:t>
            </w:r>
            <w:r>
              <w:rPr>
                <w:rFonts w:cs="Arial"/>
                <w:b/>
                <w:bCs/>
                <w:color w:val="000000"/>
                <w:sz w:val="20"/>
                <w:szCs w:val="20"/>
                <w:lang w:val="en-US" w:eastAsia="zh-CN"/>
              </w:rPr>
              <w:t xml:space="preserve"> </w:t>
            </w:r>
            <w:r w:rsidRPr="00DF4023">
              <w:rPr>
                <w:rFonts w:cs="Arial"/>
                <w:b/>
                <w:bCs/>
                <w:color w:val="000000"/>
                <w:sz w:val="20"/>
                <w:szCs w:val="20"/>
                <w:lang w:val="en-US" w:eastAsia="zh-CN"/>
              </w:rPr>
              <w:t>105</w:t>
            </w:r>
          </w:p>
        </w:tc>
      </w:tr>
    </w:tbl>
    <w:p w14:paraId="51D9E70A" w14:textId="77777777" w:rsidR="00761B6C" w:rsidRPr="00236418" w:rsidRDefault="00761B6C" w:rsidP="0061620A">
      <w:pPr>
        <w:pStyle w:val="Heading1"/>
        <w:spacing w:before="240" w:after="240"/>
        <w:rPr>
          <w:sz w:val="24"/>
          <w:szCs w:val="24"/>
        </w:rPr>
      </w:pPr>
      <w:bookmarkStart w:id="1971" w:name="_Toc329178796"/>
      <w:bookmarkStart w:id="1972" w:name="_Toc329181769"/>
      <w:bookmarkStart w:id="1973" w:name="_Toc329202589"/>
      <w:bookmarkStart w:id="1974" w:name="_Toc329205021"/>
      <w:bookmarkStart w:id="1975" w:name="_Toc329206858"/>
      <w:bookmarkStart w:id="1976" w:name="_Toc358379941"/>
      <w:bookmarkStart w:id="1977" w:name="_Toc358380484"/>
      <w:bookmarkStart w:id="1978" w:name="_Toc452139851"/>
      <w:bookmarkStart w:id="1979" w:name="_Toc452140725"/>
      <w:bookmarkStart w:id="1980" w:name="_Toc482801513"/>
      <w:bookmarkStart w:id="1981" w:name="_Toc511649485"/>
      <w:bookmarkStart w:id="1982" w:name="_Toc511649855"/>
      <w:bookmarkStart w:id="1983" w:name="_Toc511649971"/>
      <w:bookmarkStart w:id="1984" w:name="_Toc511651231"/>
      <w:bookmarkStart w:id="1985" w:name="_Toc511724094"/>
      <w:bookmarkStart w:id="1986" w:name="_Toc511739083"/>
      <w:bookmarkStart w:id="1987" w:name="_Toc511741254"/>
      <w:bookmarkStart w:id="1988" w:name="_Toc10450767"/>
      <w:bookmarkStart w:id="1989" w:name="_Toc41566360"/>
      <w:bookmarkStart w:id="1990" w:name="_Toc41567367"/>
      <w:bookmarkStart w:id="1991" w:name="_Toc41567870"/>
      <w:bookmarkStart w:id="1992" w:name="_Toc41814964"/>
      <w:bookmarkStart w:id="1993" w:name="_Toc73354461"/>
      <w:bookmarkStart w:id="1994" w:name="_Toc73356437"/>
      <w:r w:rsidRPr="00236418">
        <w:rPr>
          <w:sz w:val="24"/>
          <w:szCs w:val="24"/>
        </w:rPr>
        <w:lastRenderedPageBreak/>
        <w:t>Note 19</w:t>
      </w:r>
      <w:r w:rsidRPr="00236418">
        <w:rPr>
          <w:sz w:val="24"/>
          <w:szCs w:val="24"/>
        </w:rPr>
        <w:tab/>
        <w:t>Autres dettes</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tbl>
      <w:tblPr>
        <w:tblW w:w="8357" w:type="dxa"/>
        <w:jc w:val="center"/>
        <w:tblLayout w:type="fixed"/>
        <w:tblLook w:val="04A0" w:firstRow="1" w:lastRow="0" w:firstColumn="1" w:lastColumn="0" w:noHBand="0" w:noVBand="1"/>
        <w:tblCaption w:val="E"/>
      </w:tblPr>
      <w:tblGrid>
        <w:gridCol w:w="3539"/>
        <w:gridCol w:w="2409"/>
        <w:gridCol w:w="2409"/>
      </w:tblGrid>
      <w:tr w:rsidR="00761B6C" w:rsidRPr="00236418" w14:paraId="4B78DFB7" w14:textId="77777777" w:rsidTr="00761B6C">
        <w:trPr>
          <w:trHeight w:val="499"/>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15E40" w14:textId="77777777" w:rsidR="00761B6C" w:rsidRPr="00236418" w:rsidRDefault="00761B6C" w:rsidP="00403E7A">
            <w:pPr>
              <w:pStyle w:val="Tablehead"/>
              <w:spacing w:before="40" w:after="40"/>
              <w:jc w:val="left"/>
              <w:rPr>
                <w:sz w:val="20"/>
                <w:lang w:eastAsia="zh-CN"/>
              </w:rPr>
            </w:pPr>
            <w:r w:rsidRPr="00236418">
              <w:rPr>
                <w:sz w:val="20"/>
                <w:lang w:eastAsia="zh-CN"/>
              </w:rPr>
              <w:t>En milliers</w:t>
            </w:r>
            <w:r>
              <w:rPr>
                <w:sz w:val="20"/>
                <w:lang w:eastAsia="zh-CN"/>
              </w:rPr>
              <w:t xml:space="preserve"> </w:t>
            </w:r>
            <w:r w:rsidRPr="00236418">
              <w:rPr>
                <w:sz w:val="20"/>
                <w:lang w:eastAsia="zh-CN"/>
              </w:rPr>
              <w:t>CHF</w:t>
            </w:r>
          </w:p>
        </w:tc>
        <w:tc>
          <w:tcPr>
            <w:tcW w:w="2409" w:type="dxa"/>
            <w:tcBorders>
              <w:top w:val="single" w:sz="4" w:space="0" w:color="auto"/>
              <w:left w:val="nil"/>
              <w:bottom w:val="single" w:sz="4" w:space="0" w:color="auto"/>
              <w:right w:val="single" w:sz="4" w:space="0" w:color="auto"/>
            </w:tcBorders>
            <w:shd w:val="clear" w:color="auto" w:fill="auto"/>
            <w:vAlign w:val="center"/>
          </w:tcPr>
          <w:p w14:paraId="11097B25" w14:textId="77777777" w:rsidR="00761B6C" w:rsidRPr="00236418" w:rsidRDefault="00761B6C" w:rsidP="00403E7A">
            <w:pPr>
              <w:pStyle w:val="Tablehead"/>
              <w:spacing w:before="40" w:after="40"/>
              <w:rPr>
                <w:sz w:val="20"/>
                <w:lang w:eastAsia="zh-CN"/>
              </w:rPr>
            </w:pPr>
            <w:r>
              <w:rPr>
                <w:sz w:val="20"/>
                <w:lang w:eastAsia="zh-CN"/>
              </w:rPr>
              <w:t>31.12.2020</w:t>
            </w:r>
          </w:p>
        </w:tc>
        <w:tc>
          <w:tcPr>
            <w:tcW w:w="2409" w:type="dxa"/>
            <w:tcBorders>
              <w:top w:val="single" w:sz="4" w:space="0" w:color="auto"/>
              <w:left w:val="nil"/>
              <w:bottom w:val="single" w:sz="4" w:space="0" w:color="auto"/>
              <w:right w:val="single" w:sz="4" w:space="0" w:color="auto"/>
            </w:tcBorders>
            <w:vAlign w:val="center"/>
          </w:tcPr>
          <w:p w14:paraId="33C5EF44" w14:textId="77777777" w:rsidR="00761B6C" w:rsidRPr="00236418" w:rsidRDefault="00761B6C" w:rsidP="00403E7A">
            <w:pPr>
              <w:pStyle w:val="Tablehead"/>
              <w:spacing w:before="40" w:after="40"/>
              <w:rPr>
                <w:sz w:val="20"/>
                <w:lang w:eastAsia="zh-CN"/>
              </w:rPr>
            </w:pPr>
            <w:r w:rsidRPr="00236418">
              <w:rPr>
                <w:sz w:val="20"/>
                <w:lang w:eastAsia="zh-CN"/>
              </w:rPr>
              <w:t>31.12.2019</w:t>
            </w:r>
          </w:p>
        </w:tc>
      </w:tr>
      <w:tr w:rsidR="00761B6C" w:rsidRPr="00236418" w14:paraId="1E423F9F" w14:textId="77777777" w:rsidTr="00761B6C">
        <w:trPr>
          <w:trHeight w:val="255"/>
          <w:jc w:val="center"/>
        </w:trPr>
        <w:tc>
          <w:tcPr>
            <w:tcW w:w="3539" w:type="dxa"/>
            <w:tcBorders>
              <w:top w:val="single" w:sz="4" w:space="0" w:color="auto"/>
              <w:left w:val="single" w:sz="4" w:space="0" w:color="auto"/>
              <w:bottom w:val="nil"/>
              <w:right w:val="single" w:sz="4" w:space="0" w:color="auto"/>
            </w:tcBorders>
            <w:shd w:val="clear" w:color="auto" w:fill="auto"/>
            <w:noWrap/>
            <w:vAlign w:val="bottom"/>
          </w:tcPr>
          <w:p w14:paraId="772B4B6A" w14:textId="77777777" w:rsidR="00761B6C" w:rsidRPr="00236418" w:rsidRDefault="00761B6C" w:rsidP="00403E7A">
            <w:pPr>
              <w:pStyle w:val="Tabletext"/>
              <w:spacing w:before="40" w:after="40"/>
              <w:rPr>
                <w:sz w:val="20"/>
                <w:lang w:eastAsia="zh-CN"/>
              </w:rPr>
            </w:pPr>
            <w:r w:rsidRPr="00236418">
              <w:rPr>
                <w:sz w:val="20"/>
                <w:lang w:eastAsia="zh-CN"/>
              </w:rPr>
              <w:t>Passifs transitoires</w:t>
            </w:r>
          </w:p>
        </w:tc>
        <w:tc>
          <w:tcPr>
            <w:tcW w:w="2409" w:type="dxa"/>
            <w:tcBorders>
              <w:top w:val="single" w:sz="4" w:space="0" w:color="auto"/>
              <w:left w:val="nil"/>
              <w:bottom w:val="nil"/>
              <w:right w:val="single" w:sz="4" w:space="0" w:color="auto"/>
            </w:tcBorders>
            <w:shd w:val="clear" w:color="auto" w:fill="auto"/>
            <w:noWrap/>
            <w:vAlign w:val="bottom"/>
          </w:tcPr>
          <w:p w14:paraId="52F91CD7" w14:textId="77777777" w:rsidR="00761B6C" w:rsidRPr="00236418" w:rsidRDefault="00761B6C" w:rsidP="00403E7A">
            <w:pPr>
              <w:pStyle w:val="Tabletext"/>
              <w:spacing w:before="40" w:after="40"/>
              <w:jc w:val="right"/>
              <w:rPr>
                <w:sz w:val="20"/>
                <w:lang w:eastAsia="zh-CN"/>
              </w:rPr>
            </w:pPr>
            <w:r>
              <w:rPr>
                <w:sz w:val="20"/>
                <w:lang w:eastAsia="zh-CN"/>
              </w:rPr>
              <w:t>4 518</w:t>
            </w:r>
          </w:p>
        </w:tc>
        <w:tc>
          <w:tcPr>
            <w:tcW w:w="2409" w:type="dxa"/>
            <w:tcBorders>
              <w:top w:val="single" w:sz="4" w:space="0" w:color="auto"/>
              <w:left w:val="nil"/>
              <w:bottom w:val="nil"/>
              <w:right w:val="single" w:sz="4" w:space="0" w:color="auto"/>
            </w:tcBorders>
            <w:vAlign w:val="bottom"/>
          </w:tcPr>
          <w:p w14:paraId="39D43D59" w14:textId="77777777" w:rsidR="00761B6C" w:rsidRPr="00236418" w:rsidRDefault="00761B6C" w:rsidP="00403E7A">
            <w:pPr>
              <w:pStyle w:val="Tabletext"/>
              <w:spacing w:before="40" w:after="40"/>
              <w:jc w:val="right"/>
              <w:rPr>
                <w:sz w:val="20"/>
                <w:lang w:eastAsia="zh-CN"/>
              </w:rPr>
            </w:pPr>
            <w:r w:rsidRPr="00236418">
              <w:rPr>
                <w:sz w:val="20"/>
                <w:lang w:eastAsia="zh-CN"/>
              </w:rPr>
              <w:t>4 156</w:t>
            </w:r>
          </w:p>
        </w:tc>
      </w:tr>
      <w:tr w:rsidR="00761B6C" w:rsidRPr="00236418" w14:paraId="0DA0EECC" w14:textId="77777777" w:rsidTr="00761B6C">
        <w:trPr>
          <w:trHeight w:val="20"/>
          <w:jc w:val="center"/>
        </w:trPr>
        <w:tc>
          <w:tcPr>
            <w:tcW w:w="3539" w:type="dxa"/>
            <w:tcBorders>
              <w:left w:val="single" w:sz="4" w:space="0" w:color="auto"/>
              <w:right w:val="single" w:sz="4" w:space="0" w:color="auto"/>
            </w:tcBorders>
            <w:shd w:val="clear" w:color="auto" w:fill="auto"/>
            <w:noWrap/>
            <w:vAlign w:val="center"/>
          </w:tcPr>
          <w:p w14:paraId="6E8F8AC1" w14:textId="77777777" w:rsidR="00761B6C" w:rsidRPr="00236418" w:rsidRDefault="00761B6C" w:rsidP="00403E7A">
            <w:pPr>
              <w:pStyle w:val="Tabletext"/>
              <w:spacing w:before="40" w:after="40"/>
              <w:rPr>
                <w:sz w:val="20"/>
                <w:lang w:eastAsia="zh-CN"/>
              </w:rPr>
            </w:pPr>
            <w:r w:rsidRPr="00236418">
              <w:rPr>
                <w:sz w:val="20"/>
                <w:lang w:eastAsia="zh-CN"/>
              </w:rPr>
              <w:t>Divers personnel</w:t>
            </w:r>
          </w:p>
        </w:tc>
        <w:tc>
          <w:tcPr>
            <w:tcW w:w="2409" w:type="dxa"/>
            <w:tcBorders>
              <w:left w:val="nil"/>
              <w:right w:val="single" w:sz="4" w:space="0" w:color="auto"/>
            </w:tcBorders>
            <w:shd w:val="clear" w:color="auto" w:fill="auto"/>
            <w:noWrap/>
            <w:vAlign w:val="bottom"/>
          </w:tcPr>
          <w:p w14:paraId="13CAFFB5" w14:textId="77777777" w:rsidR="00761B6C" w:rsidRPr="00236418" w:rsidRDefault="00761B6C" w:rsidP="00403E7A">
            <w:pPr>
              <w:pStyle w:val="Tabletext"/>
              <w:spacing w:before="40" w:after="40"/>
              <w:jc w:val="right"/>
              <w:rPr>
                <w:sz w:val="20"/>
                <w:lang w:eastAsia="zh-CN"/>
              </w:rPr>
            </w:pPr>
            <w:r>
              <w:rPr>
                <w:sz w:val="20"/>
                <w:lang w:eastAsia="zh-CN"/>
              </w:rPr>
              <w:t>1 956</w:t>
            </w:r>
          </w:p>
        </w:tc>
        <w:tc>
          <w:tcPr>
            <w:tcW w:w="2409" w:type="dxa"/>
            <w:tcBorders>
              <w:left w:val="nil"/>
              <w:right w:val="single" w:sz="4" w:space="0" w:color="auto"/>
            </w:tcBorders>
            <w:vAlign w:val="bottom"/>
          </w:tcPr>
          <w:p w14:paraId="6DC08450" w14:textId="77777777" w:rsidR="00761B6C" w:rsidRPr="00236418" w:rsidRDefault="00761B6C" w:rsidP="00403E7A">
            <w:pPr>
              <w:pStyle w:val="Tabletext"/>
              <w:spacing w:before="40" w:after="40"/>
              <w:jc w:val="right"/>
              <w:rPr>
                <w:sz w:val="20"/>
                <w:lang w:eastAsia="zh-CN"/>
              </w:rPr>
            </w:pPr>
            <w:r w:rsidRPr="00236418">
              <w:rPr>
                <w:sz w:val="20"/>
                <w:lang w:eastAsia="zh-CN"/>
              </w:rPr>
              <w:t>754</w:t>
            </w:r>
          </w:p>
        </w:tc>
      </w:tr>
      <w:tr w:rsidR="00761B6C" w:rsidRPr="00236418" w14:paraId="582E4042" w14:textId="77777777" w:rsidTr="00761B6C">
        <w:trPr>
          <w:trHeight w:val="20"/>
          <w:jc w:val="center"/>
        </w:trPr>
        <w:tc>
          <w:tcPr>
            <w:tcW w:w="3539" w:type="dxa"/>
            <w:tcBorders>
              <w:left w:val="single" w:sz="4" w:space="0" w:color="auto"/>
              <w:right w:val="single" w:sz="4" w:space="0" w:color="auto"/>
            </w:tcBorders>
            <w:shd w:val="clear" w:color="auto" w:fill="auto"/>
            <w:noWrap/>
            <w:vAlign w:val="center"/>
          </w:tcPr>
          <w:p w14:paraId="71F5B3CA" w14:textId="77777777" w:rsidR="00761B6C" w:rsidRPr="00236418" w:rsidRDefault="00761B6C" w:rsidP="00403E7A">
            <w:pPr>
              <w:pStyle w:val="Tabletext"/>
              <w:spacing w:before="40" w:after="40"/>
              <w:rPr>
                <w:sz w:val="20"/>
                <w:lang w:eastAsia="zh-CN"/>
              </w:rPr>
            </w:pPr>
            <w:r w:rsidRPr="00236418">
              <w:rPr>
                <w:sz w:val="20"/>
                <w:lang w:eastAsia="zh-CN"/>
              </w:rPr>
              <w:t>Biens/factures reçues</w:t>
            </w:r>
          </w:p>
        </w:tc>
        <w:tc>
          <w:tcPr>
            <w:tcW w:w="2409" w:type="dxa"/>
            <w:tcBorders>
              <w:left w:val="nil"/>
              <w:right w:val="single" w:sz="4" w:space="0" w:color="auto"/>
            </w:tcBorders>
            <w:shd w:val="clear" w:color="auto" w:fill="auto"/>
            <w:noWrap/>
            <w:vAlign w:val="bottom"/>
          </w:tcPr>
          <w:p w14:paraId="79FF489C" w14:textId="77777777" w:rsidR="00761B6C" w:rsidRPr="00236418" w:rsidRDefault="00761B6C" w:rsidP="00403E7A">
            <w:pPr>
              <w:pStyle w:val="Tabletext"/>
              <w:spacing w:before="40" w:after="40"/>
              <w:jc w:val="right"/>
              <w:rPr>
                <w:sz w:val="20"/>
                <w:lang w:eastAsia="zh-CN"/>
              </w:rPr>
            </w:pPr>
            <w:r>
              <w:rPr>
                <w:sz w:val="20"/>
                <w:lang w:eastAsia="zh-CN"/>
              </w:rPr>
              <w:t>16</w:t>
            </w:r>
          </w:p>
        </w:tc>
        <w:tc>
          <w:tcPr>
            <w:tcW w:w="2409" w:type="dxa"/>
            <w:tcBorders>
              <w:left w:val="nil"/>
              <w:right w:val="single" w:sz="4" w:space="0" w:color="auto"/>
            </w:tcBorders>
            <w:vAlign w:val="bottom"/>
          </w:tcPr>
          <w:p w14:paraId="51918F2B" w14:textId="77777777" w:rsidR="00761B6C" w:rsidRPr="00236418" w:rsidRDefault="00761B6C" w:rsidP="00403E7A">
            <w:pPr>
              <w:pStyle w:val="Tabletext"/>
              <w:spacing w:before="40" w:after="40"/>
              <w:jc w:val="right"/>
              <w:rPr>
                <w:sz w:val="20"/>
                <w:lang w:eastAsia="zh-CN"/>
              </w:rPr>
            </w:pPr>
            <w:r w:rsidRPr="00236418">
              <w:rPr>
                <w:sz w:val="20"/>
                <w:lang w:eastAsia="zh-CN"/>
              </w:rPr>
              <w:t>21</w:t>
            </w:r>
          </w:p>
        </w:tc>
      </w:tr>
      <w:tr w:rsidR="00761B6C" w:rsidRPr="00236418" w14:paraId="720B036D" w14:textId="77777777" w:rsidTr="00761B6C">
        <w:trPr>
          <w:trHeight w:val="20"/>
          <w:jc w:val="center"/>
        </w:trPr>
        <w:tc>
          <w:tcPr>
            <w:tcW w:w="3539" w:type="dxa"/>
            <w:tcBorders>
              <w:left w:val="single" w:sz="4" w:space="0" w:color="auto"/>
              <w:bottom w:val="single" w:sz="4" w:space="0" w:color="auto"/>
              <w:right w:val="single" w:sz="4" w:space="0" w:color="auto"/>
            </w:tcBorders>
            <w:shd w:val="clear" w:color="auto" w:fill="auto"/>
            <w:noWrap/>
            <w:vAlign w:val="center"/>
          </w:tcPr>
          <w:p w14:paraId="01640370" w14:textId="77777777" w:rsidR="00761B6C" w:rsidRPr="00236418" w:rsidRDefault="00761B6C" w:rsidP="00403E7A">
            <w:pPr>
              <w:pStyle w:val="Tabletext"/>
              <w:spacing w:before="40" w:after="40"/>
              <w:rPr>
                <w:sz w:val="20"/>
                <w:lang w:eastAsia="zh-CN"/>
              </w:rPr>
            </w:pPr>
            <w:r w:rsidRPr="00236418">
              <w:rPr>
                <w:sz w:val="20"/>
                <w:lang w:eastAsia="zh-CN"/>
              </w:rPr>
              <w:t>PNUD</w:t>
            </w:r>
          </w:p>
        </w:tc>
        <w:tc>
          <w:tcPr>
            <w:tcW w:w="2409" w:type="dxa"/>
            <w:tcBorders>
              <w:left w:val="nil"/>
              <w:bottom w:val="single" w:sz="4" w:space="0" w:color="auto"/>
              <w:right w:val="single" w:sz="4" w:space="0" w:color="auto"/>
            </w:tcBorders>
            <w:shd w:val="clear" w:color="auto" w:fill="auto"/>
            <w:noWrap/>
            <w:vAlign w:val="bottom"/>
          </w:tcPr>
          <w:p w14:paraId="74E4A2E5" w14:textId="77777777" w:rsidR="00761B6C" w:rsidRPr="00236418" w:rsidRDefault="00761B6C" w:rsidP="00403E7A">
            <w:pPr>
              <w:pStyle w:val="Tabletext"/>
              <w:spacing w:before="40" w:after="40"/>
              <w:jc w:val="right"/>
              <w:rPr>
                <w:sz w:val="20"/>
                <w:lang w:eastAsia="zh-CN"/>
              </w:rPr>
            </w:pPr>
            <w:r>
              <w:rPr>
                <w:sz w:val="20"/>
                <w:lang w:eastAsia="zh-CN"/>
              </w:rPr>
              <w:t>3</w:t>
            </w:r>
          </w:p>
        </w:tc>
        <w:tc>
          <w:tcPr>
            <w:tcW w:w="2409" w:type="dxa"/>
            <w:tcBorders>
              <w:left w:val="nil"/>
              <w:bottom w:val="single" w:sz="4" w:space="0" w:color="auto"/>
              <w:right w:val="single" w:sz="4" w:space="0" w:color="auto"/>
            </w:tcBorders>
            <w:vAlign w:val="bottom"/>
          </w:tcPr>
          <w:p w14:paraId="024A28C7" w14:textId="77777777" w:rsidR="00761B6C" w:rsidRPr="00236418" w:rsidRDefault="00761B6C" w:rsidP="00403E7A">
            <w:pPr>
              <w:pStyle w:val="Tabletext"/>
              <w:spacing w:before="40" w:after="40"/>
              <w:jc w:val="right"/>
              <w:rPr>
                <w:sz w:val="20"/>
                <w:lang w:eastAsia="zh-CN"/>
              </w:rPr>
            </w:pPr>
            <w:r w:rsidRPr="00236418">
              <w:rPr>
                <w:sz w:val="20"/>
                <w:lang w:eastAsia="zh-CN"/>
              </w:rPr>
              <w:t>–</w:t>
            </w:r>
          </w:p>
        </w:tc>
      </w:tr>
      <w:tr w:rsidR="00761B6C" w:rsidRPr="00236418" w14:paraId="5B081CEE" w14:textId="77777777" w:rsidTr="00761B6C">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F6217" w14:textId="77777777" w:rsidR="00761B6C" w:rsidRPr="00236418" w:rsidRDefault="00761B6C" w:rsidP="00403E7A">
            <w:pPr>
              <w:pStyle w:val="Tabletext"/>
              <w:spacing w:before="40" w:after="40"/>
              <w:rPr>
                <w:b/>
                <w:sz w:val="20"/>
                <w:lang w:eastAsia="zh-CN"/>
              </w:rPr>
            </w:pPr>
            <w:r w:rsidRPr="00236418">
              <w:rPr>
                <w:b/>
                <w:sz w:val="20"/>
                <w:lang w:eastAsia="zh-CN"/>
              </w:rPr>
              <w:t>Autres dettes</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36B2CFB8" w14:textId="77777777" w:rsidR="00761B6C" w:rsidRPr="00236418" w:rsidRDefault="00761B6C" w:rsidP="00403E7A">
            <w:pPr>
              <w:pStyle w:val="Tabletext"/>
              <w:spacing w:before="40" w:after="40"/>
              <w:jc w:val="right"/>
              <w:rPr>
                <w:b/>
                <w:sz w:val="20"/>
                <w:lang w:eastAsia="zh-CN"/>
              </w:rPr>
            </w:pPr>
            <w:r>
              <w:rPr>
                <w:b/>
                <w:sz w:val="20"/>
                <w:lang w:eastAsia="zh-CN"/>
              </w:rPr>
              <w:t>6 493</w:t>
            </w:r>
          </w:p>
        </w:tc>
        <w:tc>
          <w:tcPr>
            <w:tcW w:w="2409" w:type="dxa"/>
            <w:tcBorders>
              <w:top w:val="single" w:sz="4" w:space="0" w:color="auto"/>
              <w:left w:val="nil"/>
              <w:bottom w:val="single" w:sz="4" w:space="0" w:color="auto"/>
              <w:right w:val="single" w:sz="4" w:space="0" w:color="auto"/>
            </w:tcBorders>
            <w:vAlign w:val="center"/>
          </w:tcPr>
          <w:p w14:paraId="04D784A3" w14:textId="77777777" w:rsidR="00761B6C" w:rsidRPr="00236418" w:rsidRDefault="00761B6C" w:rsidP="00403E7A">
            <w:pPr>
              <w:pStyle w:val="Tabletext"/>
              <w:spacing w:before="40" w:after="40"/>
              <w:jc w:val="right"/>
              <w:rPr>
                <w:b/>
                <w:sz w:val="20"/>
                <w:lang w:eastAsia="zh-CN"/>
              </w:rPr>
            </w:pPr>
            <w:r w:rsidRPr="00236418">
              <w:rPr>
                <w:b/>
                <w:sz w:val="20"/>
                <w:lang w:eastAsia="zh-CN"/>
              </w:rPr>
              <w:t>4 931</w:t>
            </w:r>
          </w:p>
        </w:tc>
      </w:tr>
    </w:tbl>
    <w:p w14:paraId="614ACDBF" w14:textId="77777777" w:rsidR="00761B6C" w:rsidRPr="00236418" w:rsidRDefault="00761B6C" w:rsidP="00403E7A">
      <w:pPr>
        <w:pStyle w:val="Heading1"/>
        <w:spacing w:before="240" w:after="40"/>
        <w:rPr>
          <w:sz w:val="24"/>
          <w:szCs w:val="24"/>
        </w:rPr>
      </w:pPr>
      <w:bookmarkStart w:id="1995" w:name="_Toc329178797"/>
      <w:bookmarkStart w:id="1996" w:name="_Toc329181770"/>
      <w:bookmarkStart w:id="1997" w:name="_Toc329202590"/>
      <w:bookmarkStart w:id="1998" w:name="_Toc329205022"/>
      <w:bookmarkStart w:id="1999" w:name="_Toc329206859"/>
      <w:bookmarkStart w:id="2000" w:name="_Toc358379942"/>
      <w:bookmarkStart w:id="2001" w:name="_Toc358380485"/>
      <w:bookmarkStart w:id="2002" w:name="_Toc452139852"/>
      <w:bookmarkStart w:id="2003" w:name="_Toc452140726"/>
      <w:bookmarkStart w:id="2004" w:name="_Toc482801514"/>
      <w:bookmarkStart w:id="2005" w:name="_Toc511649486"/>
      <w:bookmarkStart w:id="2006" w:name="_Toc511649856"/>
      <w:bookmarkStart w:id="2007" w:name="_Toc511649972"/>
      <w:bookmarkStart w:id="2008" w:name="_Toc511651232"/>
      <w:bookmarkStart w:id="2009" w:name="_Toc511724095"/>
      <w:bookmarkStart w:id="2010" w:name="_Toc511739084"/>
      <w:bookmarkStart w:id="2011" w:name="_Toc511741255"/>
      <w:bookmarkStart w:id="2012" w:name="_Toc10450768"/>
      <w:bookmarkStart w:id="2013" w:name="_Toc41566361"/>
      <w:bookmarkStart w:id="2014" w:name="_Toc41567368"/>
      <w:bookmarkStart w:id="2015" w:name="_Toc41567871"/>
      <w:bookmarkStart w:id="2016" w:name="_Toc41814965"/>
      <w:bookmarkStart w:id="2017" w:name="_Toc73354462"/>
      <w:bookmarkStart w:id="2018" w:name="_Toc73356438"/>
      <w:bookmarkStart w:id="2019" w:name="_Toc268007556"/>
      <w:r w:rsidRPr="00236418">
        <w:rPr>
          <w:sz w:val="24"/>
          <w:szCs w:val="24"/>
        </w:rPr>
        <w:t>Note 20</w:t>
      </w:r>
      <w:r w:rsidRPr="00236418">
        <w:rPr>
          <w:sz w:val="24"/>
          <w:szCs w:val="24"/>
        </w:rPr>
        <w:tab/>
        <w:t>Fonds extrabudgétaires affectés et non affectés</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p>
    <w:p w14:paraId="0DC3F8D3" w14:textId="77777777" w:rsidR="00761B6C" w:rsidRPr="00236418" w:rsidRDefault="00761B6C" w:rsidP="0061620A">
      <w:pPr>
        <w:spacing w:after="240"/>
      </w:pPr>
      <w:r w:rsidRPr="00236418">
        <w:t>Conformément à la norme IPSAS 23, le solde des fonds à la date de clôture représente les financements qui ont été reçus et n</w:t>
      </w:r>
      <w:r>
        <w:t>'</w:t>
      </w:r>
      <w:r w:rsidRPr="00236418">
        <w:t>ont pas encore été dépensés. Des soldes sont présentés dans la ligne de bilan correspondante et les mouvements de ces fonds sont illustrés dans le tableau ci</w:t>
      </w:r>
      <w:r w:rsidRPr="00236418">
        <w:noBreakHyphen/>
        <w:t>dessous en précisant si ces financements sont affectés ou non à un projet financé par des fonds de tiers ou par l</w:t>
      </w:r>
      <w:r>
        <w:t>'</w:t>
      </w:r>
      <w:r w:rsidRPr="00236418">
        <w:t>UIT.</w:t>
      </w:r>
    </w:p>
    <w:tbl>
      <w:tblPr>
        <w:tblStyle w:val="TableGrid"/>
        <w:tblW w:w="0" w:type="auto"/>
        <w:tblLook w:val="04A0" w:firstRow="1" w:lastRow="0" w:firstColumn="1" w:lastColumn="0" w:noHBand="0" w:noVBand="1"/>
      </w:tblPr>
      <w:tblGrid>
        <w:gridCol w:w="2835"/>
        <w:gridCol w:w="1418"/>
        <w:gridCol w:w="1696"/>
        <w:gridCol w:w="1559"/>
        <w:gridCol w:w="2121"/>
      </w:tblGrid>
      <w:tr w:rsidR="00761B6C" w:rsidRPr="00236418" w14:paraId="1808DD81" w14:textId="77777777" w:rsidTr="0061620A">
        <w:tc>
          <w:tcPr>
            <w:tcW w:w="2835" w:type="dxa"/>
            <w:tcBorders>
              <w:top w:val="single" w:sz="4" w:space="0" w:color="auto"/>
              <w:left w:val="single" w:sz="4" w:space="0" w:color="auto"/>
            </w:tcBorders>
            <w:vAlign w:val="center"/>
          </w:tcPr>
          <w:p w14:paraId="322D615D" w14:textId="77777777" w:rsidR="00761B6C" w:rsidRPr="00236418" w:rsidRDefault="00761B6C" w:rsidP="00403E7A">
            <w:pPr>
              <w:pStyle w:val="Tablehead"/>
              <w:spacing w:before="40" w:after="40"/>
              <w:jc w:val="left"/>
              <w:rPr>
                <w:sz w:val="20"/>
                <w:lang w:eastAsia="zh-CN"/>
              </w:rPr>
            </w:pPr>
            <w:bookmarkStart w:id="2020" w:name="_MON_1396444744"/>
            <w:bookmarkEnd w:id="2020"/>
            <w:r w:rsidRPr="00236418">
              <w:rPr>
                <w:sz w:val="20"/>
                <w:lang w:eastAsia="zh-CN"/>
              </w:rPr>
              <w:t>En milliers</w:t>
            </w:r>
            <w:r>
              <w:rPr>
                <w:sz w:val="20"/>
                <w:lang w:eastAsia="zh-CN"/>
              </w:rPr>
              <w:t xml:space="preserve"> </w:t>
            </w:r>
            <w:r w:rsidRPr="00236418">
              <w:rPr>
                <w:sz w:val="20"/>
                <w:lang w:eastAsia="zh-CN"/>
              </w:rPr>
              <w:t>CHF</w:t>
            </w:r>
          </w:p>
        </w:tc>
        <w:tc>
          <w:tcPr>
            <w:tcW w:w="1418" w:type="dxa"/>
            <w:tcBorders>
              <w:top w:val="single" w:sz="4" w:space="0" w:color="auto"/>
            </w:tcBorders>
          </w:tcPr>
          <w:p w14:paraId="11FCF4CB" w14:textId="77777777" w:rsidR="00761B6C" w:rsidRPr="00236418" w:rsidRDefault="00761B6C" w:rsidP="00403E7A">
            <w:pPr>
              <w:tabs>
                <w:tab w:val="clear" w:pos="567"/>
                <w:tab w:val="clear" w:pos="1134"/>
                <w:tab w:val="clear" w:pos="1701"/>
                <w:tab w:val="clear" w:pos="2268"/>
                <w:tab w:val="clear" w:pos="2835"/>
              </w:tabs>
              <w:overflowPunct/>
              <w:autoSpaceDE/>
              <w:autoSpaceDN/>
              <w:adjustRightInd/>
              <w:spacing w:before="40" w:after="40"/>
              <w:jc w:val="center"/>
              <w:textAlignment w:val="auto"/>
              <w:rPr>
                <w:b/>
                <w:sz w:val="20"/>
                <w:lang w:eastAsia="zh-CN"/>
              </w:rPr>
            </w:pPr>
            <w:r w:rsidRPr="00236418">
              <w:rPr>
                <w:b/>
                <w:sz w:val="20"/>
                <w:lang w:eastAsia="zh-CN"/>
              </w:rPr>
              <w:t>Fonds de tiers affecté</w:t>
            </w:r>
          </w:p>
        </w:tc>
        <w:tc>
          <w:tcPr>
            <w:tcW w:w="1696" w:type="dxa"/>
            <w:tcBorders>
              <w:top w:val="single" w:sz="4" w:space="0" w:color="auto"/>
            </w:tcBorders>
          </w:tcPr>
          <w:p w14:paraId="3047D894" w14:textId="77777777" w:rsidR="00761B6C" w:rsidRPr="00236418" w:rsidRDefault="00761B6C" w:rsidP="00403E7A">
            <w:pPr>
              <w:tabs>
                <w:tab w:val="clear" w:pos="567"/>
                <w:tab w:val="clear" w:pos="1134"/>
                <w:tab w:val="clear" w:pos="1701"/>
                <w:tab w:val="clear" w:pos="2268"/>
                <w:tab w:val="clear" w:pos="2835"/>
              </w:tabs>
              <w:overflowPunct/>
              <w:autoSpaceDE/>
              <w:autoSpaceDN/>
              <w:adjustRightInd/>
              <w:spacing w:before="40" w:after="40"/>
              <w:jc w:val="center"/>
              <w:textAlignment w:val="auto"/>
              <w:rPr>
                <w:b/>
                <w:sz w:val="20"/>
                <w:lang w:eastAsia="zh-CN"/>
              </w:rPr>
            </w:pPr>
            <w:r w:rsidRPr="00236418">
              <w:rPr>
                <w:b/>
                <w:sz w:val="20"/>
                <w:lang w:eastAsia="zh-CN"/>
              </w:rPr>
              <w:t xml:space="preserve">Fonds de tiers </w:t>
            </w:r>
            <w:r w:rsidRPr="00236418">
              <w:rPr>
                <w:b/>
                <w:sz w:val="20"/>
                <w:lang w:eastAsia="zh-CN"/>
              </w:rPr>
              <w:br/>
              <w:t>en attente d</w:t>
            </w:r>
            <w:r>
              <w:rPr>
                <w:b/>
                <w:sz w:val="20"/>
                <w:lang w:eastAsia="zh-CN"/>
              </w:rPr>
              <w:t>'</w:t>
            </w:r>
            <w:r w:rsidRPr="00236418">
              <w:rPr>
                <w:b/>
                <w:sz w:val="20"/>
                <w:lang w:eastAsia="zh-CN"/>
              </w:rPr>
              <w:t>affectation</w:t>
            </w:r>
          </w:p>
        </w:tc>
        <w:tc>
          <w:tcPr>
            <w:tcW w:w="1559" w:type="dxa"/>
            <w:tcBorders>
              <w:top w:val="single" w:sz="4" w:space="0" w:color="auto"/>
            </w:tcBorders>
          </w:tcPr>
          <w:p w14:paraId="4F4C6E85" w14:textId="77777777" w:rsidR="00761B6C" w:rsidRPr="00236418" w:rsidRDefault="00761B6C" w:rsidP="00403E7A">
            <w:pPr>
              <w:tabs>
                <w:tab w:val="clear" w:pos="567"/>
                <w:tab w:val="clear" w:pos="1134"/>
                <w:tab w:val="clear" w:pos="1701"/>
                <w:tab w:val="clear" w:pos="2268"/>
                <w:tab w:val="clear" w:pos="2835"/>
              </w:tabs>
              <w:overflowPunct/>
              <w:autoSpaceDE/>
              <w:autoSpaceDN/>
              <w:adjustRightInd/>
              <w:spacing w:before="40" w:after="40"/>
              <w:jc w:val="center"/>
              <w:textAlignment w:val="auto"/>
              <w:rPr>
                <w:b/>
                <w:sz w:val="20"/>
                <w:lang w:eastAsia="zh-CN"/>
              </w:rPr>
            </w:pPr>
            <w:r w:rsidRPr="00236418">
              <w:rPr>
                <w:b/>
                <w:sz w:val="20"/>
                <w:lang w:eastAsia="zh-CN"/>
              </w:rPr>
              <w:t xml:space="preserve">Total fonds </w:t>
            </w:r>
            <w:r w:rsidRPr="00236418">
              <w:rPr>
                <w:b/>
                <w:sz w:val="20"/>
                <w:lang w:eastAsia="zh-CN"/>
              </w:rPr>
              <w:br/>
              <w:t>de tiers</w:t>
            </w:r>
          </w:p>
        </w:tc>
        <w:tc>
          <w:tcPr>
            <w:tcW w:w="2121" w:type="dxa"/>
            <w:tcBorders>
              <w:top w:val="single" w:sz="4" w:space="0" w:color="auto"/>
            </w:tcBorders>
          </w:tcPr>
          <w:p w14:paraId="4238CC78" w14:textId="77777777" w:rsidR="00761B6C" w:rsidRPr="00236418" w:rsidRDefault="00761B6C" w:rsidP="00403E7A">
            <w:pPr>
              <w:tabs>
                <w:tab w:val="clear" w:pos="567"/>
                <w:tab w:val="clear" w:pos="1134"/>
                <w:tab w:val="clear" w:pos="1701"/>
                <w:tab w:val="clear" w:pos="2268"/>
                <w:tab w:val="clear" w:pos="2835"/>
              </w:tabs>
              <w:overflowPunct/>
              <w:autoSpaceDE/>
              <w:autoSpaceDN/>
              <w:adjustRightInd/>
              <w:spacing w:before="40" w:after="40"/>
              <w:jc w:val="center"/>
              <w:textAlignment w:val="auto"/>
              <w:rPr>
                <w:b/>
                <w:sz w:val="20"/>
                <w:lang w:eastAsia="zh-CN"/>
              </w:rPr>
            </w:pPr>
            <w:r w:rsidRPr="00236418">
              <w:rPr>
                <w:b/>
                <w:sz w:val="20"/>
                <w:lang w:eastAsia="zh-CN"/>
              </w:rPr>
              <w:t>Fonds propres affectés à des projets extrabudgétaires</w:t>
            </w:r>
          </w:p>
        </w:tc>
      </w:tr>
      <w:tr w:rsidR="00761B6C" w:rsidRPr="00236418" w14:paraId="47F82300" w14:textId="77777777" w:rsidTr="0061620A">
        <w:tc>
          <w:tcPr>
            <w:tcW w:w="2835" w:type="dxa"/>
            <w:tcBorders>
              <w:bottom w:val="single" w:sz="4" w:space="0" w:color="auto"/>
            </w:tcBorders>
          </w:tcPr>
          <w:p w14:paraId="27266366" w14:textId="77777777" w:rsidR="00761B6C" w:rsidRPr="00236418" w:rsidRDefault="00761B6C" w:rsidP="00403E7A">
            <w:pPr>
              <w:pStyle w:val="Tabletext"/>
              <w:spacing w:before="40" w:after="40"/>
              <w:rPr>
                <w:b/>
                <w:bCs/>
                <w:sz w:val="20"/>
                <w:lang w:eastAsia="zh-CN"/>
              </w:rPr>
            </w:pPr>
            <w:r w:rsidRPr="00236418">
              <w:rPr>
                <w:b/>
                <w:bCs/>
                <w:sz w:val="20"/>
                <w:lang w:eastAsia="zh-CN"/>
              </w:rPr>
              <w:t>Solde au 31.12.201</w:t>
            </w:r>
            <w:r>
              <w:rPr>
                <w:b/>
                <w:bCs/>
                <w:sz w:val="20"/>
                <w:lang w:eastAsia="zh-CN"/>
              </w:rPr>
              <w:t>9</w:t>
            </w:r>
          </w:p>
        </w:tc>
        <w:tc>
          <w:tcPr>
            <w:tcW w:w="1418" w:type="dxa"/>
            <w:tcBorders>
              <w:bottom w:val="single" w:sz="4" w:space="0" w:color="auto"/>
            </w:tcBorders>
            <w:tcMar>
              <w:right w:w="198" w:type="dxa"/>
            </w:tcMar>
          </w:tcPr>
          <w:p w14:paraId="06C0091D" w14:textId="77777777" w:rsidR="00761B6C" w:rsidRPr="00DF4023" w:rsidRDefault="00761B6C" w:rsidP="00403E7A">
            <w:pPr>
              <w:pStyle w:val="Tabletext"/>
              <w:spacing w:before="40" w:after="40"/>
              <w:jc w:val="right"/>
              <w:rPr>
                <w:sz w:val="20"/>
                <w:szCs w:val="20"/>
                <w:lang w:eastAsia="zh-CN"/>
              </w:rPr>
            </w:pPr>
            <w:r w:rsidRPr="00DF4023">
              <w:rPr>
                <w:sz w:val="20"/>
                <w:szCs w:val="20"/>
              </w:rPr>
              <w:t>35</w:t>
            </w:r>
            <w:r>
              <w:rPr>
                <w:sz w:val="20"/>
                <w:szCs w:val="20"/>
              </w:rPr>
              <w:t xml:space="preserve"> </w:t>
            </w:r>
            <w:r w:rsidRPr="00DF4023">
              <w:rPr>
                <w:sz w:val="20"/>
                <w:szCs w:val="20"/>
              </w:rPr>
              <w:t>151</w:t>
            </w:r>
          </w:p>
        </w:tc>
        <w:tc>
          <w:tcPr>
            <w:tcW w:w="1696" w:type="dxa"/>
            <w:tcBorders>
              <w:bottom w:val="single" w:sz="4" w:space="0" w:color="auto"/>
            </w:tcBorders>
            <w:tcMar>
              <w:right w:w="198" w:type="dxa"/>
            </w:tcMar>
          </w:tcPr>
          <w:p w14:paraId="102A54D6" w14:textId="77777777" w:rsidR="00761B6C" w:rsidRPr="00DF4023" w:rsidRDefault="00761B6C" w:rsidP="00403E7A">
            <w:pPr>
              <w:pStyle w:val="Tabletext"/>
              <w:spacing w:before="40" w:after="40"/>
              <w:jc w:val="right"/>
              <w:rPr>
                <w:sz w:val="20"/>
                <w:szCs w:val="20"/>
                <w:lang w:eastAsia="zh-CN"/>
              </w:rPr>
            </w:pPr>
            <w:r w:rsidRPr="00DF4023">
              <w:rPr>
                <w:sz w:val="20"/>
                <w:szCs w:val="20"/>
              </w:rPr>
              <w:t>3</w:t>
            </w:r>
            <w:r>
              <w:rPr>
                <w:sz w:val="20"/>
                <w:szCs w:val="20"/>
              </w:rPr>
              <w:t xml:space="preserve"> </w:t>
            </w:r>
            <w:r w:rsidRPr="00DF4023">
              <w:rPr>
                <w:sz w:val="20"/>
                <w:szCs w:val="20"/>
              </w:rPr>
              <w:t>184</w:t>
            </w:r>
          </w:p>
        </w:tc>
        <w:tc>
          <w:tcPr>
            <w:tcW w:w="1559" w:type="dxa"/>
            <w:tcBorders>
              <w:bottom w:val="single" w:sz="4" w:space="0" w:color="auto"/>
            </w:tcBorders>
            <w:tcMar>
              <w:right w:w="198" w:type="dxa"/>
            </w:tcMar>
          </w:tcPr>
          <w:p w14:paraId="43054B2B" w14:textId="276CA61A" w:rsidR="00761B6C" w:rsidRPr="00DF4023" w:rsidRDefault="00761B6C" w:rsidP="00403E7A">
            <w:pPr>
              <w:pStyle w:val="Tabletext"/>
              <w:spacing w:before="40" w:after="40"/>
              <w:jc w:val="right"/>
              <w:rPr>
                <w:b/>
                <w:bCs/>
                <w:sz w:val="20"/>
                <w:szCs w:val="20"/>
                <w:lang w:eastAsia="zh-CN"/>
              </w:rPr>
            </w:pPr>
            <w:r w:rsidRPr="00DF4023">
              <w:rPr>
                <w:b/>
                <w:bCs/>
                <w:sz w:val="20"/>
                <w:szCs w:val="20"/>
              </w:rPr>
              <w:t>38</w:t>
            </w:r>
            <w:r>
              <w:rPr>
                <w:b/>
                <w:bCs/>
                <w:sz w:val="20"/>
                <w:szCs w:val="20"/>
              </w:rPr>
              <w:t xml:space="preserve"> </w:t>
            </w:r>
            <w:r w:rsidRPr="00DF4023">
              <w:rPr>
                <w:b/>
                <w:bCs/>
                <w:sz w:val="20"/>
                <w:szCs w:val="20"/>
              </w:rPr>
              <w:t>3</w:t>
            </w:r>
            <w:r w:rsidR="00403E7A">
              <w:rPr>
                <w:b/>
                <w:bCs/>
                <w:sz w:val="20"/>
                <w:szCs w:val="20"/>
              </w:rPr>
              <w:t>52</w:t>
            </w:r>
          </w:p>
        </w:tc>
        <w:tc>
          <w:tcPr>
            <w:tcW w:w="2121" w:type="dxa"/>
            <w:tcBorders>
              <w:bottom w:val="single" w:sz="4" w:space="0" w:color="auto"/>
            </w:tcBorders>
            <w:tcMar>
              <w:right w:w="198" w:type="dxa"/>
            </w:tcMar>
          </w:tcPr>
          <w:p w14:paraId="3D2177A7" w14:textId="77777777" w:rsidR="00761B6C" w:rsidRPr="00DF4023" w:rsidRDefault="00761B6C" w:rsidP="00403E7A">
            <w:pPr>
              <w:pStyle w:val="Tabletext"/>
              <w:spacing w:before="40" w:after="40"/>
              <w:jc w:val="right"/>
              <w:rPr>
                <w:b/>
                <w:bCs/>
                <w:sz w:val="20"/>
                <w:szCs w:val="20"/>
                <w:lang w:eastAsia="zh-CN"/>
              </w:rPr>
            </w:pPr>
            <w:r w:rsidRPr="00DF4023">
              <w:rPr>
                <w:b/>
                <w:bCs/>
                <w:sz w:val="20"/>
                <w:szCs w:val="20"/>
              </w:rPr>
              <w:t>5</w:t>
            </w:r>
            <w:r>
              <w:rPr>
                <w:b/>
                <w:bCs/>
                <w:sz w:val="20"/>
                <w:szCs w:val="20"/>
              </w:rPr>
              <w:t xml:space="preserve"> </w:t>
            </w:r>
            <w:r w:rsidRPr="00DF4023">
              <w:rPr>
                <w:b/>
                <w:bCs/>
                <w:sz w:val="20"/>
                <w:szCs w:val="20"/>
              </w:rPr>
              <w:t>335</w:t>
            </w:r>
          </w:p>
        </w:tc>
      </w:tr>
      <w:tr w:rsidR="00761B6C" w:rsidRPr="00236418" w14:paraId="400C6763" w14:textId="77777777" w:rsidTr="0061620A">
        <w:tc>
          <w:tcPr>
            <w:tcW w:w="2835" w:type="dxa"/>
            <w:tcBorders>
              <w:bottom w:val="nil"/>
            </w:tcBorders>
          </w:tcPr>
          <w:p w14:paraId="15638EF8" w14:textId="77777777" w:rsidR="00761B6C" w:rsidRPr="00236418" w:rsidRDefault="00761B6C" w:rsidP="00403E7A">
            <w:pPr>
              <w:pStyle w:val="Tabletext"/>
              <w:spacing w:before="40" w:after="40"/>
              <w:rPr>
                <w:sz w:val="20"/>
                <w:lang w:eastAsia="zh-CN"/>
              </w:rPr>
            </w:pPr>
            <w:r w:rsidRPr="00236418">
              <w:rPr>
                <w:sz w:val="20"/>
                <w:lang w:eastAsia="zh-CN"/>
              </w:rPr>
              <w:t>Augmentation</w:t>
            </w:r>
          </w:p>
        </w:tc>
        <w:tc>
          <w:tcPr>
            <w:tcW w:w="1418" w:type="dxa"/>
            <w:tcBorders>
              <w:bottom w:val="nil"/>
            </w:tcBorders>
            <w:tcMar>
              <w:right w:w="198" w:type="dxa"/>
            </w:tcMar>
          </w:tcPr>
          <w:p w14:paraId="27707D03" w14:textId="77777777" w:rsidR="00761B6C" w:rsidRPr="00DF4023" w:rsidRDefault="00761B6C" w:rsidP="00403E7A">
            <w:pPr>
              <w:pStyle w:val="Tabletext"/>
              <w:spacing w:before="40" w:after="40"/>
              <w:jc w:val="right"/>
              <w:rPr>
                <w:sz w:val="20"/>
                <w:szCs w:val="20"/>
                <w:lang w:eastAsia="zh-CN"/>
              </w:rPr>
            </w:pPr>
            <w:r w:rsidRPr="00DF4023">
              <w:rPr>
                <w:sz w:val="20"/>
                <w:szCs w:val="20"/>
              </w:rPr>
              <w:t>9</w:t>
            </w:r>
            <w:r>
              <w:rPr>
                <w:sz w:val="20"/>
                <w:szCs w:val="20"/>
              </w:rPr>
              <w:t xml:space="preserve"> </w:t>
            </w:r>
            <w:r w:rsidRPr="00DF4023">
              <w:rPr>
                <w:sz w:val="20"/>
                <w:szCs w:val="20"/>
              </w:rPr>
              <w:t>020</w:t>
            </w:r>
          </w:p>
        </w:tc>
        <w:tc>
          <w:tcPr>
            <w:tcW w:w="1696" w:type="dxa"/>
            <w:tcBorders>
              <w:bottom w:val="nil"/>
            </w:tcBorders>
            <w:tcMar>
              <w:right w:w="198" w:type="dxa"/>
            </w:tcMar>
          </w:tcPr>
          <w:p w14:paraId="2178A96B" w14:textId="77777777" w:rsidR="00761B6C" w:rsidRPr="00DF4023" w:rsidRDefault="00761B6C" w:rsidP="00403E7A">
            <w:pPr>
              <w:pStyle w:val="Tabletext"/>
              <w:spacing w:before="40" w:after="40"/>
              <w:jc w:val="right"/>
              <w:rPr>
                <w:sz w:val="20"/>
                <w:szCs w:val="20"/>
                <w:lang w:eastAsia="zh-CN"/>
              </w:rPr>
            </w:pPr>
            <w:r w:rsidRPr="00DF4023">
              <w:rPr>
                <w:sz w:val="20"/>
                <w:szCs w:val="20"/>
              </w:rPr>
              <w:t>2</w:t>
            </w:r>
            <w:r>
              <w:rPr>
                <w:sz w:val="20"/>
                <w:szCs w:val="20"/>
              </w:rPr>
              <w:t xml:space="preserve"> </w:t>
            </w:r>
            <w:r w:rsidRPr="00DF4023">
              <w:rPr>
                <w:sz w:val="20"/>
                <w:szCs w:val="20"/>
              </w:rPr>
              <w:t>027</w:t>
            </w:r>
          </w:p>
        </w:tc>
        <w:tc>
          <w:tcPr>
            <w:tcW w:w="1559" w:type="dxa"/>
            <w:tcBorders>
              <w:bottom w:val="nil"/>
            </w:tcBorders>
            <w:tcMar>
              <w:right w:w="198" w:type="dxa"/>
            </w:tcMar>
          </w:tcPr>
          <w:p w14:paraId="2D0832BB" w14:textId="77777777" w:rsidR="00761B6C" w:rsidRPr="00DF4023" w:rsidRDefault="00761B6C" w:rsidP="00403E7A">
            <w:pPr>
              <w:pStyle w:val="Tabletext"/>
              <w:spacing w:before="40" w:after="40"/>
              <w:jc w:val="right"/>
              <w:rPr>
                <w:b/>
                <w:bCs/>
                <w:sz w:val="20"/>
                <w:szCs w:val="20"/>
                <w:lang w:eastAsia="zh-CN"/>
              </w:rPr>
            </w:pPr>
            <w:r w:rsidRPr="00DF4023">
              <w:rPr>
                <w:b/>
                <w:bCs/>
                <w:sz w:val="20"/>
                <w:szCs w:val="20"/>
              </w:rPr>
              <w:t>11</w:t>
            </w:r>
            <w:r>
              <w:rPr>
                <w:b/>
                <w:bCs/>
                <w:sz w:val="20"/>
                <w:szCs w:val="20"/>
              </w:rPr>
              <w:t xml:space="preserve"> </w:t>
            </w:r>
            <w:r w:rsidRPr="00DF4023">
              <w:rPr>
                <w:b/>
                <w:bCs/>
                <w:sz w:val="20"/>
                <w:szCs w:val="20"/>
              </w:rPr>
              <w:t>047</w:t>
            </w:r>
          </w:p>
        </w:tc>
        <w:tc>
          <w:tcPr>
            <w:tcW w:w="2121" w:type="dxa"/>
            <w:tcBorders>
              <w:bottom w:val="nil"/>
            </w:tcBorders>
            <w:tcMar>
              <w:right w:w="198" w:type="dxa"/>
            </w:tcMar>
          </w:tcPr>
          <w:p w14:paraId="2E8F0700" w14:textId="77777777" w:rsidR="00761B6C" w:rsidRPr="00DF4023" w:rsidRDefault="00761B6C" w:rsidP="00403E7A">
            <w:pPr>
              <w:pStyle w:val="Tabletext"/>
              <w:spacing w:before="40" w:after="40"/>
              <w:jc w:val="right"/>
              <w:rPr>
                <w:b/>
                <w:bCs/>
                <w:sz w:val="20"/>
                <w:szCs w:val="20"/>
                <w:lang w:eastAsia="zh-CN"/>
              </w:rPr>
            </w:pPr>
            <w:r w:rsidRPr="00DF4023">
              <w:rPr>
                <w:sz w:val="20"/>
                <w:szCs w:val="20"/>
              </w:rPr>
              <w:t>3</w:t>
            </w:r>
            <w:r>
              <w:rPr>
                <w:sz w:val="20"/>
                <w:szCs w:val="20"/>
              </w:rPr>
              <w:t xml:space="preserve"> </w:t>
            </w:r>
            <w:r w:rsidRPr="00DF4023">
              <w:rPr>
                <w:sz w:val="20"/>
                <w:szCs w:val="20"/>
              </w:rPr>
              <w:t>900</w:t>
            </w:r>
          </w:p>
        </w:tc>
      </w:tr>
      <w:tr w:rsidR="00761B6C" w:rsidRPr="00236418" w14:paraId="0F6C167F" w14:textId="77777777" w:rsidTr="0061620A">
        <w:tc>
          <w:tcPr>
            <w:tcW w:w="2835" w:type="dxa"/>
            <w:tcBorders>
              <w:top w:val="nil"/>
              <w:bottom w:val="nil"/>
            </w:tcBorders>
          </w:tcPr>
          <w:p w14:paraId="36E71962" w14:textId="77777777" w:rsidR="00761B6C" w:rsidRPr="00236418" w:rsidRDefault="00761B6C" w:rsidP="00403E7A">
            <w:pPr>
              <w:pStyle w:val="Tabletext"/>
              <w:spacing w:before="40" w:after="40"/>
              <w:rPr>
                <w:sz w:val="20"/>
                <w:lang w:eastAsia="zh-CN"/>
              </w:rPr>
            </w:pPr>
            <w:r w:rsidRPr="00236418">
              <w:rPr>
                <w:sz w:val="20"/>
                <w:lang w:eastAsia="zh-CN"/>
              </w:rPr>
              <w:t>Diminution</w:t>
            </w:r>
          </w:p>
        </w:tc>
        <w:tc>
          <w:tcPr>
            <w:tcW w:w="1418" w:type="dxa"/>
            <w:tcBorders>
              <w:top w:val="nil"/>
              <w:bottom w:val="nil"/>
            </w:tcBorders>
            <w:tcMar>
              <w:right w:w="198" w:type="dxa"/>
            </w:tcMar>
          </w:tcPr>
          <w:p w14:paraId="5AC584F7" w14:textId="77777777" w:rsidR="00761B6C" w:rsidRPr="00DF4023" w:rsidRDefault="00761B6C" w:rsidP="00403E7A">
            <w:pPr>
              <w:pStyle w:val="Tabletext"/>
              <w:spacing w:before="40" w:after="40"/>
              <w:jc w:val="right"/>
              <w:rPr>
                <w:sz w:val="20"/>
                <w:szCs w:val="20"/>
                <w:lang w:eastAsia="zh-CN"/>
              </w:rPr>
            </w:pPr>
            <w:r>
              <w:rPr>
                <w:sz w:val="20"/>
                <w:szCs w:val="20"/>
              </w:rPr>
              <w:t>–</w:t>
            </w:r>
            <w:r w:rsidRPr="00DF4023">
              <w:rPr>
                <w:sz w:val="20"/>
                <w:szCs w:val="20"/>
              </w:rPr>
              <w:t>5</w:t>
            </w:r>
            <w:r>
              <w:rPr>
                <w:sz w:val="20"/>
                <w:szCs w:val="20"/>
              </w:rPr>
              <w:t xml:space="preserve"> </w:t>
            </w:r>
            <w:r w:rsidRPr="00DF4023">
              <w:rPr>
                <w:sz w:val="20"/>
                <w:szCs w:val="20"/>
              </w:rPr>
              <w:t>731</w:t>
            </w:r>
          </w:p>
        </w:tc>
        <w:tc>
          <w:tcPr>
            <w:tcW w:w="1696" w:type="dxa"/>
            <w:tcBorders>
              <w:top w:val="nil"/>
              <w:bottom w:val="nil"/>
            </w:tcBorders>
            <w:tcMar>
              <w:right w:w="198" w:type="dxa"/>
            </w:tcMar>
          </w:tcPr>
          <w:p w14:paraId="668AD2B1" w14:textId="77777777" w:rsidR="00761B6C" w:rsidRPr="00DF4023" w:rsidRDefault="00761B6C" w:rsidP="00403E7A">
            <w:pPr>
              <w:pStyle w:val="Tabletext"/>
              <w:spacing w:before="40" w:after="40"/>
              <w:jc w:val="right"/>
              <w:rPr>
                <w:sz w:val="20"/>
                <w:szCs w:val="20"/>
                <w:lang w:eastAsia="zh-CN"/>
              </w:rPr>
            </w:pPr>
            <w:r>
              <w:rPr>
                <w:sz w:val="20"/>
                <w:szCs w:val="20"/>
              </w:rPr>
              <w:t>–</w:t>
            </w:r>
            <w:r w:rsidRPr="00DF4023">
              <w:rPr>
                <w:sz w:val="20"/>
                <w:szCs w:val="20"/>
              </w:rPr>
              <w:t>858</w:t>
            </w:r>
          </w:p>
        </w:tc>
        <w:tc>
          <w:tcPr>
            <w:tcW w:w="1559" w:type="dxa"/>
            <w:tcBorders>
              <w:top w:val="nil"/>
              <w:bottom w:val="nil"/>
            </w:tcBorders>
            <w:tcMar>
              <w:right w:w="198" w:type="dxa"/>
            </w:tcMar>
          </w:tcPr>
          <w:p w14:paraId="76C1BDC5" w14:textId="77777777" w:rsidR="00761B6C" w:rsidRPr="00DF4023" w:rsidRDefault="00761B6C" w:rsidP="00403E7A">
            <w:pPr>
              <w:pStyle w:val="Tabletext"/>
              <w:spacing w:before="40" w:after="40"/>
              <w:jc w:val="right"/>
              <w:rPr>
                <w:b/>
                <w:bCs/>
                <w:sz w:val="20"/>
                <w:szCs w:val="20"/>
                <w:lang w:eastAsia="zh-CN"/>
              </w:rPr>
            </w:pPr>
            <w:r>
              <w:rPr>
                <w:b/>
                <w:bCs/>
                <w:sz w:val="20"/>
                <w:szCs w:val="20"/>
              </w:rPr>
              <w:t>–</w:t>
            </w:r>
            <w:r w:rsidRPr="00DF4023">
              <w:rPr>
                <w:b/>
                <w:bCs/>
                <w:sz w:val="20"/>
                <w:szCs w:val="20"/>
              </w:rPr>
              <w:t>6</w:t>
            </w:r>
            <w:r>
              <w:rPr>
                <w:b/>
                <w:bCs/>
                <w:sz w:val="20"/>
                <w:szCs w:val="20"/>
              </w:rPr>
              <w:t xml:space="preserve"> </w:t>
            </w:r>
            <w:r w:rsidRPr="00DF4023">
              <w:rPr>
                <w:b/>
                <w:bCs/>
                <w:sz w:val="20"/>
                <w:szCs w:val="20"/>
              </w:rPr>
              <w:t>589</w:t>
            </w:r>
          </w:p>
        </w:tc>
        <w:tc>
          <w:tcPr>
            <w:tcW w:w="2121" w:type="dxa"/>
            <w:tcBorders>
              <w:top w:val="nil"/>
              <w:bottom w:val="nil"/>
            </w:tcBorders>
            <w:tcMar>
              <w:right w:w="198" w:type="dxa"/>
            </w:tcMar>
          </w:tcPr>
          <w:p w14:paraId="019A16DF" w14:textId="77777777" w:rsidR="00761B6C" w:rsidRPr="00DF4023" w:rsidRDefault="00761B6C" w:rsidP="00403E7A">
            <w:pPr>
              <w:pStyle w:val="Tabletext"/>
              <w:spacing w:before="40" w:after="40"/>
              <w:jc w:val="right"/>
              <w:rPr>
                <w:b/>
                <w:bCs/>
                <w:sz w:val="20"/>
                <w:szCs w:val="20"/>
                <w:lang w:eastAsia="zh-CN"/>
              </w:rPr>
            </w:pPr>
            <w:r>
              <w:rPr>
                <w:sz w:val="20"/>
                <w:szCs w:val="20"/>
              </w:rPr>
              <w:t>–</w:t>
            </w:r>
            <w:r w:rsidRPr="00DF4023">
              <w:rPr>
                <w:sz w:val="20"/>
                <w:szCs w:val="20"/>
              </w:rPr>
              <w:t>1</w:t>
            </w:r>
            <w:r>
              <w:rPr>
                <w:sz w:val="20"/>
                <w:szCs w:val="20"/>
              </w:rPr>
              <w:t xml:space="preserve"> </w:t>
            </w:r>
            <w:r w:rsidRPr="00DF4023">
              <w:rPr>
                <w:sz w:val="20"/>
                <w:szCs w:val="20"/>
              </w:rPr>
              <w:t>227</w:t>
            </w:r>
          </w:p>
        </w:tc>
      </w:tr>
      <w:tr w:rsidR="00761B6C" w:rsidRPr="00236418" w14:paraId="32139F57" w14:textId="77777777" w:rsidTr="0061620A">
        <w:tc>
          <w:tcPr>
            <w:tcW w:w="2835" w:type="dxa"/>
            <w:tcBorders>
              <w:top w:val="nil"/>
            </w:tcBorders>
          </w:tcPr>
          <w:p w14:paraId="40A7C36E" w14:textId="77777777" w:rsidR="00761B6C" w:rsidRPr="00236418" w:rsidRDefault="00761B6C" w:rsidP="00403E7A">
            <w:pPr>
              <w:pStyle w:val="Tabletext"/>
              <w:spacing w:before="40" w:after="40"/>
              <w:rPr>
                <w:sz w:val="20"/>
                <w:lang w:eastAsia="zh-CN"/>
              </w:rPr>
            </w:pPr>
          </w:p>
        </w:tc>
        <w:tc>
          <w:tcPr>
            <w:tcW w:w="1418" w:type="dxa"/>
            <w:tcBorders>
              <w:top w:val="nil"/>
            </w:tcBorders>
            <w:tcMar>
              <w:right w:w="198" w:type="dxa"/>
            </w:tcMar>
          </w:tcPr>
          <w:p w14:paraId="7F012843" w14:textId="77777777" w:rsidR="00761B6C" w:rsidRPr="00DF4023" w:rsidRDefault="00761B6C" w:rsidP="00403E7A">
            <w:pPr>
              <w:pStyle w:val="Tabletext"/>
              <w:spacing w:before="40" w:after="40"/>
              <w:jc w:val="right"/>
              <w:rPr>
                <w:sz w:val="20"/>
                <w:szCs w:val="20"/>
                <w:lang w:eastAsia="zh-CN"/>
              </w:rPr>
            </w:pPr>
            <w:r w:rsidRPr="00DF4023">
              <w:rPr>
                <w:sz w:val="20"/>
                <w:szCs w:val="20"/>
              </w:rPr>
              <w:t> </w:t>
            </w:r>
          </w:p>
        </w:tc>
        <w:tc>
          <w:tcPr>
            <w:tcW w:w="1696" w:type="dxa"/>
            <w:tcBorders>
              <w:top w:val="nil"/>
            </w:tcBorders>
            <w:tcMar>
              <w:right w:w="198" w:type="dxa"/>
            </w:tcMar>
          </w:tcPr>
          <w:p w14:paraId="6A729E01" w14:textId="77777777" w:rsidR="00761B6C" w:rsidRPr="00DF4023" w:rsidRDefault="00761B6C" w:rsidP="00403E7A">
            <w:pPr>
              <w:pStyle w:val="Tabletext"/>
              <w:spacing w:before="40" w:after="40"/>
              <w:jc w:val="right"/>
              <w:rPr>
                <w:sz w:val="20"/>
                <w:szCs w:val="20"/>
                <w:lang w:eastAsia="zh-CN"/>
              </w:rPr>
            </w:pPr>
            <w:r w:rsidRPr="00DF4023">
              <w:rPr>
                <w:sz w:val="20"/>
                <w:szCs w:val="20"/>
              </w:rPr>
              <w:t> </w:t>
            </w:r>
          </w:p>
        </w:tc>
        <w:tc>
          <w:tcPr>
            <w:tcW w:w="1559" w:type="dxa"/>
            <w:tcBorders>
              <w:top w:val="nil"/>
            </w:tcBorders>
            <w:tcMar>
              <w:right w:w="198" w:type="dxa"/>
            </w:tcMar>
          </w:tcPr>
          <w:p w14:paraId="4A247C61" w14:textId="77777777" w:rsidR="00761B6C" w:rsidRPr="00DF4023" w:rsidRDefault="00761B6C" w:rsidP="00403E7A">
            <w:pPr>
              <w:pStyle w:val="Tabletext"/>
              <w:spacing w:before="40" w:after="40"/>
              <w:jc w:val="right"/>
              <w:rPr>
                <w:b/>
                <w:bCs/>
                <w:sz w:val="20"/>
                <w:szCs w:val="20"/>
                <w:lang w:eastAsia="zh-CN"/>
              </w:rPr>
            </w:pPr>
            <w:r w:rsidRPr="00DF4023">
              <w:rPr>
                <w:b/>
                <w:bCs/>
                <w:sz w:val="20"/>
                <w:szCs w:val="20"/>
              </w:rPr>
              <w:t> </w:t>
            </w:r>
          </w:p>
        </w:tc>
        <w:tc>
          <w:tcPr>
            <w:tcW w:w="2121" w:type="dxa"/>
            <w:tcBorders>
              <w:top w:val="nil"/>
            </w:tcBorders>
            <w:tcMar>
              <w:right w:w="198" w:type="dxa"/>
            </w:tcMar>
          </w:tcPr>
          <w:p w14:paraId="74C48447" w14:textId="77777777" w:rsidR="00761B6C" w:rsidRPr="00DF4023" w:rsidRDefault="00761B6C" w:rsidP="00403E7A">
            <w:pPr>
              <w:pStyle w:val="Tabletext"/>
              <w:spacing w:before="40" w:after="40"/>
              <w:jc w:val="right"/>
              <w:rPr>
                <w:b/>
                <w:bCs/>
                <w:sz w:val="20"/>
                <w:szCs w:val="20"/>
                <w:lang w:eastAsia="zh-CN"/>
              </w:rPr>
            </w:pPr>
            <w:r w:rsidRPr="00DF4023">
              <w:rPr>
                <w:b/>
                <w:bCs/>
                <w:sz w:val="20"/>
                <w:szCs w:val="20"/>
              </w:rPr>
              <w:t> </w:t>
            </w:r>
          </w:p>
        </w:tc>
      </w:tr>
      <w:tr w:rsidR="00761B6C" w:rsidRPr="00236418" w14:paraId="0D0EE232" w14:textId="77777777" w:rsidTr="0061620A">
        <w:tc>
          <w:tcPr>
            <w:tcW w:w="2835" w:type="dxa"/>
          </w:tcPr>
          <w:p w14:paraId="35D496B6" w14:textId="77777777" w:rsidR="00761B6C" w:rsidRPr="00236418" w:rsidRDefault="00761B6C" w:rsidP="00403E7A">
            <w:pPr>
              <w:pStyle w:val="Tabletext"/>
              <w:spacing w:before="40" w:after="40"/>
              <w:rPr>
                <w:b/>
                <w:bCs/>
                <w:sz w:val="20"/>
                <w:lang w:eastAsia="zh-CN"/>
              </w:rPr>
            </w:pPr>
            <w:r w:rsidRPr="00236418">
              <w:rPr>
                <w:b/>
                <w:bCs/>
                <w:sz w:val="20"/>
                <w:lang w:eastAsia="zh-CN"/>
              </w:rPr>
              <w:t>Solde de clôture au 31.12.20</w:t>
            </w:r>
            <w:r>
              <w:rPr>
                <w:b/>
                <w:bCs/>
                <w:sz w:val="20"/>
                <w:lang w:eastAsia="zh-CN"/>
              </w:rPr>
              <w:t>20</w:t>
            </w:r>
          </w:p>
        </w:tc>
        <w:tc>
          <w:tcPr>
            <w:tcW w:w="1418" w:type="dxa"/>
            <w:tcMar>
              <w:right w:w="198" w:type="dxa"/>
            </w:tcMar>
          </w:tcPr>
          <w:p w14:paraId="37A6903F" w14:textId="77777777" w:rsidR="00761B6C" w:rsidRPr="00DF4023" w:rsidRDefault="00761B6C" w:rsidP="00403E7A">
            <w:pPr>
              <w:pStyle w:val="Tabletext"/>
              <w:spacing w:before="40" w:after="40"/>
              <w:jc w:val="right"/>
              <w:rPr>
                <w:sz w:val="20"/>
                <w:szCs w:val="20"/>
                <w:lang w:eastAsia="zh-CN"/>
              </w:rPr>
            </w:pPr>
            <w:r w:rsidRPr="00DF4023">
              <w:rPr>
                <w:sz w:val="20"/>
                <w:szCs w:val="20"/>
              </w:rPr>
              <w:t>38</w:t>
            </w:r>
            <w:r>
              <w:rPr>
                <w:sz w:val="20"/>
                <w:szCs w:val="20"/>
              </w:rPr>
              <w:t xml:space="preserve"> </w:t>
            </w:r>
            <w:r w:rsidRPr="00DF4023">
              <w:rPr>
                <w:sz w:val="20"/>
                <w:szCs w:val="20"/>
              </w:rPr>
              <w:t>430</w:t>
            </w:r>
          </w:p>
        </w:tc>
        <w:tc>
          <w:tcPr>
            <w:tcW w:w="1696" w:type="dxa"/>
            <w:tcMar>
              <w:right w:w="198" w:type="dxa"/>
            </w:tcMar>
          </w:tcPr>
          <w:p w14:paraId="0BF88959" w14:textId="77777777" w:rsidR="00761B6C" w:rsidRPr="00DF4023" w:rsidRDefault="00761B6C" w:rsidP="00403E7A">
            <w:pPr>
              <w:pStyle w:val="Tabletext"/>
              <w:spacing w:before="40" w:after="40"/>
              <w:jc w:val="right"/>
              <w:rPr>
                <w:sz w:val="20"/>
                <w:szCs w:val="20"/>
                <w:lang w:eastAsia="zh-CN"/>
              </w:rPr>
            </w:pPr>
            <w:r w:rsidRPr="00DF4023">
              <w:rPr>
                <w:sz w:val="20"/>
                <w:szCs w:val="20"/>
              </w:rPr>
              <w:t>4</w:t>
            </w:r>
            <w:r>
              <w:rPr>
                <w:sz w:val="20"/>
                <w:szCs w:val="20"/>
              </w:rPr>
              <w:t xml:space="preserve"> </w:t>
            </w:r>
            <w:r w:rsidRPr="00DF4023">
              <w:rPr>
                <w:sz w:val="20"/>
                <w:szCs w:val="20"/>
              </w:rPr>
              <w:t>353</w:t>
            </w:r>
          </w:p>
        </w:tc>
        <w:tc>
          <w:tcPr>
            <w:tcW w:w="1559" w:type="dxa"/>
            <w:tcMar>
              <w:right w:w="198" w:type="dxa"/>
            </w:tcMar>
          </w:tcPr>
          <w:p w14:paraId="58B9C13F" w14:textId="77777777" w:rsidR="00761B6C" w:rsidRPr="00DF4023" w:rsidRDefault="00761B6C" w:rsidP="00403E7A">
            <w:pPr>
              <w:pStyle w:val="Tabletext"/>
              <w:spacing w:before="40" w:after="40"/>
              <w:jc w:val="right"/>
              <w:rPr>
                <w:b/>
                <w:bCs/>
                <w:sz w:val="20"/>
                <w:szCs w:val="20"/>
                <w:lang w:eastAsia="zh-CN"/>
              </w:rPr>
            </w:pPr>
            <w:r w:rsidRPr="00DF4023">
              <w:rPr>
                <w:b/>
                <w:bCs/>
                <w:sz w:val="20"/>
                <w:szCs w:val="20"/>
              </w:rPr>
              <w:t>42</w:t>
            </w:r>
            <w:r>
              <w:rPr>
                <w:b/>
                <w:bCs/>
                <w:sz w:val="20"/>
                <w:szCs w:val="20"/>
              </w:rPr>
              <w:t xml:space="preserve"> </w:t>
            </w:r>
            <w:r w:rsidRPr="00DF4023">
              <w:rPr>
                <w:b/>
                <w:bCs/>
                <w:sz w:val="20"/>
                <w:szCs w:val="20"/>
              </w:rPr>
              <w:t>783</w:t>
            </w:r>
          </w:p>
        </w:tc>
        <w:tc>
          <w:tcPr>
            <w:tcW w:w="2121" w:type="dxa"/>
            <w:tcMar>
              <w:right w:w="198" w:type="dxa"/>
            </w:tcMar>
          </w:tcPr>
          <w:p w14:paraId="69376447" w14:textId="77777777" w:rsidR="00761B6C" w:rsidRPr="00DF4023" w:rsidRDefault="00761B6C" w:rsidP="00403E7A">
            <w:pPr>
              <w:pStyle w:val="Tabletext"/>
              <w:spacing w:before="40" w:after="40"/>
              <w:jc w:val="right"/>
              <w:rPr>
                <w:b/>
                <w:bCs/>
                <w:sz w:val="20"/>
                <w:szCs w:val="20"/>
                <w:lang w:eastAsia="zh-CN"/>
              </w:rPr>
            </w:pPr>
            <w:r w:rsidRPr="00DF4023">
              <w:rPr>
                <w:b/>
                <w:bCs/>
                <w:sz w:val="20"/>
                <w:szCs w:val="20"/>
              </w:rPr>
              <w:t>8</w:t>
            </w:r>
            <w:r>
              <w:rPr>
                <w:b/>
                <w:bCs/>
                <w:sz w:val="20"/>
                <w:szCs w:val="20"/>
              </w:rPr>
              <w:t xml:space="preserve"> </w:t>
            </w:r>
            <w:r w:rsidRPr="00DF4023">
              <w:rPr>
                <w:b/>
                <w:bCs/>
                <w:sz w:val="20"/>
                <w:szCs w:val="20"/>
              </w:rPr>
              <w:t>008</w:t>
            </w:r>
          </w:p>
        </w:tc>
      </w:tr>
    </w:tbl>
    <w:p w14:paraId="0F0848F2" w14:textId="77777777" w:rsidR="00761B6C" w:rsidRPr="00236418" w:rsidRDefault="00761B6C" w:rsidP="00761B6C">
      <w:pPr>
        <w:spacing w:before="240"/>
      </w:pPr>
      <w:r w:rsidRPr="00236418">
        <w:t>On observe une augmentation</w:t>
      </w:r>
      <w:r>
        <w:t xml:space="preserve"> du montant total</w:t>
      </w:r>
      <w:r w:rsidRPr="00236418">
        <w:t xml:space="preserve"> des fonds de tiers affectés depuis </w:t>
      </w:r>
      <w:r>
        <w:t>l'interruption due à la pandémie de COVID-19. L</w:t>
      </w:r>
      <w:r w:rsidRPr="00236418">
        <w:t xml:space="preserve">es contributions externes </w:t>
      </w:r>
      <w:r>
        <w:t>ont continué d'être versées grâce à l'intensification des efforts pour attirer des fonds extrabudgétaires additionnels. Parallèlement, on constate une diminution de la mise en œuvre des projets financés au moyen de fonds de tiers en raison de la situation actuelle.</w:t>
      </w:r>
    </w:p>
    <w:p w14:paraId="272D908F" w14:textId="77777777" w:rsidR="0061620A" w:rsidRDefault="00761B6C" w:rsidP="00761B6C">
      <w:pPr>
        <w:rPr>
          <w:color w:val="000000" w:themeColor="text1"/>
        </w:rPr>
      </w:pPr>
      <w:r w:rsidRPr="00236418">
        <w:t xml:space="preserve">La hausse des fonds de tiers en attente de se voir affecter de nouveaux crédits est due principalement </w:t>
      </w:r>
      <w:r>
        <w:t>a</w:t>
      </w:r>
      <w:r w:rsidRPr="00236418">
        <w:t xml:space="preserve">ux transferts des soldes </w:t>
      </w:r>
      <w:r>
        <w:t>issus de projets clôturés</w:t>
      </w:r>
      <w:r w:rsidRPr="00236418">
        <w:rPr>
          <w:color w:val="000000" w:themeColor="text1"/>
        </w:rPr>
        <w:t xml:space="preserve">. </w:t>
      </w:r>
    </w:p>
    <w:p w14:paraId="4BE328E8" w14:textId="1311A682" w:rsidR="00761B6C" w:rsidRPr="00326680" w:rsidRDefault="00761B6C" w:rsidP="00761B6C">
      <w:pPr>
        <w:rPr>
          <w:color w:val="000000"/>
        </w:rPr>
      </w:pPr>
      <w:r>
        <w:t xml:space="preserve">L'augmentation </w:t>
      </w:r>
      <w:r w:rsidRPr="00236418">
        <w:rPr>
          <w:color w:val="000000"/>
        </w:rPr>
        <w:t>des fonds propres de l</w:t>
      </w:r>
      <w:r>
        <w:rPr>
          <w:color w:val="000000"/>
        </w:rPr>
        <w:t>'</w:t>
      </w:r>
      <w:r w:rsidRPr="00236418">
        <w:rPr>
          <w:color w:val="000000"/>
        </w:rPr>
        <w:t>UIT affectés à des projets</w:t>
      </w:r>
      <w:r>
        <w:rPr>
          <w:color w:val="000000"/>
        </w:rPr>
        <w:t xml:space="preserve"> extrabudgétaires est due à des</w:t>
      </w:r>
      <w:r w:rsidRPr="00236418">
        <w:rPr>
          <w:color w:val="000000"/>
        </w:rPr>
        <w:t xml:space="preserve"> affectations de fonds provenant du </w:t>
      </w:r>
      <w:r>
        <w:rPr>
          <w:color w:val="000000"/>
        </w:rPr>
        <w:t>Fonds de développement des TIC</w:t>
      </w:r>
      <w:r w:rsidRPr="00236418">
        <w:rPr>
          <w:color w:val="000000"/>
        </w:rPr>
        <w:t xml:space="preserve"> et </w:t>
      </w:r>
      <w:r>
        <w:rPr>
          <w:color w:val="000000"/>
        </w:rPr>
        <w:t>d'autres crédits budgétaires de l'UIT</w:t>
      </w:r>
      <w:r w:rsidRPr="00236418">
        <w:rPr>
          <w:color w:val="000000"/>
        </w:rPr>
        <w:t>.</w:t>
      </w:r>
      <w:r>
        <w:rPr>
          <w:color w:val="000000"/>
        </w:rPr>
        <w:t xml:space="preserve"> La mise en œuvre des projets (fonds propres) suit la même tendance en 2020 que celle des autres projets extrabudgétaires</w:t>
      </w:r>
      <w:r w:rsidRPr="00326680">
        <w:rPr>
          <w:color w:val="000000"/>
        </w:rPr>
        <w:t>.</w:t>
      </w:r>
    </w:p>
    <w:p w14:paraId="277D118F" w14:textId="77777777" w:rsidR="0061620A" w:rsidRDefault="0061620A" w:rsidP="00761B6C">
      <w:pPr>
        <w:pStyle w:val="Heading1"/>
        <w:spacing w:before="240" w:after="120"/>
        <w:rPr>
          <w:sz w:val="24"/>
          <w:szCs w:val="24"/>
        </w:rPr>
      </w:pPr>
      <w:bookmarkStart w:id="2021" w:name="_Toc329202593"/>
      <w:bookmarkStart w:id="2022" w:name="_Toc329205025"/>
      <w:bookmarkStart w:id="2023" w:name="_Toc329206862"/>
      <w:bookmarkStart w:id="2024" w:name="_Toc358379943"/>
      <w:bookmarkStart w:id="2025" w:name="_Toc358380486"/>
      <w:bookmarkStart w:id="2026" w:name="_Toc387166660"/>
      <w:bookmarkStart w:id="2027" w:name="_Toc395260945"/>
      <w:bookmarkStart w:id="2028" w:name="_Toc395511732"/>
      <w:bookmarkStart w:id="2029" w:name="_Toc452138634"/>
      <w:bookmarkStart w:id="2030" w:name="_Toc452139083"/>
      <w:bookmarkStart w:id="2031" w:name="_Toc452139447"/>
      <w:bookmarkStart w:id="2032" w:name="_Toc452139853"/>
      <w:bookmarkStart w:id="2033" w:name="_Toc452140727"/>
      <w:bookmarkStart w:id="2034" w:name="_Toc482801515"/>
      <w:bookmarkStart w:id="2035" w:name="_Toc511649487"/>
      <w:bookmarkStart w:id="2036" w:name="_Toc511649857"/>
      <w:bookmarkStart w:id="2037" w:name="_Toc511649973"/>
      <w:bookmarkStart w:id="2038" w:name="_Toc511651233"/>
      <w:bookmarkStart w:id="2039" w:name="_Toc511724096"/>
      <w:bookmarkStart w:id="2040" w:name="_Toc511739085"/>
      <w:bookmarkStart w:id="2041" w:name="_Toc511741256"/>
      <w:bookmarkStart w:id="2042" w:name="_Toc10450769"/>
      <w:bookmarkStart w:id="2043" w:name="_Toc41566362"/>
      <w:bookmarkStart w:id="2044" w:name="_Toc41567369"/>
      <w:bookmarkStart w:id="2045" w:name="_Toc41567872"/>
      <w:bookmarkStart w:id="2046" w:name="_Toc41814966"/>
      <w:bookmarkStart w:id="2047" w:name="_Toc268007557"/>
      <w:bookmarkEnd w:id="2019"/>
      <w:r>
        <w:rPr>
          <w:sz w:val="24"/>
          <w:szCs w:val="24"/>
        </w:rPr>
        <w:br w:type="page"/>
      </w:r>
    </w:p>
    <w:p w14:paraId="64A52093" w14:textId="574FB26E" w:rsidR="00761B6C" w:rsidRPr="00236418" w:rsidRDefault="00761B6C" w:rsidP="0061620A">
      <w:pPr>
        <w:pStyle w:val="Heading1"/>
        <w:spacing w:before="240"/>
        <w:rPr>
          <w:sz w:val="24"/>
          <w:szCs w:val="24"/>
        </w:rPr>
      </w:pPr>
      <w:bookmarkStart w:id="2048" w:name="_Toc73354463"/>
      <w:bookmarkStart w:id="2049" w:name="_Toc73356439"/>
      <w:r w:rsidRPr="00236418">
        <w:rPr>
          <w:sz w:val="24"/>
          <w:szCs w:val="24"/>
        </w:rPr>
        <w:lastRenderedPageBreak/>
        <w:t>Note 21</w:t>
      </w:r>
      <w:r w:rsidRPr="00236418">
        <w:rPr>
          <w:sz w:val="24"/>
          <w:szCs w:val="24"/>
        </w:rPr>
        <w:tab/>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r w:rsidRPr="00236418">
        <w:rPr>
          <w:sz w:val="24"/>
          <w:szCs w:val="24"/>
        </w:rPr>
        <w:t>Contributions mises en recouvrement</w:t>
      </w:r>
      <w:bookmarkEnd w:id="2042"/>
      <w:bookmarkEnd w:id="2043"/>
      <w:bookmarkEnd w:id="2044"/>
      <w:bookmarkEnd w:id="2045"/>
      <w:bookmarkEnd w:id="2046"/>
      <w:bookmarkEnd w:id="2048"/>
      <w:bookmarkEnd w:id="2049"/>
    </w:p>
    <w:p w14:paraId="2DDF8E81" w14:textId="77777777" w:rsidR="00761B6C" w:rsidRPr="00236418" w:rsidRDefault="00761B6C" w:rsidP="00761B6C">
      <w:pPr>
        <w:spacing w:after="120"/>
      </w:pPr>
      <w:r w:rsidRPr="00236418">
        <w:t>Le tableau suivant présente les contributions effectivement mises en compte au cours de l</w:t>
      </w:r>
      <w:r>
        <w:t>'</w:t>
      </w:r>
      <w:r w:rsidRPr="00236418">
        <w:t>exercice 2019.</w:t>
      </w:r>
    </w:p>
    <w:tbl>
      <w:tblPr>
        <w:tblW w:w="9521" w:type="dxa"/>
        <w:jc w:val="center"/>
        <w:tblLook w:val="04A0" w:firstRow="1" w:lastRow="0" w:firstColumn="1" w:lastColumn="0" w:noHBand="0" w:noVBand="1"/>
        <w:tblCaption w:val="E"/>
      </w:tblPr>
      <w:tblGrid>
        <w:gridCol w:w="6493"/>
        <w:gridCol w:w="1514"/>
        <w:gridCol w:w="1514"/>
      </w:tblGrid>
      <w:tr w:rsidR="00761B6C" w:rsidRPr="00236418" w14:paraId="2CC76C5F" w14:textId="77777777" w:rsidTr="00761B6C">
        <w:trPr>
          <w:trHeight w:val="499"/>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AC24D" w14:textId="77777777" w:rsidR="00761B6C" w:rsidRPr="00236418" w:rsidRDefault="00761B6C" w:rsidP="0061620A">
            <w:pPr>
              <w:pStyle w:val="Tablehead"/>
              <w:spacing w:before="20" w:after="20"/>
              <w:jc w:val="left"/>
              <w:rPr>
                <w:szCs w:val="22"/>
                <w:lang w:eastAsia="zh-CN"/>
              </w:rPr>
            </w:pPr>
            <w:r w:rsidRPr="00236418">
              <w:rPr>
                <w:szCs w:val="22"/>
                <w:lang w:eastAsia="zh-CN"/>
              </w:rPr>
              <w:t>En milliers</w:t>
            </w:r>
            <w:r>
              <w:rPr>
                <w:szCs w:val="22"/>
                <w:lang w:eastAsia="zh-CN"/>
              </w:rPr>
              <w:t xml:space="preserve"> </w:t>
            </w:r>
            <w:r w:rsidRPr="00236418">
              <w:rPr>
                <w:szCs w:val="22"/>
                <w:lang w:eastAsia="zh-CN"/>
              </w:rPr>
              <w:t>CHF</w:t>
            </w:r>
          </w:p>
        </w:tc>
        <w:tc>
          <w:tcPr>
            <w:tcW w:w="1514" w:type="dxa"/>
            <w:tcBorders>
              <w:top w:val="single" w:sz="4" w:space="0" w:color="auto"/>
              <w:left w:val="nil"/>
              <w:bottom w:val="single" w:sz="4" w:space="0" w:color="auto"/>
              <w:right w:val="single" w:sz="4" w:space="0" w:color="auto"/>
            </w:tcBorders>
            <w:vAlign w:val="center"/>
          </w:tcPr>
          <w:p w14:paraId="3EAD0334" w14:textId="77777777" w:rsidR="00761B6C" w:rsidRPr="00236418" w:rsidRDefault="00761B6C" w:rsidP="0061620A">
            <w:pPr>
              <w:pStyle w:val="Tablehead"/>
              <w:spacing w:before="20" w:after="20"/>
              <w:rPr>
                <w:szCs w:val="22"/>
                <w:lang w:eastAsia="zh-CN"/>
              </w:rPr>
            </w:pPr>
            <w:r>
              <w:rPr>
                <w:szCs w:val="22"/>
                <w:lang w:eastAsia="zh-CN"/>
              </w:rPr>
              <w:t>31.12.2020</w:t>
            </w:r>
          </w:p>
        </w:tc>
        <w:tc>
          <w:tcPr>
            <w:tcW w:w="1514" w:type="dxa"/>
            <w:tcBorders>
              <w:top w:val="single" w:sz="4" w:space="0" w:color="auto"/>
              <w:left w:val="nil"/>
              <w:bottom w:val="single" w:sz="4" w:space="0" w:color="auto"/>
              <w:right w:val="single" w:sz="4" w:space="0" w:color="auto"/>
            </w:tcBorders>
            <w:vAlign w:val="center"/>
          </w:tcPr>
          <w:p w14:paraId="0E60A5DB" w14:textId="77777777" w:rsidR="00761B6C" w:rsidRPr="00236418" w:rsidRDefault="00761B6C" w:rsidP="0061620A">
            <w:pPr>
              <w:pStyle w:val="Tablehead"/>
              <w:spacing w:before="20" w:after="20"/>
              <w:rPr>
                <w:szCs w:val="22"/>
                <w:lang w:eastAsia="zh-CN"/>
              </w:rPr>
            </w:pPr>
            <w:r w:rsidRPr="00236418">
              <w:rPr>
                <w:szCs w:val="22"/>
                <w:lang w:eastAsia="zh-CN"/>
              </w:rPr>
              <w:t>31.12.2019</w:t>
            </w:r>
          </w:p>
        </w:tc>
      </w:tr>
      <w:tr w:rsidR="00761B6C" w:rsidRPr="00236418" w14:paraId="363CC485" w14:textId="77777777" w:rsidTr="00761B6C">
        <w:trPr>
          <w:trHeight w:val="255"/>
          <w:jc w:val="center"/>
        </w:trPr>
        <w:tc>
          <w:tcPr>
            <w:tcW w:w="6493" w:type="dxa"/>
            <w:tcBorders>
              <w:top w:val="single" w:sz="4" w:space="0" w:color="auto"/>
              <w:left w:val="single" w:sz="4" w:space="0" w:color="auto"/>
              <w:bottom w:val="nil"/>
              <w:right w:val="single" w:sz="4" w:space="0" w:color="auto"/>
            </w:tcBorders>
            <w:shd w:val="clear" w:color="auto" w:fill="auto"/>
            <w:noWrap/>
            <w:vAlign w:val="bottom"/>
          </w:tcPr>
          <w:p w14:paraId="7995399F" w14:textId="77777777" w:rsidR="00761B6C" w:rsidRPr="00236418" w:rsidRDefault="00761B6C" w:rsidP="0061620A">
            <w:pPr>
              <w:pStyle w:val="Tabletext"/>
              <w:spacing w:before="20" w:after="20"/>
              <w:rPr>
                <w:szCs w:val="22"/>
                <w:lang w:eastAsia="zh-CN"/>
              </w:rPr>
            </w:pPr>
            <w:r w:rsidRPr="00236418">
              <w:rPr>
                <w:szCs w:val="22"/>
                <w:lang w:eastAsia="zh-CN"/>
              </w:rPr>
              <w:t>Contributions des États Membres</w:t>
            </w:r>
          </w:p>
        </w:tc>
        <w:tc>
          <w:tcPr>
            <w:tcW w:w="1514" w:type="dxa"/>
            <w:tcBorders>
              <w:top w:val="single" w:sz="4" w:space="0" w:color="auto"/>
              <w:left w:val="nil"/>
              <w:bottom w:val="nil"/>
              <w:right w:val="single" w:sz="4" w:space="0" w:color="auto"/>
            </w:tcBorders>
          </w:tcPr>
          <w:p w14:paraId="6CD0830B" w14:textId="77777777" w:rsidR="00761B6C" w:rsidRPr="00236418" w:rsidRDefault="00761B6C" w:rsidP="0061620A">
            <w:pPr>
              <w:pStyle w:val="Tabletext"/>
              <w:spacing w:before="20" w:after="20"/>
              <w:jc w:val="right"/>
              <w:rPr>
                <w:szCs w:val="22"/>
                <w:lang w:eastAsia="zh-CN"/>
              </w:rPr>
            </w:pPr>
            <w:r>
              <w:rPr>
                <w:szCs w:val="22"/>
                <w:lang w:eastAsia="zh-CN"/>
              </w:rPr>
              <w:t>109 293</w:t>
            </w:r>
          </w:p>
        </w:tc>
        <w:tc>
          <w:tcPr>
            <w:tcW w:w="1514" w:type="dxa"/>
            <w:tcBorders>
              <w:top w:val="single" w:sz="4" w:space="0" w:color="auto"/>
              <w:left w:val="nil"/>
              <w:bottom w:val="nil"/>
              <w:right w:val="single" w:sz="4" w:space="0" w:color="auto"/>
            </w:tcBorders>
          </w:tcPr>
          <w:p w14:paraId="1640279F" w14:textId="77777777" w:rsidR="00761B6C" w:rsidRPr="00236418" w:rsidRDefault="00761B6C" w:rsidP="0061620A">
            <w:pPr>
              <w:pStyle w:val="Tabletext"/>
              <w:spacing w:before="20" w:after="20"/>
              <w:jc w:val="right"/>
              <w:rPr>
                <w:szCs w:val="22"/>
                <w:lang w:eastAsia="zh-CN"/>
              </w:rPr>
            </w:pPr>
            <w:r w:rsidRPr="00236418">
              <w:rPr>
                <w:szCs w:val="22"/>
                <w:lang w:eastAsia="zh-CN"/>
              </w:rPr>
              <w:t>109 869</w:t>
            </w:r>
          </w:p>
        </w:tc>
      </w:tr>
      <w:tr w:rsidR="00761B6C" w:rsidRPr="00236418" w14:paraId="4305A389" w14:textId="77777777" w:rsidTr="00761B6C">
        <w:trPr>
          <w:trHeight w:val="20"/>
          <w:jc w:val="center"/>
        </w:trPr>
        <w:tc>
          <w:tcPr>
            <w:tcW w:w="6493" w:type="dxa"/>
            <w:tcBorders>
              <w:left w:val="single" w:sz="4" w:space="0" w:color="auto"/>
              <w:right w:val="single" w:sz="4" w:space="0" w:color="auto"/>
            </w:tcBorders>
            <w:shd w:val="clear" w:color="auto" w:fill="auto"/>
            <w:noWrap/>
            <w:vAlign w:val="center"/>
          </w:tcPr>
          <w:p w14:paraId="544C0047" w14:textId="77777777" w:rsidR="00761B6C" w:rsidRPr="00236418" w:rsidRDefault="00761B6C" w:rsidP="0061620A">
            <w:pPr>
              <w:pStyle w:val="Tabletext"/>
              <w:spacing w:before="20" w:after="20"/>
              <w:rPr>
                <w:szCs w:val="22"/>
                <w:lang w:eastAsia="zh-CN"/>
              </w:rPr>
            </w:pPr>
            <w:r w:rsidRPr="00236418">
              <w:rPr>
                <w:szCs w:val="22"/>
                <w:lang w:eastAsia="zh-CN"/>
              </w:rPr>
              <w:t>Contributions des Membres des Secteurs</w:t>
            </w:r>
          </w:p>
        </w:tc>
        <w:tc>
          <w:tcPr>
            <w:tcW w:w="1514" w:type="dxa"/>
            <w:tcBorders>
              <w:left w:val="nil"/>
              <w:right w:val="single" w:sz="4" w:space="0" w:color="auto"/>
            </w:tcBorders>
          </w:tcPr>
          <w:p w14:paraId="02B37518" w14:textId="77777777" w:rsidR="00761B6C" w:rsidRPr="00236418" w:rsidRDefault="00761B6C" w:rsidP="0061620A">
            <w:pPr>
              <w:pStyle w:val="Tabletext"/>
              <w:spacing w:before="20" w:after="20"/>
              <w:jc w:val="right"/>
              <w:rPr>
                <w:szCs w:val="22"/>
                <w:lang w:eastAsia="zh-CN"/>
              </w:rPr>
            </w:pPr>
            <w:r>
              <w:rPr>
                <w:szCs w:val="22"/>
                <w:lang w:eastAsia="zh-CN"/>
              </w:rPr>
              <w:t>13 939</w:t>
            </w:r>
          </w:p>
        </w:tc>
        <w:tc>
          <w:tcPr>
            <w:tcW w:w="1514" w:type="dxa"/>
            <w:tcBorders>
              <w:left w:val="nil"/>
              <w:right w:val="single" w:sz="4" w:space="0" w:color="auto"/>
            </w:tcBorders>
          </w:tcPr>
          <w:p w14:paraId="399FD044" w14:textId="77777777" w:rsidR="00761B6C" w:rsidRPr="00236418" w:rsidRDefault="00761B6C" w:rsidP="0061620A">
            <w:pPr>
              <w:pStyle w:val="Tabletext"/>
              <w:spacing w:before="20" w:after="20"/>
              <w:jc w:val="right"/>
              <w:rPr>
                <w:szCs w:val="22"/>
                <w:lang w:eastAsia="zh-CN"/>
              </w:rPr>
            </w:pPr>
            <w:r w:rsidRPr="00236418">
              <w:rPr>
                <w:szCs w:val="22"/>
                <w:lang w:eastAsia="zh-CN"/>
              </w:rPr>
              <w:t>14 173</w:t>
            </w:r>
          </w:p>
        </w:tc>
      </w:tr>
      <w:tr w:rsidR="00761B6C" w:rsidRPr="00236418" w14:paraId="47DE89B5" w14:textId="77777777" w:rsidTr="00761B6C">
        <w:trPr>
          <w:trHeight w:val="20"/>
          <w:jc w:val="center"/>
        </w:trPr>
        <w:tc>
          <w:tcPr>
            <w:tcW w:w="6493" w:type="dxa"/>
            <w:tcBorders>
              <w:left w:val="single" w:sz="4" w:space="0" w:color="auto"/>
              <w:right w:val="single" w:sz="4" w:space="0" w:color="auto"/>
            </w:tcBorders>
            <w:shd w:val="clear" w:color="auto" w:fill="auto"/>
            <w:noWrap/>
            <w:vAlign w:val="center"/>
          </w:tcPr>
          <w:p w14:paraId="4A5F9FA7" w14:textId="77777777" w:rsidR="00761B6C" w:rsidRPr="00236418" w:rsidRDefault="00761B6C" w:rsidP="0061620A">
            <w:pPr>
              <w:pStyle w:val="Tabletext"/>
              <w:spacing w:before="20" w:after="20"/>
              <w:rPr>
                <w:szCs w:val="22"/>
                <w:lang w:eastAsia="zh-CN"/>
              </w:rPr>
            </w:pPr>
            <w:r w:rsidRPr="00236418">
              <w:rPr>
                <w:szCs w:val="22"/>
                <w:lang w:eastAsia="zh-CN"/>
              </w:rPr>
              <w:t>Contributions des Associés</w:t>
            </w:r>
          </w:p>
        </w:tc>
        <w:tc>
          <w:tcPr>
            <w:tcW w:w="1514" w:type="dxa"/>
            <w:tcBorders>
              <w:left w:val="nil"/>
              <w:right w:val="single" w:sz="4" w:space="0" w:color="auto"/>
            </w:tcBorders>
          </w:tcPr>
          <w:p w14:paraId="517C9E30" w14:textId="77777777" w:rsidR="00761B6C" w:rsidRPr="00236418" w:rsidRDefault="00761B6C" w:rsidP="0061620A">
            <w:pPr>
              <w:pStyle w:val="Tabletext"/>
              <w:spacing w:before="20" w:after="20"/>
              <w:jc w:val="right"/>
              <w:rPr>
                <w:szCs w:val="22"/>
                <w:lang w:eastAsia="zh-CN"/>
              </w:rPr>
            </w:pPr>
            <w:r>
              <w:rPr>
                <w:szCs w:val="22"/>
                <w:lang w:eastAsia="zh-CN"/>
              </w:rPr>
              <w:t>2 111</w:t>
            </w:r>
          </w:p>
        </w:tc>
        <w:tc>
          <w:tcPr>
            <w:tcW w:w="1514" w:type="dxa"/>
            <w:tcBorders>
              <w:left w:val="nil"/>
              <w:right w:val="single" w:sz="4" w:space="0" w:color="auto"/>
            </w:tcBorders>
          </w:tcPr>
          <w:p w14:paraId="34CD6D15" w14:textId="77777777" w:rsidR="00761B6C" w:rsidRPr="00236418" w:rsidRDefault="00761B6C" w:rsidP="0061620A">
            <w:pPr>
              <w:pStyle w:val="Tabletext"/>
              <w:spacing w:before="20" w:after="20"/>
              <w:jc w:val="right"/>
              <w:rPr>
                <w:szCs w:val="22"/>
                <w:lang w:eastAsia="zh-CN"/>
              </w:rPr>
            </w:pPr>
            <w:r w:rsidRPr="00236418">
              <w:rPr>
                <w:szCs w:val="22"/>
                <w:lang w:eastAsia="zh-CN"/>
              </w:rPr>
              <w:t>2 054</w:t>
            </w:r>
          </w:p>
        </w:tc>
      </w:tr>
      <w:tr w:rsidR="00761B6C" w:rsidRPr="00236418" w14:paraId="4DA154F9" w14:textId="77777777" w:rsidTr="00761B6C">
        <w:trPr>
          <w:trHeight w:val="20"/>
          <w:jc w:val="center"/>
        </w:trPr>
        <w:tc>
          <w:tcPr>
            <w:tcW w:w="6493" w:type="dxa"/>
            <w:tcBorders>
              <w:left w:val="single" w:sz="4" w:space="0" w:color="auto"/>
              <w:right w:val="single" w:sz="4" w:space="0" w:color="auto"/>
            </w:tcBorders>
            <w:shd w:val="clear" w:color="auto" w:fill="auto"/>
            <w:noWrap/>
            <w:vAlign w:val="center"/>
          </w:tcPr>
          <w:p w14:paraId="3F55BEBE" w14:textId="77777777" w:rsidR="00761B6C" w:rsidRPr="00236418" w:rsidRDefault="00761B6C" w:rsidP="0061620A">
            <w:pPr>
              <w:pStyle w:val="Tabletext"/>
              <w:spacing w:before="20" w:after="20"/>
              <w:rPr>
                <w:szCs w:val="22"/>
                <w:lang w:eastAsia="zh-CN"/>
              </w:rPr>
            </w:pPr>
            <w:r w:rsidRPr="00236418">
              <w:rPr>
                <w:szCs w:val="22"/>
                <w:lang w:eastAsia="zh-CN"/>
              </w:rPr>
              <w:t>Contributions des établissements universitaires</w:t>
            </w:r>
          </w:p>
        </w:tc>
        <w:tc>
          <w:tcPr>
            <w:tcW w:w="1514" w:type="dxa"/>
            <w:tcBorders>
              <w:left w:val="nil"/>
              <w:right w:val="single" w:sz="4" w:space="0" w:color="auto"/>
            </w:tcBorders>
          </w:tcPr>
          <w:p w14:paraId="57835EA1" w14:textId="77777777" w:rsidR="00761B6C" w:rsidRPr="00236418" w:rsidRDefault="00761B6C" w:rsidP="0061620A">
            <w:pPr>
              <w:pStyle w:val="Tabletext"/>
              <w:spacing w:before="20" w:after="20"/>
              <w:jc w:val="right"/>
              <w:rPr>
                <w:szCs w:val="22"/>
                <w:lang w:eastAsia="zh-CN"/>
              </w:rPr>
            </w:pPr>
            <w:r>
              <w:rPr>
                <w:szCs w:val="22"/>
                <w:lang w:eastAsia="zh-CN"/>
              </w:rPr>
              <w:t>398</w:t>
            </w:r>
          </w:p>
        </w:tc>
        <w:tc>
          <w:tcPr>
            <w:tcW w:w="1514" w:type="dxa"/>
            <w:tcBorders>
              <w:left w:val="nil"/>
              <w:right w:val="single" w:sz="4" w:space="0" w:color="auto"/>
            </w:tcBorders>
          </w:tcPr>
          <w:p w14:paraId="65D23DFF" w14:textId="77777777" w:rsidR="00761B6C" w:rsidRPr="00236418" w:rsidRDefault="00761B6C" w:rsidP="0061620A">
            <w:pPr>
              <w:pStyle w:val="Tabletext"/>
              <w:spacing w:before="20" w:after="20"/>
              <w:jc w:val="right"/>
              <w:rPr>
                <w:szCs w:val="22"/>
                <w:lang w:eastAsia="zh-CN"/>
              </w:rPr>
            </w:pPr>
            <w:r w:rsidRPr="00236418">
              <w:rPr>
                <w:szCs w:val="22"/>
                <w:lang w:eastAsia="zh-CN"/>
              </w:rPr>
              <w:t>390</w:t>
            </w:r>
          </w:p>
        </w:tc>
      </w:tr>
      <w:tr w:rsidR="00761B6C" w:rsidRPr="00236418" w14:paraId="3BE911B9" w14:textId="77777777" w:rsidTr="00761B6C">
        <w:trPr>
          <w:trHeight w:val="20"/>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5BF88" w14:textId="77777777" w:rsidR="00761B6C" w:rsidRPr="00236418" w:rsidRDefault="00761B6C" w:rsidP="0061620A">
            <w:pPr>
              <w:pStyle w:val="Tabletext"/>
              <w:spacing w:before="20" w:after="20"/>
              <w:rPr>
                <w:b/>
                <w:bCs/>
                <w:szCs w:val="22"/>
                <w:lang w:eastAsia="zh-CN"/>
              </w:rPr>
            </w:pPr>
            <w:r w:rsidRPr="00236418">
              <w:t>Contributions aux conférences</w:t>
            </w:r>
          </w:p>
        </w:tc>
        <w:tc>
          <w:tcPr>
            <w:tcW w:w="1514" w:type="dxa"/>
            <w:tcBorders>
              <w:top w:val="single" w:sz="4" w:space="0" w:color="auto"/>
              <w:left w:val="nil"/>
              <w:bottom w:val="single" w:sz="4" w:space="0" w:color="auto"/>
              <w:right w:val="single" w:sz="4" w:space="0" w:color="auto"/>
            </w:tcBorders>
          </w:tcPr>
          <w:p w14:paraId="2BD18D8A" w14:textId="77777777" w:rsidR="00761B6C" w:rsidRPr="00236418" w:rsidRDefault="00761B6C" w:rsidP="0061620A">
            <w:pPr>
              <w:pStyle w:val="Tabletext"/>
              <w:spacing w:before="20" w:after="20"/>
              <w:jc w:val="right"/>
              <w:rPr>
                <w:szCs w:val="22"/>
                <w:lang w:eastAsia="zh-CN"/>
              </w:rPr>
            </w:pPr>
            <w:r w:rsidRPr="00DF4023">
              <w:rPr>
                <w:szCs w:val="22"/>
                <w:lang w:eastAsia="zh-CN"/>
              </w:rPr>
              <w:t>–</w:t>
            </w:r>
          </w:p>
        </w:tc>
        <w:tc>
          <w:tcPr>
            <w:tcW w:w="1514" w:type="dxa"/>
            <w:tcBorders>
              <w:top w:val="single" w:sz="4" w:space="0" w:color="auto"/>
              <w:left w:val="nil"/>
              <w:bottom w:val="single" w:sz="4" w:space="0" w:color="auto"/>
              <w:right w:val="single" w:sz="4" w:space="0" w:color="auto"/>
            </w:tcBorders>
          </w:tcPr>
          <w:p w14:paraId="212FA567" w14:textId="77777777" w:rsidR="00761B6C" w:rsidRPr="00236418" w:rsidRDefault="00761B6C" w:rsidP="0061620A">
            <w:pPr>
              <w:pStyle w:val="Tabletext"/>
              <w:spacing w:before="20" w:after="20"/>
              <w:jc w:val="right"/>
              <w:rPr>
                <w:szCs w:val="22"/>
                <w:lang w:eastAsia="zh-CN"/>
              </w:rPr>
            </w:pPr>
            <w:r w:rsidRPr="00236418">
              <w:rPr>
                <w:szCs w:val="22"/>
                <w:lang w:eastAsia="zh-CN"/>
              </w:rPr>
              <w:t>–</w:t>
            </w:r>
          </w:p>
        </w:tc>
      </w:tr>
      <w:tr w:rsidR="00761B6C" w:rsidRPr="00236418" w14:paraId="778649F3" w14:textId="77777777" w:rsidTr="00761B6C">
        <w:trPr>
          <w:trHeight w:val="20"/>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9AD9C" w14:textId="77777777" w:rsidR="00761B6C" w:rsidRPr="00236418" w:rsidRDefault="00761B6C" w:rsidP="0061620A">
            <w:pPr>
              <w:pStyle w:val="Tabletext"/>
              <w:spacing w:before="20" w:after="20"/>
              <w:rPr>
                <w:b/>
                <w:bCs/>
                <w:szCs w:val="22"/>
                <w:lang w:eastAsia="zh-CN"/>
              </w:rPr>
            </w:pPr>
            <w:r w:rsidRPr="00236418">
              <w:rPr>
                <w:b/>
                <w:bCs/>
                <w:szCs w:val="22"/>
                <w:lang w:eastAsia="zh-CN"/>
              </w:rPr>
              <w:t>Contributions mises en recouvrement</w:t>
            </w:r>
          </w:p>
        </w:tc>
        <w:tc>
          <w:tcPr>
            <w:tcW w:w="1514" w:type="dxa"/>
            <w:tcBorders>
              <w:top w:val="single" w:sz="4" w:space="0" w:color="auto"/>
              <w:left w:val="nil"/>
              <w:bottom w:val="single" w:sz="4" w:space="0" w:color="auto"/>
              <w:right w:val="single" w:sz="4" w:space="0" w:color="auto"/>
            </w:tcBorders>
          </w:tcPr>
          <w:p w14:paraId="46663DD8" w14:textId="77777777" w:rsidR="00761B6C" w:rsidRPr="00236418" w:rsidRDefault="00761B6C" w:rsidP="0061620A">
            <w:pPr>
              <w:pStyle w:val="Tabletext"/>
              <w:spacing w:before="20" w:after="20"/>
              <w:jc w:val="right"/>
              <w:rPr>
                <w:b/>
                <w:bCs/>
                <w:szCs w:val="22"/>
                <w:lang w:eastAsia="zh-CN"/>
              </w:rPr>
            </w:pPr>
            <w:r>
              <w:rPr>
                <w:b/>
                <w:bCs/>
                <w:szCs w:val="22"/>
                <w:lang w:eastAsia="zh-CN"/>
              </w:rPr>
              <w:t>125 741</w:t>
            </w:r>
          </w:p>
        </w:tc>
        <w:tc>
          <w:tcPr>
            <w:tcW w:w="1514" w:type="dxa"/>
            <w:tcBorders>
              <w:top w:val="single" w:sz="4" w:space="0" w:color="auto"/>
              <w:left w:val="nil"/>
              <w:bottom w:val="single" w:sz="4" w:space="0" w:color="auto"/>
              <w:right w:val="single" w:sz="4" w:space="0" w:color="auto"/>
            </w:tcBorders>
          </w:tcPr>
          <w:p w14:paraId="5B5F7131" w14:textId="77777777" w:rsidR="00761B6C" w:rsidRPr="00236418" w:rsidRDefault="00761B6C" w:rsidP="0061620A">
            <w:pPr>
              <w:pStyle w:val="Tabletext"/>
              <w:spacing w:before="20" w:after="20"/>
              <w:jc w:val="right"/>
              <w:rPr>
                <w:b/>
                <w:bCs/>
                <w:szCs w:val="22"/>
                <w:lang w:eastAsia="zh-CN"/>
              </w:rPr>
            </w:pPr>
            <w:r w:rsidRPr="00236418">
              <w:rPr>
                <w:b/>
                <w:bCs/>
                <w:szCs w:val="22"/>
                <w:lang w:eastAsia="zh-CN"/>
              </w:rPr>
              <w:t>126 485</w:t>
            </w:r>
          </w:p>
        </w:tc>
      </w:tr>
    </w:tbl>
    <w:p w14:paraId="75CFF7B8" w14:textId="77777777" w:rsidR="00761B6C" w:rsidRPr="00236418" w:rsidRDefault="00761B6C" w:rsidP="00761B6C">
      <w:pPr>
        <w:spacing w:before="240"/>
        <w:rPr>
          <w:color w:val="000000"/>
        </w:rPr>
      </w:pPr>
      <w:r w:rsidRPr="00236418">
        <w:t>Par la Résolution 13</w:t>
      </w:r>
      <w:r>
        <w:t>96</w:t>
      </w:r>
      <w:r w:rsidRPr="00236418">
        <w:t xml:space="preserve"> qu</w:t>
      </w:r>
      <w:r>
        <w:t>'</w:t>
      </w:r>
      <w:r w:rsidRPr="00236418">
        <w:t>il a adoptée à sa session de 201</w:t>
      </w:r>
      <w:r>
        <w:t>9</w:t>
      </w:r>
      <w:r w:rsidRPr="00236418">
        <w:t>, le Conseil a approuvé le budget de l</w:t>
      </w:r>
      <w:r>
        <w:t>'</w:t>
      </w:r>
      <w:r w:rsidRPr="00236418">
        <w:t>Union pour la période 20</w:t>
      </w:r>
      <w:r>
        <w:t>20</w:t>
      </w:r>
      <w:r w:rsidRPr="00236418">
        <w:t>-20</w:t>
      </w:r>
      <w:r>
        <w:t>21</w:t>
      </w:r>
      <w:r w:rsidRPr="00236418">
        <w:t>.</w:t>
      </w:r>
    </w:p>
    <w:p w14:paraId="465F4534" w14:textId="77777777" w:rsidR="00761B6C" w:rsidRPr="00236418" w:rsidRDefault="00761B6C" w:rsidP="00761B6C">
      <w:pPr>
        <w:rPr>
          <w:szCs w:val="24"/>
        </w:rPr>
      </w:pPr>
      <w:r w:rsidRPr="00236418">
        <w:t>Le Conseil a fixé le montant de l</w:t>
      </w:r>
      <w:r>
        <w:t>'</w:t>
      </w:r>
      <w:r w:rsidRPr="00236418">
        <w:t>unité contributive des États Membres à 318 000 CHF pour 201</w:t>
      </w:r>
      <w:r>
        <w:t>9</w:t>
      </w:r>
      <w:r w:rsidRPr="00236418">
        <w:t xml:space="preserve"> et 20</w:t>
      </w:r>
      <w:r>
        <w:t>20</w:t>
      </w:r>
      <w:r w:rsidRPr="00236418">
        <w:t xml:space="preserve">, sur la base de </w:t>
      </w:r>
      <w:r w:rsidRPr="00236418">
        <w:rPr>
          <w:rFonts w:cs="Calibri"/>
        </w:rPr>
        <w:t>3</w:t>
      </w:r>
      <w:r>
        <w:rPr>
          <w:rFonts w:cs="Calibri"/>
        </w:rPr>
        <w:t>43</w:t>
      </w:r>
      <w:r w:rsidRPr="00236418">
        <w:rPr>
          <w:rFonts w:cs="Calibri"/>
        </w:rPr>
        <w:t xml:space="preserve"> 1</w:t>
      </w:r>
      <w:r>
        <w:rPr>
          <w:rFonts w:cs="Calibri"/>
        </w:rPr>
        <w:t>1</w:t>
      </w:r>
      <w:r w:rsidRPr="00236418">
        <w:rPr>
          <w:rFonts w:cs="Calibri"/>
        </w:rPr>
        <w:t>/</w:t>
      </w:r>
      <w:r>
        <w:rPr>
          <w:rFonts w:cs="Calibri"/>
        </w:rPr>
        <w:t>16</w:t>
      </w:r>
      <w:r w:rsidRPr="00236418">
        <w:rPr>
          <w:rFonts w:cs="Calibri"/>
        </w:rPr>
        <w:t xml:space="preserve"> unités</w:t>
      </w:r>
      <w:r w:rsidRPr="00236418">
        <w:t>. Dans la même Résolution, il a fixé à 63 600 CHF le montant de l</w:t>
      </w:r>
      <w:r>
        <w:t>'</w:t>
      </w:r>
      <w:r w:rsidRPr="00236418">
        <w:t>unité contributive des Membres des Secteurs pour 20</w:t>
      </w:r>
      <w:r>
        <w:t>20</w:t>
      </w:r>
      <w:r w:rsidRPr="00236418">
        <w:t xml:space="preserve"> et 20</w:t>
      </w:r>
      <w:r>
        <w:t>21</w:t>
      </w:r>
      <w:r w:rsidRPr="00236418">
        <w:t>, soit 1/5 de l</w:t>
      </w:r>
      <w:r>
        <w:t>'</w:t>
      </w:r>
      <w:r w:rsidRPr="00236418">
        <w:t>unité contributive des États Membres. La contribution financière des Associés a été fixée comme suit: 10 600 CHF pour les Associés participant aux travaux de l</w:t>
      </w:r>
      <w:r>
        <w:t>'</w:t>
      </w:r>
      <w:r w:rsidRPr="00236418">
        <w:t>UIT-R et de l</w:t>
      </w:r>
      <w:r>
        <w:t>'</w:t>
      </w:r>
      <w:r w:rsidRPr="00236418">
        <w:t>UIT-T, 3 975 CHF pour les Associés participant aux travaux de l</w:t>
      </w:r>
      <w:r>
        <w:t>'</w:t>
      </w:r>
      <w:r w:rsidRPr="00236418">
        <w:t>UIT-D, et 1 987,50 CHF pour les Associés participant aux travaux de l</w:t>
      </w:r>
      <w:r>
        <w:t>'</w:t>
      </w:r>
      <w:r w:rsidRPr="00236418">
        <w:t>UIT-D dans le cas des Associés de pays en développement.</w:t>
      </w:r>
      <w:bookmarkStart w:id="2050" w:name="_Toc269839096"/>
      <w:bookmarkStart w:id="2051" w:name="_Toc268007559"/>
      <w:bookmarkEnd w:id="2047"/>
      <w:r w:rsidRPr="00236418">
        <w:t xml:space="preserve"> La contribution financière des établissements universitaires, des universités et de leurs instituts de recherche associés a été fixée comme suit:</w:t>
      </w:r>
      <w:r w:rsidRPr="00236418">
        <w:rPr>
          <w:szCs w:val="24"/>
        </w:rPr>
        <w:t xml:space="preserve"> 3 975 CHF pour les pays développés et 1 987,50 CHF pour les pays en développement participant aux travaux des trois Secteurs.</w:t>
      </w:r>
    </w:p>
    <w:p w14:paraId="4FEEC35E" w14:textId="18A51250" w:rsidR="00761B6C" w:rsidRPr="00986C3D" w:rsidRDefault="00761B6C" w:rsidP="0061620A">
      <w:r w:rsidRPr="00326680">
        <w:rPr>
          <w:rFonts w:asciiTheme="minorHAnsi" w:hAnsiTheme="minorHAnsi"/>
          <w:color w:val="000000" w:themeColor="text1"/>
        </w:rPr>
        <w:t>Les produits de 2020 provenant d</w:t>
      </w:r>
      <w:r>
        <w:rPr>
          <w:rFonts w:asciiTheme="minorHAnsi" w:hAnsiTheme="minorHAnsi"/>
          <w:color w:val="000000" w:themeColor="text1"/>
        </w:rPr>
        <w:t xml:space="preserve">es États Membres sont conformes </w:t>
      </w:r>
      <w:r w:rsidR="0061620A">
        <w:rPr>
          <w:rFonts w:asciiTheme="minorHAnsi" w:hAnsiTheme="minorHAnsi"/>
          <w:color w:val="000000" w:themeColor="text1"/>
        </w:rPr>
        <w:t>au plan financier présenté à la </w:t>
      </w:r>
      <w:r>
        <w:rPr>
          <w:rFonts w:asciiTheme="minorHAnsi" w:hAnsiTheme="minorHAnsi"/>
          <w:color w:val="000000" w:themeColor="text1"/>
        </w:rPr>
        <w:t xml:space="preserve">PP-18. </w:t>
      </w:r>
      <w:r w:rsidRPr="00326680">
        <w:rPr>
          <w:rFonts w:asciiTheme="minorHAnsi" w:hAnsiTheme="minorHAnsi"/>
          <w:color w:val="000000" w:themeColor="text1"/>
        </w:rPr>
        <w:t>Les contributions</w:t>
      </w:r>
      <w:r w:rsidRPr="002A4C7A">
        <w:rPr>
          <w:rFonts w:asciiTheme="minorHAnsi" w:hAnsiTheme="minorHAnsi"/>
          <w:color w:val="000000" w:themeColor="text1"/>
        </w:rPr>
        <w:t xml:space="preserve"> </w:t>
      </w:r>
      <w:r w:rsidRPr="00326680">
        <w:rPr>
          <w:rFonts w:asciiTheme="minorHAnsi" w:hAnsiTheme="minorHAnsi"/>
          <w:color w:val="000000" w:themeColor="text1"/>
        </w:rPr>
        <w:t xml:space="preserve">mises en recouvrement </w:t>
      </w:r>
      <w:r>
        <w:rPr>
          <w:rFonts w:asciiTheme="minorHAnsi" w:hAnsiTheme="minorHAnsi"/>
          <w:color w:val="000000" w:themeColor="text1"/>
        </w:rPr>
        <w:t xml:space="preserve">auprès </w:t>
      </w:r>
      <w:r w:rsidRPr="00326680">
        <w:rPr>
          <w:rFonts w:asciiTheme="minorHAnsi" w:hAnsiTheme="minorHAnsi"/>
          <w:color w:val="000000" w:themeColor="text1"/>
        </w:rPr>
        <w:t xml:space="preserve">des États Membres </w:t>
      </w:r>
      <w:r>
        <w:rPr>
          <w:rFonts w:asciiTheme="minorHAnsi" w:hAnsiTheme="minorHAnsi"/>
          <w:color w:val="000000" w:themeColor="text1"/>
        </w:rPr>
        <w:t xml:space="preserve">sont établies </w:t>
      </w:r>
      <w:r w:rsidRPr="00326680">
        <w:rPr>
          <w:rFonts w:asciiTheme="minorHAnsi" w:hAnsiTheme="minorHAnsi"/>
          <w:color w:val="000000" w:themeColor="text1"/>
        </w:rPr>
        <w:t>sur la base de 343 11/16 unités</w:t>
      </w:r>
      <w:r w:rsidRPr="00986C3D">
        <w:rPr>
          <w:rFonts w:asciiTheme="minorHAnsi" w:hAnsiTheme="minorHAnsi"/>
          <w:color w:val="000000" w:themeColor="text1"/>
        </w:rPr>
        <w:t>.</w:t>
      </w:r>
    </w:p>
    <w:p w14:paraId="15C9C112" w14:textId="77777777" w:rsidR="00761B6C" w:rsidRPr="00236418" w:rsidRDefault="00761B6C" w:rsidP="0061620A">
      <w:pPr>
        <w:pStyle w:val="Heading1"/>
        <w:spacing w:before="240"/>
        <w:rPr>
          <w:sz w:val="24"/>
          <w:szCs w:val="24"/>
        </w:rPr>
      </w:pPr>
      <w:bookmarkStart w:id="2052" w:name="_Toc387166661"/>
      <w:bookmarkStart w:id="2053" w:name="_Toc395260946"/>
      <w:bookmarkStart w:id="2054" w:name="_Toc395511733"/>
      <w:bookmarkStart w:id="2055" w:name="_Toc452138635"/>
      <w:bookmarkStart w:id="2056" w:name="_Toc452139084"/>
      <w:bookmarkStart w:id="2057" w:name="_Toc452139448"/>
      <w:bookmarkStart w:id="2058" w:name="_Toc452139854"/>
      <w:bookmarkStart w:id="2059" w:name="_Toc452140728"/>
      <w:bookmarkStart w:id="2060" w:name="_Toc482801516"/>
      <w:bookmarkStart w:id="2061" w:name="_Toc511649488"/>
      <w:bookmarkStart w:id="2062" w:name="_Toc511649858"/>
      <w:bookmarkStart w:id="2063" w:name="_Toc511649974"/>
      <w:bookmarkStart w:id="2064" w:name="_Toc511651234"/>
      <w:bookmarkStart w:id="2065" w:name="_Toc511724097"/>
      <w:bookmarkStart w:id="2066" w:name="_Toc511739086"/>
      <w:bookmarkStart w:id="2067" w:name="_Toc511741257"/>
      <w:bookmarkStart w:id="2068" w:name="_Toc10450770"/>
      <w:bookmarkStart w:id="2069" w:name="_Toc41566363"/>
      <w:bookmarkStart w:id="2070" w:name="_Toc41567370"/>
      <w:bookmarkStart w:id="2071" w:name="_Toc41567873"/>
      <w:bookmarkStart w:id="2072" w:name="_Toc41814967"/>
      <w:bookmarkStart w:id="2073" w:name="_Toc73354464"/>
      <w:bookmarkStart w:id="2074" w:name="_Toc73356440"/>
      <w:bookmarkStart w:id="2075" w:name="_Toc329202594"/>
      <w:bookmarkStart w:id="2076" w:name="_Toc329205026"/>
      <w:bookmarkStart w:id="2077" w:name="_Toc329206863"/>
      <w:bookmarkStart w:id="2078" w:name="_Toc358379944"/>
      <w:bookmarkStart w:id="2079" w:name="_Toc358380487"/>
      <w:r w:rsidRPr="00236418">
        <w:rPr>
          <w:sz w:val="24"/>
          <w:szCs w:val="24"/>
        </w:rPr>
        <w:t>Note 22</w:t>
      </w:r>
      <w:r w:rsidRPr="00236418">
        <w:rPr>
          <w:sz w:val="24"/>
          <w:szCs w:val="24"/>
        </w:rPr>
        <w:tab/>
      </w:r>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r w:rsidRPr="00236418">
        <w:rPr>
          <w:sz w:val="24"/>
          <w:szCs w:val="24"/>
        </w:rPr>
        <w:t>Produits</w:t>
      </w:r>
      <w:bookmarkEnd w:id="2068"/>
      <w:bookmarkEnd w:id="2069"/>
      <w:bookmarkEnd w:id="2070"/>
      <w:bookmarkEnd w:id="2071"/>
      <w:bookmarkEnd w:id="2072"/>
      <w:bookmarkEnd w:id="2073"/>
      <w:bookmarkEnd w:id="2074"/>
    </w:p>
    <w:p w14:paraId="780093CC" w14:textId="77777777" w:rsidR="00761B6C" w:rsidRPr="00236418" w:rsidRDefault="00761B6C" w:rsidP="003A1E34">
      <w:pPr>
        <w:pStyle w:val="Headingb"/>
      </w:pPr>
      <w:bookmarkStart w:id="2080" w:name="_Toc387167486"/>
      <w:bookmarkStart w:id="2081" w:name="_Toc482888034"/>
      <w:bookmarkStart w:id="2082" w:name="_Toc482888068"/>
      <w:bookmarkStart w:id="2083" w:name="_Toc482888377"/>
      <w:bookmarkStart w:id="2084" w:name="_Toc482888774"/>
      <w:bookmarkStart w:id="2085" w:name="_Toc511649489"/>
      <w:bookmarkStart w:id="2086" w:name="_Toc511649975"/>
      <w:bookmarkStart w:id="2087" w:name="_Toc511650095"/>
      <w:bookmarkStart w:id="2088" w:name="_Toc511650589"/>
      <w:bookmarkStart w:id="2089" w:name="_Toc511651235"/>
      <w:bookmarkStart w:id="2090" w:name="_Toc511724098"/>
      <w:bookmarkStart w:id="2091" w:name="_Toc511739087"/>
      <w:bookmarkStart w:id="2092" w:name="_Toc511740822"/>
      <w:bookmarkStart w:id="2093" w:name="_Toc511741258"/>
      <w:bookmarkStart w:id="2094" w:name="_Toc10450771"/>
      <w:bookmarkStart w:id="2095" w:name="_Toc41567371"/>
      <w:bookmarkStart w:id="2096" w:name="_Toc73356441"/>
      <w:r w:rsidRPr="003A1E34">
        <w:t>Contributions</w:t>
      </w:r>
      <w:r w:rsidRPr="00236418">
        <w:t xml:space="preserve"> volontaires</w:t>
      </w:r>
      <w:bookmarkEnd w:id="2050"/>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bookmarkEnd w:id="2051"/>
    <w:p w14:paraId="4932E528" w14:textId="77777777" w:rsidR="00761B6C" w:rsidRPr="00236418" w:rsidRDefault="00761B6C" w:rsidP="00761B6C">
      <w:r w:rsidRPr="00236418">
        <w:t>Les contributions volontaires sont les sources de financement provenant de tiers pour appuyer l</w:t>
      </w:r>
      <w:r>
        <w:t>'</w:t>
      </w:r>
      <w:r w:rsidRPr="00236418">
        <w:t>Union dans la mise en œuvre de projets de développement en faveur des pays désignés par l</w:t>
      </w:r>
      <w:r>
        <w:t>'</w:t>
      </w:r>
      <w:r w:rsidRPr="00236418">
        <w:t>ONU comme pays les moins avancés. Le montant total des contributions volontaires s</w:t>
      </w:r>
      <w:r>
        <w:t>'</w:t>
      </w:r>
      <w:r w:rsidRPr="00236418">
        <w:t>élevait à </w:t>
      </w:r>
      <w:r>
        <w:t>8</w:t>
      </w:r>
      <w:r w:rsidRPr="00236418">
        <w:t>,</w:t>
      </w:r>
      <w:r>
        <w:t>3</w:t>
      </w:r>
      <w:r w:rsidRPr="00236418">
        <w:t xml:space="preserve"> millions CHF en 20</w:t>
      </w:r>
      <w:r>
        <w:t>20</w:t>
      </w:r>
      <w:r w:rsidRPr="00236418">
        <w:t xml:space="preserve"> (contre </w:t>
      </w:r>
      <w:r>
        <w:t>10</w:t>
      </w:r>
      <w:r w:rsidRPr="00236418">
        <w:t>,</w:t>
      </w:r>
      <w:r>
        <w:t>4</w:t>
      </w:r>
      <w:r w:rsidRPr="00236418">
        <w:t xml:space="preserve"> millions CHF en 201</w:t>
      </w:r>
      <w:r>
        <w:t>9</w:t>
      </w:r>
      <w:r w:rsidRPr="00236418">
        <w:t>).</w:t>
      </w:r>
    </w:p>
    <w:p w14:paraId="408E06AC" w14:textId="77777777" w:rsidR="00761B6C" w:rsidRPr="00236418" w:rsidRDefault="00761B6C" w:rsidP="003A1E34">
      <w:pPr>
        <w:pStyle w:val="Headingb"/>
        <w:spacing w:after="120"/>
      </w:pPr>
      <w:bookmarkStart w:id="2097" w:name="_Toc329202595"/>
      <w:bookmarkStart w:id="2098" w:name="_Toc329205027"/>
      <w:bookmarkStart w:id="2099" w:name="_Toc329206864"/>
      <w:bookmarkStart w:id="2100" w:name="_Toc358379945"/>
      <w:bookmarkStart w:id="2101" w:name="_Toc358380488"/>
      <w:bookmarkStart w:id="2102" w:name="_Toc387167487"/>
      <w:bookmarkStart w:id="2103" w:name="_Toc482888035"/>
      <w:bookmarkStart w:id="2104" w:name="_Toc482888069"/>
      <w:bookmarkStart w:id="2105" w:name="_Toc482888378"/>
      <w:bookmarkStart w:id="2106" w:name="_Toc482888775"/>
      <w:bookmarkStart w:id="2107" w:name="_Toc511649490"/>
      <w:bookmarkStart w:id="2108" w:name="_Toc511649976"/>
      <w:bookmarkStart w:id="2109" w:name="_Toc511650096"/>
      <w:bookmarkStart w:id="2110" w:name="_Toc511650590"/>
      <w:bookmarkStart w:id="2111" w:name="_Toc511651236"/>
      <w:bookmarkStart w:id="2112" w:name="_Toc511724099"/>
      <w:bookmarkStart w:id="2113" w:name="_Toc511739088"/>
      <w:bookmarkStart w:id="2114" w:name="_Toc511740823"/>
      <w:bookmarkStart w:id="2115" w:name="_Toc511741259"/>
      <w:bookmarkStart w:id="2116" w:name="_Toc10450772"/>
      <w:bookmarkStart w:id="2117" w:name="_Toc41567372"/>
      <w:bookmarkStart w:id="2118" w:name="_Toc73356442"/>
      <w:r w:rsidRPr="00236418">
        <w:t>Autres produits d</w:t>
      </w:r>
      <w:r>
        <w:t>'</w:t>
      </w:r>
      <w:r w:rsidRPr="00236418">
        <w:t>exploitation</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p>
    <w:tbl>
      <w:tblPr>
        <w:tblW w:w="9209" w:type="dxa"/>
        <w:jc w:val="center"/>
        <w:tblLook w:val="04A0" w:firstRow="1" w:lastRow="0" w:firstColumn="1" w:lastColumn="0" w:noHBand="0" w:noVBand="1"/>
        <w:tblCaption w:val="E"/>
      </w:tblPr>
      <w:tblGrid>
        <w:gridCol w:w="6091"/>
        <w:gridCol w:w="1559"/>
        <w:gridCol w:w="1559"/>
      </w:tblGrid>
      <w:tr w:rsidR="00761B6C" w:rsidRPr="00236418" w14:paraId="4ED0E4F9" w14:textId="77777777" w:rsidTr="00761B6C">
        <w:trPr>
          <w:trHeight w:val="499"/>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2D7D7" w14:textId="77777777" w:rsidR="00761B6C" w:rsidRPr="00236418" w:rsidRDefault="00761B6C" w:rsidP="0061620A">
            <w:pPr>
              <w:pStyle w:val="Tablehead"/>
              <w:keepNext/>
              <w:keepLines/>
              <w:spacing w:before="20" w:after="20"/>
              <w:jc w:val="left"/>
              <w:rPr>
                <w:szCs w:val="22"/>
                <w:lang w:eastAsia="zh-CN"/>
              </w:rPr>
            </w:pPr>
            <w:r w:rsidRPr="00236418">
              <w:rPr>
                <w:szCs w:val="22"/>
                <w:lang w:eastAsia="zh-CN"/>
              </w:rPr>
              <w:t>En milliers</w:t>
            </w:r>
            <w:r>
              <w:rPr>
                <w:szCs w:val="22"/>
                <w:lang w:eastAsia="zh-CN"/>
              </w:rPr>
              <w:t xml:space="preserve"> </w:t>
            </w:r>
            <w:r w:rsidRPr="00236418">
              <w:rPr>
                <w:szCs w:val="22"/>
                <w:lang w:eastAsia="zh-CN"/>
              </w:rPr>
              <w:t>CHF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3F2767" w14:textId="77777777" w:rsidR="00761B6C" w:rsidRPr="00236418" w:rsidRDefault="00761B6C" w:rsidP="0061620A">
            <w:pPr>
              <w:pStyle w:val="Tablehead"/>
              <w:keepNext/>
              <w:keepLines/>
              <w:spacing w:before="20" w:after="20"/>
              <w:rPr>
                <w:szCs w:val="22"/>
                <w:lang w:eastAsia="zh-CN"/>
              </w:rPr>
            </w:pPr>
            <w:r>
              <w:rPr>
                <w:szCs w:val="22"/>
                <w:lang w:eastAsia="zh-CN"/>
              </w:rPr>
              <w:t>2020</w:t>
            </w:r>
          </w:p>
        </w:tc>
        <w:tc>
          <w:tcPr>
            <w:tcW w:w="1559" w:type="dxa"/>
            <w:tcBorders>
              <w:top w:val="single" w:sz="4" w:space="0" w:color="auto"/>
              <w:left w:val="single" w:sz="4" w:space="0" w:color="auto"/>
              <w:bottom w:val="single" w:sz="4" w:space="0" w:color="auto"/>
              <w:right w:val="single" w:sz="4" w:space="0" w:color="auto"/>
            </w:tcBorders>
            <w:vAlign w:val="center"/>
          </w:tcPr>
          <w:p w14:paraId="46D75B28" w14:textId="77777777" w:rsidR="00761B6C" w:rsidRPr="00236418" w:rsidRDefault="00761B6C" w:rsidP="0061620A">
            <w:pPr>
              <w:pStyle w:val="Tablehead"/>
              <w:keepNext/>
              <w:keepLines/>
              <w:spacing w:before="20" w:after="20"/>
              <w:rPr>
                <w:szCs w:val="22"/>
                <w:lang w:eastAsia="zh-CN"/>
              </w:rPr>
            </w:pPr>
            <w:r w:rsidRPr="00236418">
              <w:rPr>
                <w:szCs w:val="22"/>
                <w:lang w:eastAsia="zh-CN"/>
              </w:rPr>
              <w:t>2019</w:t>
            </w:r>
          </w:p>
        </w:tc>
      </w:tr>
      <w:tr w:rsidR="00761B6C" w:rsidRPr="00236418" w14:paraId="353D8073" w14:textId="77777777" w:rsidTr="00761B6C">
        <w:trPr>
          <w:trHeight w:val="255"/>
          <w:jc w:val="center"/>
        </w:trPr>
        <w:tc>
          <w:tcPr>
            <w:tcW w:w="6091" w:type="dxa"/>
            <w:tcBorders>
              <w:top w:val="single" w:sz="4" w:space="0" w:color="auto"/>
              <w:left w:val="single" w:sz="4" w:space="0" w:color="auto"/>
              <w:bottom w:val="nil"/>
              <w:right w:val="single" w:sz="4" w:space="0" w:color="auto"/>
            </w:tcBorders>
            <w:shd w:val="clear" w:color="auto" w:fill="auto"/>
            <w:noWrap/>
            <w:vAlign w:val="bottom"/>
          </w:tcPr>
          <w:p w14:paraId="3EECFD53" w14:textId="77777777" w:rsidR="00761B6C" w:rsidRPr="00236418" w:rsidRDefault="00761B6C" w:rsidP="0061620A">
            <w:pPr>
              <w:pStyle w:val="Tabletext"/>
              <w:keepNext/>
              <w:keepLines/>
              <w:spacing w:before="100" w:beforeAutospacing="1" w:after="0"/>
              <w:rPr>
                <w:szCs w:val="22"/>
                <w:lang w:eastAsia="zh-CN"/>
              </w:rPr>
            </w:pPr>
            <w:r w:rsidRPr="00236418">
              <w:rPr>
                <w:szCs w:val="22"/>
                <w:lang w:eastAsia="zh-CN"/>
              </w:rPr>
              <w:t>Produits extrabudgétaires</w:t>
            </w:r>
          </w:p>
        </w:tc>
        <w:tc>
          <w:tcPr>
            <w:tcW w:w="1559" w:type="dxa"/>
            <w:tcBorders>
              <w:top w:val="single" w:sz="4" w:space="0" w:color="auto"/>
              <w:left w:val="single" w:sz="4" w:space="0" w:color="auto"/>
              <w:bottom w:val="nil"/>
              <w:right w:val="single" w:sz="4" w:space="0" w:color="auto"/>
            </w:tcBorders>
            <w:shd w:val="clear" w:color="auto" w:fill="auto"/>
            <w:noWrap/>
            <w:vAlign w:val="bottom"/>
          </w:tcPr>
          <w:p w14:paraId="24BF1CF7" w14:textId="77777777" w:rsidR="00761B6C" w:rsidRPr="00236418" w:rsidRDefault="00761B6C" w:rsidP="0061620A">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74</w:t>
            </w:r>
          </w:p>
        </w:tc>
        <w:tc>
          <w:tcPr>
            <w:tcW w:w="1559" w:type="dxa"/>
            <w:tcBorders>
              <w:top w:val="single" w:sz="4" w:space="0" w:color="auto"/>
              <w:left w:val="single" w:sz="4" w:space="0" w:color="auto"/>
              <w:bottom w:val="nil"/>
              <w:right w:val="single" w:sz="4" w:space="0" w:color="auto"/>
            </w:tcBorders>
            <w:vAlign w:val="bottom"/>
          </w:tcPr>
          <w:p w14:paraId="52C6F1F7" w14:textId="77777777" w:rsidR="00761B6C" w:rsidRPr="00236418" w:rsidRDefault="00761B6C" w:rsidP="0061620A">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sidRPr="00236418">
              <w:rPr>
                <w:rFonts w:cs="Calibri"/>
                <w:color w:val="000000"/>
                <w:sz w:val="22"/>
                <w:szCs w:val="22"/>
                <w:lang w:eastAsia="zh-CN"/>
              </w:rPr>
              <w:t>7 181</w:t>
            </w:r>
          </w:p>
        </w:tc>
      </w:tr>
      <w:tr w:rsidR="00761B6C" w:rsidRPr="00236418" w14:paraId="280EB5A4" w14:textId="77777777" w:rsidTr="00761B6C">
        <w:trPr>
          <w:trHeight w:val="20"/>
          <w:jc w:val="center"/>
        </w:trPr>
        <w:tc>
          <w:tcPr>
            <w:tcW w:w="6091" w:type="dxa"/>
            <w:tcBorders>
              <w:left w:val="single" w:sz="4" w:space="0" w:color="auto"/>
              <w:right w:val="single" w:sz="4" w:space="0" w:color="auto"/>
            </w:tcBorders>
            <w:shd w:val="clear" w:color="auto" w:fill="auto"/>
            <w:noWrap/>
            <w:vAlign w:val="center"/>
          </w:tcPr>
          <w:p w14:paraId="13758EF3" w14:textId="77777777" w:rsidR="00761B6C" w:rsidRPr="00236418" w:rsidRDefault="00761B6C" w:rsidP="0061620A">
            <w:pPr>
              <w:pStyle w:val="Tabletext"/>
              <w:keepNext/>
              <w:keepLines/>
              <w:spacing w:before="100" w:beforeAutospacing="1" w:after="0"/>
              <w:rPr>
                <w:szCs w:val="22"/>
                <w:lang w:eastAsia="zh-CN"/>
              </w:rPr>
            </w:pPr>
            <w:r w:rsidRPr="00236418">
              <w:rPr>
                <w:szCs w:val="22"/>
                <w:lang w:eastAsia="zh-CN"/>
              </w:rPr>
              <w:t>Vente des publications</w:t>
            </w:r>
          </w:p>
        </w:tc>
        <w:tc>
          <w:tcPr>
            <w:tcW w:w="1559" w:type="dxa"/>
            <w:tcBorders>
              <w:left w:val="single" w:sz="4" w:space="0" w:color="auto"/>
              <w:right w:val="single" w:sz="4" w:space="0" w:color="auto"/>
            </w:tcBorders>
            <w:shd w:val="clear" w:color="auto" w:fill="auto"/>
            <w:noWrap/>
            <w:vAlign w:val="bottom"/>
          </w:tcPr>
          <w:p w14:paraId="1FF9CB95" w14:textId="77777777" w:rsidR="00761B6C" w:rsidRPr="00236418" w:rsidRDefault="00761B6C" w:rsidP="0061620A">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17 116</w:t>
            </w:r>
          </w:p>
        </w:tc>
        <w:tc>
          <w:tcPr>
            <w:tcW w:w="1559" w:type="dxa"/>
            <w:tcBorders>
              <w:left w:val="single" w:sz="4" w:space="0" w:color="auto"/>
              <w:right w:val="single" w:sz="4" w:space="0" w:color="auto"/>
            </w:tcBorders>
            <w:vAlign w:val="bottom"/>
          </w:tcPr>
          <w:p w14:paraId="4D03DBA9" w14:textId="77777777" w:rsidR="00761B6C" w:rsidRPr="00236418" w:rsidRDefault="00761B6C" w:rsidP="0061620A">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sidRPr="00236418">
              <w:rPr>
                <w:rFonts w:cs="Calibri"/>
                <w:color w:val="000000"/>
                <w:sz w:val="22"/>
                <w:szCs w:val="22"/>
                <w:lang w:eastAsia="zh-CN"/>
              </w:rPr>
              <w:t>15 614</w:t>
            </w:r>
          </w:p>
        </w:tc>
      </w:tr>
      <w:tr w:rsidR="00761B6C" w:rsidRPr="00236418" w14:paraId="404E1736" w14:textId="77777777" w:rsidTr="00761B6C">
        <w:trPr>
          <w:trHeight w:val="20"/>
          <w:jc w:val="center"/>
        </w:trPr>
        <w:tc>
          <w:tcPr>
            <w:tcW w:w="6091" w:type="dxa"/>
            <w:tcBorders>
              <w:left w:val="single" w:sz="4" w:space="0" w:color="auto"/>
              <w:right w:val="single" w:sz="4" w:space="0" w:color="auto"/>
            </w:tcBorders>
            <w:shd w:val="clear" w:color="auto" w:fill="auto"/>
            <w:noWrap/>
            <w:vAlign w:val="center"/>
          </w:tcPr>
          <w:p w14:paraId="575B26D9" w14:textId="77777777" w:rsidR="00761B6C" w:rsidRPr="00236418" w:rsidRDefault="00761B6C" w:rsidP="0061620A">
            <w:pPr>
              <w:pStyle w:val="Tabletext"/>
              <w:keepNext/>
              <w:keepLines/>
              <w:spacing w:before="100" w:beforeAutospacing="1" w:after="0"/>
              <w:rPr>
                <w:szCs w:val="22"/>
                <w:lang w:eastAsia="zh-CN"/>
              </w:rPr>
            </w:pPr>
            <w:r w:rsidRPr="00236418">
              <w:rPr>
                <w:szCs w:val="22"/>
                <w:lang w:eastAsia="zh-CN"/>
              </w:rPr>
              <w:t>Notification de réseaux à satellite</w:t>
            </w:r>
          </w:p>
        </w:tc>
        <w:tc>
          <w:tcPr>
            <w:tcW w:w="1559" w:type="dxa"/>
            <w:tcBorders>
              <w:left w:val="single" w:sz="4" w:space="0" w:color="auto"/>
              <w:right w:val="single" w:sz="4" w:space="0" w:color="auto"/>
            </w:tcBorders>
            <w:shd w:val="clear" w:color="auto" w:fill="auto"/>
            <w:noWrap/>
            <w:vAlign w:val="bottom"/>
          </w:tcPr>
          <w:p w14:paraId="5EEE3D9A" w14:textId="77777777" w:rsidR="00761B6C" w:rsidRPr="00236418" w:rsidRDefault="00761B6C" w:rsidP="0061620A">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13 631</w:t>
            </w:r>
          </w:p>
        </w:tc>
        <w:tc>
          <w:tcPr>
            <w:tcW w:w="1559" w:type="dxa"/>
            <w:tcBorders>
              <w:left w:val="single" w:sz="4" w:space="0" w:color="auto"/>
              <w:right w:val="single" w:sz="4" w:space="0" w:color="auto"/>
            </w:tcBorders>
            <w:vAlign w:val="bottom"/>
          </w:tcPr>
          <w:p w14:paraId="74BE36ED" w14:textId="77777777" w:rsidR="00761B6C" w:rsidRPr="00236418" w:rsidRDefault="00761B6C" w:rsidP="0061620A">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sidRPr="00236418">
              <w:rPr>
                <w:rFonts w:cs="Calibri"/>
                <w:color w:val="000000"/>
                <w:sz w:val="22"/>
                <w:szCs w:val="22"/>
                <w:lang w:eastAsia="zh-CN"/>
              </w:rPr>
              <w:t>12 083</w:t>
            </w:r>
          </w:p>
        </w:tc>
      </w:tr>
      <w:tr w:rsidR="00761B6C" w:rsidRPr="00236418" w14:paraId="665B1827" w14:textId="77777777" w:rsidTr="00761B6C">
        <w:trPr>
          <w:trHeight w:val="20"/>
          <w:jc w:val="center"/>
        </w:trPr>
        <w:tc>
          <w:tcPr>
            <w:tcW w:w="6091" w:type="dxa"/>
            <w:tcBorders>
              <w:left w:val="single" w:sz="4" w:space="0" w:color="auto"/>
              <w:right w:val="single" w:sz="4" w:space="0" w:color="auto"/>
            </w:tcBorders>
            <w:shd w:val="clear" w:color="auto" w:fill="auto"/>
            <w:noWrap/>
            <w:vAlign w:val="center"/>
          </w:tcPr>
          <w:p w14:paraId="0EDD48DD" w14:textId="77777777" w:rsidR="00761B6C" w:rsidRPr="00236418" w:rsidRDefault="00761B6C" w:rsidP="0061620A">
            <w:pPr>
              <w:pStyle w:val="Tabletext"/>
              <w:keepNext/>
              <w:keepLines/>
              <w:spacing w:before="100" w:beforeAutospacing="1" w:after="0"/>
              <w:rPr>
                <w:szCs w:val="22"/>
                <w:lang w:eastAsia="zh-CN"/>
              </w:rPr>
            </w:pPr>
            <w:r w:rsidRPr="00236418">
              <w:rPr>
                <w:szCs w:val="22"/>
                <w:lang w:eastAsia="zh-CN"/>
              </w:rPr>
              <w:t>UIFN/UIPRN-UISC</w:t>
            </w:r>
          </w:p>
        </w:tc>
        <w:tc>
          <w:tcPr>
            <w:tcW w:w="1559" w:type="dxa"/>
            <w:tcBorders>
              <w:left w:val="single" w:sz="4" w:space="0" w:color="auto"/>
              <w:right w:val="single" w:sz="4" w:space="0" w:color="auto"/>
            </w:tcBorders>
            <w:shd w:val="clear" w:color="auto" w:fill="auto"/>
            <w:noWrap/>
            <w:vAlign w:val="bottom"/>
          </w:tcPr>
          <w:p w14:paraId="5A40FC62" w14:textId="77777777" w:rsidR="00761B6C" w:rsidRPr="00236418" w:rsidRDefault="00761B6C" w:rsidP="0061620A">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254</w:t>
            </w:r>
          </w:p>
        </w:tc>
        <w:tc>
          <w:tcPr>
            <w:tcW w:w="1559" w:type="dxa"/>
            <w:tcBorders>
              <w:left w:val="single" w:sz="4" w:space="0" w:color="auto"/>
              <w:right w:val="single" w:sz="4" w:space="0" w:color="auto"/>
            </w:tcBorders>
            <w:vAlign w:val="bottom"/>
          </w:tcPr>
          <w:p w14:paraId="0A1F1AFD" w14:textId="77777777" w:rsidR="00761B6C" w:rsidRPr="00236418" w:rsidRDefault="00761B6C" w:rsidP="0061620A">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sidRPr="00236418">
              <w:rPr>
                <w:rFonts w:cs="Calibri"/>
                <w:color w:val="000000"/>
                <w:sz w:val="22"/>
                <w:szCs w:val="22"/>
                <w:lang w:eastAsia="zh-CN"/>
              </w:rPr>
              <w:t>131</w:t>
            </w:r>
          </w:p>
        </w:tc>
      </w:tr>
      <w:tr w:rsidR="00761B6C" w:rsidRPr="00236418" w14:paraId="413F21B2" w14:textId="77777777" w:rsidTr="00761B6C">
        <w:trPr>
          <w:trHeight w:val="20"/>
          <w:jc w:val="center"/>
        </w:trPr>
        <w:tc>
          <w:tcPr>
            <w:tcW w:w="6091" w:type="dxa"/>
            <w:tcBorders>
              <w:left w:val="single" w:sz="4" w:space="0" w:color="auto"/>
              <w:right w:val="single" w:sz="4" w:space="0" w:color="auto"/>
            </w:tcBorders>
            <w:shd w:val="clear" w:color="auto" w:fill="auto"/>
            <w:noWrap/>
            <w:vAlign w:val="center"/>
          </w:tcPr>
          <w:p w14:paraId="4FBA6B81" w14:textId="77777777" w:rsidR="00761B6C" w:rsidRPr="00236418" w:rsidRDefault="00761B6C" w:rsidP="0061620A">
            <w:pPr>
              <w:pStyle w:val="Tabletext"/>
              <w:keepNext/>
              <w:keepLines/>
              <w:spacing w:before="100" w:beforeAutospacing="1" w:after="0"/>
              <w:rPr>
                <w:szCs w:val="22"/>
                <w:lang w:eastAsia="zh-CN"/>
              </w:rPr>
            </w:pPr>
            <w:r w:rsidRPr="00236418">
              <w:rPr>
                <w:szCs w:val="22"/>
                <w:lang w:eastAsia="zh-CN"/>
              </w:rPr>
              <w:t>GMPCS-</w:t>
            </w:r>
            <w:proofErr w:type="spellStart"/>
            <w:r w:rsidRPr="00236418">
              <w:rPr>
                <w:szCs w:val="22"/>
                <w:lang w:eastAsia="zh-CN"/>
              </w:rPr>
              <w:t>MoU</w:t>
            </w:r>
            <w:proofErr w:type="spellEnd"/>
          </w:p>
        </w:tc>
        <w:tc>
          <w:tcPr>
            <w:tcW w:w="1559" w:type="dxa"/>
            <w:tcBorders>
              <w:left w:val="single" w:sz="4" w:space="0" w:color="auto"/>
              <w:right w:val="single" w:sz="4" w:space="0" w:color="auto"/>
            </w:tcBorders>
            <w:shd w:val="clear" w:color="auto" w:fill="auto"/>
            <w:noWrap/>
            <w:vAlign w:val="bottom"/>
          </w:tcPr>
          <w:p w14:paraId="3DBB1DD0" w14:textId="77777777" w:rsidR="00761B6C" w:rsidRPr="00236418" w:rsidRDefault="00761B6C" w:rsidP="0061620A">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19</w:t>
            </w:r>
          </w:p>
        </w:tc>
        <w:tc>
          <w:tcPr>
            <w:tcW w:w="1559" w:type="dxa"/>
            <w:tcBorders>
              <w:left w:val="single" w:sz="4" w:space="0" w:color="auto"/>
              <w:right w:val="single" w:sz="4" w:space="0" w:color="auto"/>
            </w:tcBorders>
            <w:vAlign w:val="bottom"/>
          </w:tcPr>
          <w:p w14:paraId="4E738842" w14:textId="77777777" w:rsidR="00761B6C" w:rsidRPr="00236418" w:rsidRDefault="00761B6C" w:rsidP="0061620A">
            <w:pPr>
              <w:keepNext/>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sidRPr="00236418">
              <w:rPr>
                <w:rFonts w:cs="Calibri"/>
                <w:color w:val="000000"/>
                <w:sz w:val="22"/>
                <w:szCs w:val="22"/>
                <w:lang w:eastAsia="zh-CN"/>
              </w:rPr>
              <w:t>2</w:t>
            </w:r>
          </w:p>
        </w:tc>
      </w:tr>
      <w:tr w:rsidR="00761B6C" w:rsidRPr="00236418" w14:paraId="1B2B0009" w14:textId="77777777" w:rsidTr="00761B6C">
        <w:trPr>
          <w:trHeight w:val="20"/>
          <w:jc w:val="center"/>
        </w:trPr>
        <w:tc>
          <w:tcPr>
            <w:tcW w:w="6091" w:type="dxa"/>
            <w:tcBorders>
              <w:left w:val="single" w:sz="4" w:space="0" w:color="auto"/>
              <w:right w:val="single" w:sz="4" w:space="0" w:color="auto"/>
            </w:tcBorders>
            <w:shd w:val="clear" w:color="auto" w:fill="auto"/>
            <w:noWrap/>
            <w:vAlign w:val="center"/>
          </w:tcPr>
          <w:p w14:paraId="2DFC7BB6" w14:textId="77777777" w:rsidR="00761B6C" w:rsidRPr="00236418" w:rsidRDefault="00761B6C" w:rsidP="0061620A">
            <w:pPr>
              <w:pStyle w:val="Tabletext"/>
              <w:keepLines/>
              <w:spacing w:before="100" w:beforeAutospacing="1" w:after="0"/>
              <w:rPr>
                <w:szCs w:val="22"/>
                <w:lang w:eastAsia="zh-CN"/>
              </w:rPr>
            </w:pPr>
            <w:r w:rsidRPr="00236418">
              <w:rPr>
                <w:szCs w:val="22"/>
                <w:lang w:eastAsia="zh-CN"/>
              </w:rPr>
              <w:t>Recouvrement – Publications</w:t>
            </w:r>
          </w:p>
        </w:tc>
        <w:tc>
          <w:tcPr>
            <w:tcW w:w="1559" w:type="dxa"/>
            <w:tcBorders>
              <w:left w:val="single" w:sz="4" w:space="0" w:color="auto"/>
              <w:right w:val="single" w:sz="4" w:space="0" w:color="auto"/>
            </w:tcBorders>
            <w:shd w:val="clear" w:color="auto" w:fill="auto"/>
            <w:noWrap/>
            <w:vAlign w:val="bottom"/>
          </w:tcPr>
          <w:p w14:paraId="4A22CAFC" w14:textId="77777777" w:rsidR="00761B6C" w:rsidRPr="00236418" w:rsidRDefault="00761B6C" w:rsidP="0061620A">
            <w:pPr>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15</w:t>
            </w:r>
          </w:p>
        </w:tc>
        <w:tc>
          <w:tcPr>
            <w:tcW w:w="1559" w:type="dxa"/>
            <w:tcBorders>
              <w:left w:val="single" w:sz="4" w:space="0" w:color="auto"/>
              <w:right w:val="single" w:sz="4" w:space="0" w:color="auto"/>
            </w:tcBorders>
            <w:vAlign w:val="bottom"/>
          </w:tcPr>
          <w:p w14:paraId="33D20588" w14:textId="77777777" w:rsidR="00761B6C" w:rsidRPr="00236418" w:rsidRDefault="00761B6C" w:rsidP="0061620A">
            <w:pPr>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sidRPr="00236418">
              <w:rPr>
                <w:rFonts w:cs="Calibri"/>
                <w:color w:val="000000"/>
                <w:sz w:val="22"/>
                <w:szCs w:val="22"/>
                <w:lang w:eastAsia="zh-CN"/>
              </w:rPr>
              <w:t>9</w:t>
            </w:r>
          </w:p>
        </w:tc>
      </w:tr>
      <w:tr w:rsidR="00761B6C" w:rsidRPr="00236418" w14:paraId="775D85FB" w14:textId="77777777" w:rsidTr="00761B6C">
        <w:trPr>
          <w:trHeight w:val="20"/>
          <w:jc w:val="center"/>
        </w:trPr>
        <w:tc>
          <w:tcPr>
            <w:tcW w:w="6091" w:type="dxa"/>
            <w:tcBorders>
              <w:left w:val="single" w:sz="4" w:space="0" w:color="auto"/>
              <w:right w:val="single" w:sz="4" w:space="0" w:color="auto"/>
            </w:tcBorders>
            <w:shd w:val="clear" w:color="auto" w:fill="auto"/>
            <w:noWrap/>
            <w:vAlign w:val="center"/>
          </w:tcPr>
          <w:p w14:paraId="5BAD13A3" w14:textId="77777777" w:rsidR="00761B6C" w:rsidRPr="00236418" w:rsidRDefault="00761B6C" w:rsidP="0061620A">
            <w:pPr>
              <w:pStyle w:val="Tabletext"/>
              <w:keepLines/>
              <w:spacing w:before="100" w:beforeAutospacing="1" w:after="0"/>
              <w:rPr>
                <w:szCs w:val="22"/>
                <w:lang w:eastAsia="zh-CN"/>
              </w:rPr>
            </w:pPr>
            <w:r w:rsidRPr="00236418">
              <w:rPr>
                <w:szCs w:val="22"/>
                <w:lang w:eastAsia="zh-CN"/>
              </w:rPr>
              <w:t>Autres produits</w:t>
            </w:r>
          </w:p>
        </w:tc>
        <w:tc>
          <w:tcPr>
            <w:tcW w:w="1559" w:type="dxa"/>
            <w:tcBorders>
              <w:left w:val="single" w:sz="4" w:space="0" w:color="auto"/>
              <w:right w:val="single" w:sz="4" w:space="0" w:color="auto"/>
            </w:tcBorders>
            <w:shd w:val="clear" w:color="auto" w:fill="auto"/>
            <w:noWrap/>
            <w:vAlign w:val="bottom"/>
          </w:tcPr>
          <w:p w14:paraId="19D7412A" w14:textId="77777777" w:rsidR="00761B6C" w:rsidRPr="00236418" w:rsidRDefault="00761B6C" w:rsidP="0061620A">
            <w:pPr>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Pr>
                <w:rFonts w:cs="Calibri"/>
                <w:color w:val="000000"/>
                <w:sz w:val="22"/>
                <w:szCs w:val="22"/>
                <w:lang w:eastAsia="zh-CN"/>
              </w:rPr>
              <w:t>9 104</w:t>
            </w:r>
          </w:p>
        </w:tc>
        <w:tc>
          <w:tcPr>
            <w:tcW w:w="1559" w:type="dxa"/>
            <w:tcBorders>
              <w:left w:val="single" w:sz="4" w:space="0" w:color="auto"/>
              <w:right w:val="single" w:sz="4" w:space="0" w:color="auto"/>
            </w:tcBorders>
            <w:vAlign w:val="bottom"/>
          </w:tcPr>
          <w:p w14:paraId="71EB9FC7" w14:textId="77777777" w:rsidR="00761B6C" w:rsidRPr="00236418" w:rsidRDefault="00761B6C" w:rsidP="0061620A">
            <w:pPr>
              <w:keepLines/>
              <w:tabs>
                <w:tab w:val="clear" w:pos="567"/>
                <w:tab w:val="clear" w:pos="1134"/>
                <w:tab w:val="clear" w:pos="1701"/>
                <w:tab w:val="clear" w:pos="2268"/>
                <w:tab w:val="clear" w:pos="2835"/>
              </w:tabs>
              <w:overflowPunct/>
              <w:autoSpaceDE/>
              <w:autoSpaceDN/>
              <w:adjustRightInd/>
              <w:spacing w:before="100" w:beforeAutospacing="1"/>
              <w:jc w:val="right"/>
              <w:textAlignment w:val="auto"/>
              <w:rPr>
                <w:rFonts w:cs="Calibri"/>
                <w:color w:val="000000"/>
                <w:sz w:val="22"/>
                <w:szCs w:val="22"/>
                <w:lang w:eastAsia="zh-CN"/>
              </w:rPr>
            </w:pPr>
            <w:r w:rsidRPr="00236418">
              <w:rPr>
                <w:rFonts w:cs="Calibri"/>
                <w:color w:val="000000"/>
                <w:sz w:val="22"/>
                <w:szCs w:val="22"/>
                <w:lang w:eastAsia="zh-CN"/>
              </w:rPr>
              <w:t>4 346</w:t>
            </w:r>
          </w:p>
        </w:tc>
      </w:tr>
      <w:tr w:rsidR="00761B6C" w:rsidRPr="00236418" w14:paraId="2479B90B" w14:textId="77777777" w:rsidTr="00761B6C">
        <w:trPr>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9F594" w14:textId="77777777" w:rsidR="00761B6C" w:rsidRPr="00236418" w:rsidRDefault="00761B6C" w:rsidP="0061620A">
            <w:pPr>
              <w:pStyle w:val="Tabletext"/>
              <w:keepLines/>
              <w:spacing w:before="20" w:after="20"/>
              <w:rPr>
                <w:b/>
                <w:bCs/>
                <w:szCs w:val="22"/>
                <w:lang w:eastAsia="zh-CN"/>
              </w:rPr>
            </w:pPr>
            <w:r w:rsidRPr="00236418">
              <w:rPr>
                <w:b/>
                <w:bCs/>
                <w:szCs w:val="22"/>
                <w:lang w:eastAsia="zh-CN"/>
              </w:rPr>
              <w:t>Autres produits d</w:t>
            </w:r>
            <w:r>
              <w:rPr>
                <w:b/>
                <w:bCs/>
                <w:szCs w:val="22"/>
                <w:lang w:eastAsia="zh-CN"/>
              </w:rPr>
              <w:t>'</w:t>
            </w:r>
            <w:r w:rsidRPr="00236418">
              <w:rPr>
                <w:b/>
                <w:bCs/>
                <w:szCs w:val="22"/>
                <w:lang w:eastAsia="zh-CN"/>
              </w:rPr>
              <w:t>exploitation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F114B" w14:textId="77777777" w:rsidR="00761B6C" w:rsidRPr="00236418" w:rsidRDefault="00761B6C" w:rsidP="0061620A">
            <w:pPr>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b/>
                <w:bCs/>
                <w:color w:val="000000"/>
                <w:sz w:val="22"/>
                <w:szCs w:val="22"/>
                <w:lang w:eastAsia="zh-CN"/>
              </w:rPr>
            </w:pPr>
            <w:r>
              <w:rPr>
                <w:rFonts w:cs="Calibri"/>
                <w:b/>
                <w:bCs/>
                <w:color w:val="000000"/>
                <w:sz w:val="22"/>
                <w:szCs w:val="22"/>
                <w:lang w:eastAsia="zh-CN"/>
              </w:rPr>
              <w:t>40 213</w:t>
            </w:r>
          </w:p>
        </w:tc>
        <w:tc>
          <w:tcPr>
            <w:tcW w:w="1559" w:type="dxa"/>
            <w:tcBorders>
              <w:top w:val="single" w:sz="4" w:space="0" w:color="auto"/>
              <w:left w:val="single" w:sz="4" w:space="0" w:color="auto"/>
              <w:bottom w:val="single" w:sz="4" w:space="0" w:color="auto"/>
              <w:right w:val="single" w:sz="4" w:space="0" w:color="auto"/>
            </w:tcBorders>
            <w:vAlign w:val="center"/>
          </w:tcPr>
          <w:p w14:paraId="48C764FA" w14:textId="77777777" w:rsidR="00761B6C" w:rsidRPr="00236418" w:rsidRDefault="00761B6C" w:rsidP="0061620A">
            <w:pPr>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b/>
                <w:bCs/>
                <w:color w:val="000000"/>
                <w:sz w:val="22"/>
                <w:szCs w:val="22"/>
                <w:lang w:eastAsia="zh-CN"/>
              </w:rPr>
            </w:pPr>
            <w:r w:rsidRPr="00236418">
              <w:rPr>
                <w:rFonts w:cs="Calibri"/>
                <w:b/>
                <w:bCs/>
                <w:color w:val="000000"/>
                <w:sz w:val="22"/>
                <w:szCs w:val="22"/>
                <w:lang w:eastAsia="zh-CN"/>
              </w:rPr>
              <w:t>39 366</w:t>
            </w:r>
          </w:p>
        </w:tc>
      </w:tr>
    </w:tbl>
    <w:p w14:paraId="6CBC95E3" w14:textId="77777777" w:rsidR="00761B6C" w:rsidRPr="00236418" w:rsidRDefault="00761B6C" w:rsidP="00761B6C">
      <w:pPr>
        <w:pStyle w:val="Normalaftertitle"/>
      </w:pPr>
      <w:r w:rsidRPr="00236418">
        <w:lastRenderedPageBreak/>
        <w:t>Dans la plupart des cas, les autres produits d</w:t>
      </w:r>
      <w:r>
        <w:t>'</w:t>
      </w:r>
      <w:r w:rsidRPr="00236418">
        <w:t>exploitation concernent des activités soumises au recouvrement des coûts. Les produits et les services pour lesquels l</w:t>
      </w:r>
      <w:r>
        <w:t>'</w:t>
      </w:r>
      <w:r w:rsidRPr="00236418">
        <w:t>UIT applique le principe du recouvrement des coûts sont principalement l</w:t>
      </w:r>
      <w:r>
        <w:t>'</w:t>
      </w:r>
      <w:r w:rsidRPr="00236418">
        <w:t>enregistrement des numéros universels de libre appel international (UIFN), le mémorandum d</w:t>
      </w:r>
      <w:r>
        <w:t>'</w:t>
      </w:r>
      <w:r w:rsidRPr="00236418">
        <w:t>accord sur les communications personnelles mondiales par satellite (GMPCS-</w:t>
      </w:r>
      <w:proofErr w:type="spellStart"/>
      <w:r w:rsidRPr="00236418">
        <w:t>MoU</w:t>
      </w:r>
      <w:proofErr w:type="spellEnd"/>
      <w:r w:rsidRPr="00236418">
        <w:t>), la vente de publications. Les produits liés à l</w:t>
      </w:r>
      <w:r>
        <w:t>'</w:t>
      </w:r>
      <w:r w:rsidRPr="00236418">
        <w:t>appui aux projets sont comptabilisés avec les ajustements de consolidation afin de donner un aperçu global des résultats financiers de l</w:t>
      </w:r>
      <w:r>
        <w:t>'</w:t>
      </w:r>
      <w:r w:rsidRPr="00236418">
        <w:t>Union.</w:t>
      </w:r>
    </w:p>
    <w:p w14:paraId="19CF1CD4" w14:textId="014338B3" w:rsidR="00761B6C" w:rsidRPr="00986C3D" w:rsidRDefault="00761B6C" w:rsidP="00761B6C">
      <w:pPr>
        <w:keepNext/>
        <w:keepLines/>
        <w:rPr>
          <w:rFonts w:eastAsia="SimSun"/>
        </w:rPr>
      </w:pPr>
      <w:r w:rsidRPr="00986C3D">
        <w:rPr>
          <w:rFonts w:eastAsia="SimSun"/>
        </w:rPr>
        <w:t>Globalement, une augmentation de 2,3% d</w:t>
      </w:r>
      <w:r>
        <w:rPr>
          <w:rFonts w:eastAsia="SimSun"/>
        </w:rPr>
        <w:t xml:space="preserve">es produits d'exploitation </w:t>
      </w:r>
      <w:proofErr w:type="gramStart"/>
      <w:r>
        <w:rPr>
          <w:rFonts w:eastAsia="SimSun"/>
        </w:rPr>
        <w:t>a</w:t>
      </w:r>
      <w:proofErr w:type="gramEnd"/>
      <w:r>
        <w:rPr>
          <w:rFonts w:eastAsia="SimSun"/>
        </w:rPr>
        <w:t xml:space="preserve"> pu être observée. </w:t>
      </w:r>
      <w:r w:rsidRPr="00986C3D">
        <w:rPr>
          <w:rFonts w:eastAsia="SimSun"/>
        </w:rPr>
        <w:t>Toutefois, il convient de souligner deux éléments pour l</w:t>
      </w:r>
      <w:r>
        <w:rPr>
          <w:rFonts w:eastAsia="SimSun"/>
        </w:rPr>
        <w:t>'</w:t>
      </w:r>
      <w:r w:rsidRPr="00986C3D">
        <w:rPr>
          <w:rFonts w:eastAsia="SimSun"/>
        </w:rPr>
        <w:t>a</w:t>
      </w:r>
      <w:r>
        <w:rPr>
          <w:rFonts w:eastAsia="SimSun"/>
        </w:rPr>
        <w:t>nnée 2020: l</w:t>
      </w:r>
      <w:r w:rsidRPr="00986C3D">
        <w:rPr>
          <w:rFonts w:eastAsia="SimSun"/>
        </w:rPr>
        <w:t>a baisse considérable des produits extrabudgétaires</w:t>
      </w:r>
      <w:r>
        <w:rPr>
          <w:rFonts w:eastAsia="SimSun"/>
        </w:rPr>
        <w:t>,</w:t>
      </w:r>
      <w:r w:rsidRPr="00986C3D">
        <w:rPr>
          <w:rFonts w:eastAsia="SimSun"/>
        </w:rPr>
        <w:t xml:space="preserve"> due au r</w:t>
      </w:r>
      <w:r>
        <w:rPr>
          <w:rFonts w:eastAsia="SimSun"/>
        </w:rPr>
        <w:t>eport de la manifestation IT</w:t>
      </w:r>
      <w:r w:rsidR="0061620A">
        <w:rPr>
          <w:rFonts w:eastAsia="SimSun"/>
        </w:rPr>
        <w:t>U Telecom World 2020, prévue en </w:t>
      </w:r>
      <w:r>
        <w:rPr>
          <w:rFonts w:eastAsia="SimSun"/>
        </w:rPr>
        <w:t>2021, mais aussi l'augmentation des autres produits, liée au paiement au titre de l'accord de parrainage signé pour le projet de nouveau bâtiment</w:t>
      </w:r>
      <w:r w:rsidRPr="00986C3D">
        <w:rPr>
          <w:rFonts w:eastAsia="SimSun"/>
        </w:rPr>
        <w:t>.</w:t>
      </w:r>
    </w:p>
    <w:p w14:paraId="3991B221" w14:textId="77777777" w:rsidR="00761B6C" w:rsidRPr="00236418" w:rsidRDefault="00761B6C" w:rsidP="003A1E34">
      <w:pPr>
        <w:pStyle w:val="Headingb"/>
        <w:spacing w:after="120"/>
      </w:pPr>
      <w:bookmarkStart w:id="2119" w:name="_Toc329178798"/>
      <w:bookmarkStart w:id="2120" w:name="_Toc329181771"/>
      <w:bookmarkStart w:id="2121" w:name="_Toc329202596"/>
      <w:bookmarkStart w:id="2122" w:name="_Toc329205028"/>
      <w:bookmarkStart w:id="2123" w:name="_Toc329206865"/>
      <w:bookmarkStart w:id="2124" w:name="_Toc358379946"/>
      <w:bookmarkStart w:id="2125" w:name="_Toc358380489"/>
      <w:bookmarkStart w:id="2126" w:name="_Toc387166662"/>
      <w:bookmarkStart w:id="2127" w:name="_Toc387167488"/>
      <w:bookmarkStart w:id="2128" w:name="_Toc395260947"/>
      <w:bookmarkStart w:id="2129" w:name="_Toc395511734"/>
      <w:bookmarkStart w:id="2130" w:name="_Toc452138636"/>
      <w:bookmarkStart w:id="2131" w:name="_Toc452139085"/>
      <w:bookmarkStart w:id="2132" w:name="_Toc452139449"/>
      <w:bookmarkStart w:id="2133" w:name="_Toc452139855"/>
      <w:bookmarkStart w:id="2134" w:name="_Toc452140729"/>
      <w:bookmarkStart w:id="2135" w:name="_Toc482801517"/>
      <w:bookmarkStart w:id="2136" w:name="_Toc482888776"/>
      <w:bookmarkStart w:id="2137" w:name="_Toc511649491"/>
      <w:bookmarkStart w:id="2138" w:name="_Toc511649859"/>
      <w:bookmarkStart w:id="2139" w:name="_Toc511649977"/>
      <w:bookmarkStart w:id="2140" w:name="_Toc511650097"/>
      <w:bookmarkStart w:id="2141" w:name="_Toc511650591"/>
      <w:bookmarkStart w:id="2142" w:name="_Toc511651237"/>
      <w:bookmarkStart w:id="2143" w:name="_Toc511724100"/>
      <w:bookmarkStart w:id="2144" w:name="_Toc511739089"/>
      <w:bookmarkStart w:id="2145" w:name="_Toc511741260"/>
      <w:bookmarkStart w:id="2146" w:name="_Toc9605751"/>
      <w:bookmarkStart w:id="2147" w:name="_Toc10450773"/>
      <w:bookmarkStart w:id="2148" w:name="_Toc41566364"/>
      <w:bookmarkStart w:id="2149" w:name="_Toc41567373"/>
      <w:bookmarkStart w:id="2150" w:name="_Toc41567874"/>
      <w:bookmarkStart w:id="2151" w:name="_Toc41814968"/>
      <w:bookmarkStart w:id="2152" w:name="_Toc73354465"/>
      <w:bookmarkStart w:id="2153" w:name="_Toc73356443"/>
      <w:r w:rsidRPr="00236418">
        <w:t>Produits financiers</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tbl>
      <w:tblPr>
        <w:tblW w:w="8784" w:type="dxa"/>
        <w:jc w:val="center"/>
        <w:tblLayout w:type="fixed"/>
        <w:tblLook w:val="04A0" w:firstRow="1" w:lastRow="0" w:firstColumn="1" w:lastColumn="0" w:noHBand="0" w:noVBand="1"/>
        <w:tblCaption w:val="E"/>
      </w:tblPr>
      <w:tblGrid>
        <w:gridCol w:w="5665"/>
        <w:gridCol w:w="1560"/>
        <w:gridCol w:w="1559"/>
      </w:tblGrid>
      <w:tr w:rsidR="00761B6C" w:rsidRPr="00236418" w14:paraId="0E8368BA" w14:textId="77777777" w:rsidTr="0061620A">
        <w:trPr>
          <w:trHeight w:val="499"/>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B6FE9" w14:textId="77777777" w:rsidR="00761B6C" w:rsidRPr="00236418" w:rsidRDefault="00761B6C" w:rsidP="0061620A">
            <w:pPr>
              <w:pStyle w:val="Tablehead"/>
              <w:spacing w:before="20" w:after="20"/>
              <w:jc w:val="left"/>
              <w:rPr>
                <w:szCs w:val="22"/>
                <w:lang w:eastAsia="zh-CN"/>
              </w:rPr>
            </w:pPr>
            <w:r w:rsidRPr="00236418">
              <w:rPr>
                <w:szCs w:val="22"/>
                <w:lang w:eastAsia="zh-CN"/>
              </w:rPr>
              <w:t>En milliers</w:t>
            </w:r>
            <w:r>
              <w:rPr>
                <w:szCs w:val="22"/>
                <w:lang w:eastAsia="zh-CN"/>
              </w:rPr>
              <w:t xml:space="preserve"> </w:t>
            </w:r>
            <w:r w:rsidRPr="00236418">
              <w:rPr>
                <w:szCs w:val="22"/>
                <w:lang w:eastAsia="zh-CN"/>
              </w:rPr>
              <w:t>de CHF</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B101E8" w14:textId="77777777" w:rsidR="00761B6C" w:rsidRPr="00236418" w:rsidRDefault="00761B6C" w:rsidP="0061620A">
            <w:pPr>
              <w:pStyle w:val="Tablehead"/>
              <w:spacing w:before="20" w:after="20"/>
              <w:rPr>
                <w:szCs w:val="22"/>
                <w:lang w:eastAsia="zh-CN"/>
              </w:rPr>
            </w:pPr>
            <w:r>
              <w:rPr>
                <w:szCs w:val="22"/>
                <w:lang w:eastAsia="zh-CN"/>
              </w:rPr>
              <w:t>2020</w:t>
            </w:r>
          </w:p>
        </w:tc>
        <w:tc>
          <w:tcPr>
            <w:tcW w:w="1559" w:type="dxa"/>
            <w:tcBorders>
              <w:top w:val="single" w:sz="4" w:space="0" w:color="auto"/>
              <w:left w:val="single" w:sz="4" w:space="0" w:color="auto"/>
              <w:bottom w:val="single" w:sz="4" w:space="0" w:color="auto"/>
              <w:right w:val="single" w:sz="4" w:space="0" w:color="auto"/>
            </w:tcBorders>
            <w:vAlign w:val="center"/>
          </w:tcPr>
          <w:p w14:paraId="12A2E6F8" w14:textId="77777777" w:rsidR="00761B6C" w:rsidRPr="00236418" w:rsidRDefault="00761B6C" w:rsidP="0061620A">
            <w:pPr>
              <w:pStyle w:val="Tablehead"/>
              <w:spacing w:before="20" w:after="20"/>
              <w:rPr>
                <w:szCs w:val="22"/>
                <w:lang w:eastAsia="zh-CN"/>
              </w:rPr>
            </w:pPr>
            <w:r w:rsidRPr="00236418">
              <w:rPr>
                <w:szCs w:val="22"/>
                <w:lang w:eastAsia="zh-CN"/>
              </w:rPr>
              <w:t>2019</w:t>
            </w:r>
          </w:p>
        </w:tc>
      </w:tr>
      <w:tr w:rsidR="00761B6C" w:rsidRPr="00236418" w14:paraId="4946E705" w14:textId="77777777" w:rsidTr="0061620A">
        <w:trPr>
          <w:trHeight w:val="20"/>
          <w:jc w:val="center"/>
        </w:trPr>
        <w:tc>
          <w:tcPr>
            <w:tcW w:w="5665" w:type="dxa"/>
            <w:tcBorders>
              <w:top w:val="single" w:sz="4" w:space="0" w:color="auto"/>
              <w:left w:val="single" w:sz="4" w:space="0" w:color="auto"/>
              <w:right w:val="single" w:sz="4" w:space="0" w:color="auto"/>
            </w:tcBorders>
            <w:shd w:val="clear" w:color="auto" w:fill="auto"/>
            <w:noWrap/>
            <w:vAlign w:val="center"/>
          </w:tcPr>
          <w:p w14:paraId="625556A0" w14:textId="77777777" w:rsidR="00761B6C" w:rsidRPr="00236418" w:rsidRDefault="00761B6C" w:rsidP="0061620A">
            <w:pPr>
              <w:pStyle w:val="Tabletext"/>
              <w:spacing w:before="20" w:after="20"/>
              <w:rPr>
                <w:szCs w:val="22"/>
                <w:lang w:eastAsia="zh-CN"/>
              </w:rPr>
            </w:pPr>
            <w:r w:rsidRPr="00236418">
              <w:rPr>
                <w:szCs w:val="22"/>
                <w:lang w:eastAsia="zh-CN"/>
              </w:rPr>
              <w:t>Intérêts sur les placements</w:t>
            </w:r>
          </w:p>
        </w:tc>
        <w:tc>
          <w:tcPr>
            <w:tcW w:w="1560" w:type="dxa"/>
            <w:tcBorders>
              <w:top w:val="single" w:sz="4" w:space="0" w:color="auto"/>
              <w:left w:val="single" w:sz="4" w:space="0" w:color="auto"/>
              <w:right w:val="single" w:sz="4" w:space="0" w:color="auto"/>
            </w:tcBorders>
            <w:shd w:val="clear" w:color="auto" w:fill="auto"/>
            <w:noWrap/>
            <w:vAlign w:val="bottom"/>
          </w:tcPr>
          <w:p w14:paraId="7EE914A8" w14:textId="77777777" w:rsidR="00761B6C" w:rsidRPr="00236418" w:rsidRDefault="00761B6C" w:rsidP="0061620A">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Pr>
                <w:rFonts w:cs="Calibri"/>
                <w:color w:val="000000"/>
                <w:sz w:val="22"/>
                <w:szCs w:val="22"/>
                <w:lang w:eastAsia="zh-CN"/>
              </w:rPr>
              <w:t>400</w:t>
            </w:r>
          </w:p>
        </w:tc>
        <w:tc>
          <w:tcPr>
            <w:tcW w:w="1559" w:type="dxa"/>
            <w:tcBorders>
              <w:top w:val="single" w:sz="4" w:space="0" w:color="auto"/>
              <w:left w:val="single" w:sz="4" w:space="0" w:color="auto"/>
              <w:right w:val="single" w:sz="4" w:space="0" w:color="auto"/>
            </w:tcBorders>
            <w:vAlign w:val="bottom"/>
          </w:tcPr>
          <w:p w14:paraId="4ECA7DBF" w14:textId="77777777" w:rsidR="00761B6C" w:rsidRPr="00236418" w:rsidRDefault="00761B6C" w:rsidP="0061620A">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sidRPr="00236418">
              <w:rPr>
                <w:rFonts w:cs="Calibri"/>
                <w:color w:val="000000"/>
                <w:sz w:val="22"/>
                <w:szCs w:val="22"/>
                <w:lang w:eastAsia="zh-CN"/>
              </w:rPr>
              <w:t>926</w:t>
            </w:r>
          </w:p>
        </w:tc>
      </w:tr>
      <w:tr w:rsidR="00761B6C" w:rsidRPr="00236418" w14:paraId="74AE2DAA" w14:textId="77777777" w:rsidTr="0061620A">
        <w:trPr>
          <w:trHeight w:val="20"/>
          <w:jc w:val="center"/>
        </w:trPr>
        <w:tc>
          <w:tcPr>
            <w:tcW w:w="5665" w:type="dxa"/>
            <w:tcBorders>
              <w:left w:val="single" w:sz="4" w:space="0" w:color="auto"/>
              <w:right w:val="single" w:sz="4" w:space="0" w:color="auto"/>
            </w:tcBorders>
            <w:shd w:val="clear" w:color="auto" w:fill="auto"/>
            <w:noWrap/>
            <w:vAlign w:val="center"/>
          </w:tcPr>
          <w:p w14:paraId="40199477" w14:textId="77777777" w:rsidR="00761B6C" w:rsidRPr="00236418" w:rsidRDefault="00761B6C" w:rsidP="0061620A">
            <w:pPr>
              <w:pStyle w:val="Tabletext"/>
              <w:spacing w:before="20" w:after="20"/>
              <w:rPr>
                <w:szCs w:val="22"/>
                <w:lang w:eastAsia="zh-CN"/>
              </w:rPr>
            </w:pPr>
            <w:r w:rsidRPr="00236418">
              <w:rPr>
                <w:szCs w:val="22"/>
                <w:lang w:eastAsia="zh-CN"/>
              </w:rPr>
              <w:t>Gains de change réalisés</w:t>
            </w:r>
          </w:p>
        </w:tc>
        <w:tc>
          <w:tcPr>
            <w:tcW w:w="1560" w:type="dxa"/>
            <w:tcBorders>
              <w:left w:val="single" w:sz="4" w:space="0" w:color="auto"/>
              <w:right w:val="single" w:sz="4" w:space="0" w:color="auto"/>
            </w:tcBorders>
            <w:shd w:val="clear" w:color="auto" w:fill="auto"/>
            <w:noWrap/>
            <w:vAlign w:val="bottom"/>
          </w:tcPr>
          <w:p w14:paraId="3061776B" w14:textId="77777777" w:rsidR="00761B6C" w:rsidRPr="00236418" w:rsidRDefault="00761B6C" w:rsidP="0061620A">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Pr>
                <w:rFonts w:cs="Calibri"/>
                <w:color w:val="000000"/>
                <w:sz w:val="22"/>
                <w:szCs w:val="22"/>
                <w:lang w:eastAsia="zh-CN"/>
              </w:rPr>
              <w:t>16</w:t>
            </w:r>
          </w:p>
        </w:tc>
        <w:tc>
          <w:tcPr>
            <w:tcW w:w="1559" w:type="dxa"/>
            <w:tcBorders>
              <w:left w:val="single" w:sz="4" w:space="0" w:color="auto"/>
              <w:right w:val="single" w:sz="4" w:space="0" w:color="auto"/>
            </w:tcBorders>
            <w:vAlign w:val="bottom"/>
          </w:tcPr>
          <w:p w14:paraId="262F03B6" w14:textId="77777777" w:rsidR="00761B6C" w:rsidRPr="00236418" w:rsidRDefault="00761B6C" w:rsidP="0061620A">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sidRPr="00236418">
              <w:rPr>
                <w:rFonts w:cs="Calibri"/>
                <w:color w:val="000000"/>
                <w:sz w:val="22"/>
                <w:szCs w:val="22"/>
                <w:lang w:eastAsia="zh-CN"/>
              </w:rPr>
              <w:t>24</w:t>
            </w:r>
          </w:p>
        </w:tc>
      </w:tr>
      <w:tr w:rsidR="00761B6C" w:rsidRPr="00236418" w14:paraId="727041E4" w14:textId="77777777" w:rsidTr="0061620A">
        <w:trPr>
          <w:trHeight w:val="213"/>
          <w:jc w:val="center"/>
        </w:trPr>
        <w:tc>
          <w:tcPr>
            <w:tcW w:w="5665" w:type="dxa"/>
            <w:tcBorders>
              <w:left w:val="single" w:sz="4" w:space="0" w:color="auto"/>
              <w:bottom w:val="single" w:sz="4" w:space="0" w:color="auto"/>
              <w:right w:val="single" w:sz="4" w:space="0" w:color="auto"/>
            </w:tcBorders>
            <w:shd w:val="clear" w:color="auto" w:fill="auto"/>
            <w:noWrap/>
          </w:tcPr>
          <w:p w14:paraId="591AB6B6" w14:textId="77777777" w:rsidR="00761B6C" w:rsidRPr="00236418" w:rsidRDefault="00761B6C" w:rsidP="0061620A">
            <w:pPr>
              <w:pStyle w:val="Tabletext"/>
              <w:spacing w:before="20" w:after="20"/>
              <w:rPr>
                <w:szCs w:val="22"/>
                <w:lang w:eastAsia="zh-CN"/>
              </w:rPr>
            </w:pPr>
            <w:r w:rsidRPr="00236418">
              <w:rPr>
                <w:szCs w:val="22"/>
                <w:lang w:eastAsia="zh-CN"/>
              </w:rPr>
              <w:t>Gains de change non réalisés</w:t>
            </w:r>
          </w:p>
        </w:tc>
        <w:tc>
          <w:tcPr>
            <w:tcW w:w="1560" w:type="dxa"/>
            <w:tcBorders>
              <w:left w:val="single" w:sz="4" w:space="0" w:color="auto"/>
              <w:bottom w:val="single" w:sz="4" w:space="0" w:color="auto"/>
              <w:right w:val="single" w:sz="4" w:space="0" w:color="auto"/>
            </w:tcBorders>
            <w:shd w:val="clear" w:color="auto" w:fill="auto"/>
            <w:noWrap/>
          </w:tcPr>
          <w:p w14:paraId="70E049F1" w14:textId="77777777" w:rsidR="00761B6C" w:rsidRPr="00236418" w:rsidRDefault="00761B6C" w:rsidP="0061620A">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sidRPr="00657C68">
              <w:rPr>
                <w:rFonts w:cs="Calibri"/>
                <w:color w:val="000000"/>
                <w:sz w:val="22"/>
                <w:szCs w:val="22"/>
                <w:lang w:eastAsia="zh-CN"/>
              </w:rPr>
              <w:t>–</w:t>
            </w:r>
            <w:r>
              <w:rPr>
                <w:rFonts w:cs="Calibri"/>
                <w:color w:val="000000"/>
                <w:sz w:val="22"/>
                <w:szCs w:val="22"/>
                <w:lang w:eastAsia="zh-CN"/>
              </w:rPr>
              <w:t>5 116</w:t>
            </w:r>
          </w:p>
        </w:tc>
        <w:tc>
          <w:tcPr>
            <w:tcW w:w="1559" w:type="dxa"/>
            <w:tcBorders>
              <w:left w:val="single" w:sz="4" w:space="0" w:color="auto"/>
              <w:bottom w:val="single" w:sz="4" w:space="0" w:color="auto"/>
              <w:right w:val="single" w:sz="4" w:space="0" w:color="auto"/>
            </w:tcBorders>
          </w:tcPr>
          <w:p w14:paraId="67819CFB" w14:textId="77777777" w:rsidR="00761B6C" w:rsidRPr="00236418" w:rsidRDefault="00761B6C" w:rsidP="0061620A">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2"/>
                <w:szCs w:val="22"/>
                <w:lang w:eastAsia="zh-CN"/>
              </w:rPr>
            </w:pPr>
            <w:r w:rsidRPr="00236418">
              <w:rPr>
                <w:rFonts w:cs="Calibri"/>
                <w:color w:val="000000"/>
                <w:sz w:val="22"/>
                <w:szCs w:val="22"/>
                <w:lang w:eastAsia="zh-CN"/>
              </w:rPr>
              <w:t>9 079</w:t>
            </w:r>
          </w:p>
        </w:tc>
      </w:tr>
      <w:tr w:rsidR="00761B6C" w:rsidRPr="00236418" w14:paraId="271FC068" w14:textId="77777777" w:rsidTr="0061620A">
        <w:trPr>
          <w:trHeight w:val="20"/>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CB991" w14:textId="77777777" w:rsidR="00761B6C" w:rsidRPr="00236418" w:rsidRDefault="00761B6C" w:rsidP="0061620A">
            <w:pPr>
              <w:pStyle w:val="Tabletext"/>
              <w:spacing w:before="20" w:after="20"/>
              <w:rPr>
                <w:b/>
                <w:bCs/>
                <w:szCs w:val="22"/>
                <w:lang w:eastAsia="zh-CN"/>
              </w:rPr>
            </w:pPr>
            <w:r w:rsidRPr="00236418">
              <w:rPr>
                <w:b/>
                <w:bCs/>
                <w:szCs w:val="22"/>
                <w:lang w:eastAsia="zh-CN"/>
              </w:rPr>
              <w:t>Produits financiers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7E5B0" w14:textId="77777777" w:rsidR="00761B6C" w:rsidRPr="00236418" w:rsidRDefault="00761B6C" w:rsidP="0061620A">
            <w:pPr>
              <w:pStyle w:val="Tabletext"/>
              <w:spacing w:before="20" w:after="20"/>
              <w:jc w:val="right"/>
              <w:rPr>
                <w:b/>
                <w:bCs/>
                <w:szCs w:val="22"/>
                <w:lang w:eastAsia="zh-CN"/>
              </w:rPr>
            </w:pPr>
            <w:r w:rsidRPr="00657C68">
              <w:rPr>
                <w:b/>
                <w:bCs/>
                <w:szCs w:val="22"/>
                <w:lang w:eastAsia="zh-CN"/>
              </w:rPr>
              <w:t>–</w:t>
            </w:r>
            <w:r>
              <w:rPr>
                <w:b/>
                <w:bCs/>
                <w:szCs w:val="22"/>
                <w:lang w:eastAsia="zh-CN"/>
              </w:rPr>
              <w:t>4 700</w:t>
            </w:r>
          </w:p>
        </w:tc>
        <w:tc>
          <w:tcPr>
            <w:tcW w:w="1559" w:type="dxa"/>
            <w:tcBorders>
              <w:top w:val="single" w:sz="4" w:space="0" w:color="auto"/>
              <w:left w:val="single" w:sz="4" w:space="0" w:color="auto"/>
              <w:bottom w:val="single" w:sz="4" w:space="0" w:color="auto"/>
              <w:right w:val="single" w:sz="4" w:space="0" w:color="auto"/>
            </w:tcBorders>
            <w:vAlign w:val="center"/>
          </w:tcPr>
          <w:p w14:paraId="22836E00" w14:textId="77777777" w:rsidR="00761B6C" w:rsidRPr="00236418" w:rsidRDefault="00761B6C" w:rsidP="0061620A">
            <w:pPr>
              <w:pStyle w:val="Tabletext"/>
              <w:spacing w:before="20" w:after="20"/>
              <w:jc w:val="right"/>
              <w:rPr>
                <w:b/>
                <w:bCs/>
                <w:szCs w:val="22"/>
                <w:lang w:eastAsia="zh-CN"/>
              </w:rPr>
            </w:pPr>
            <w:r w:rsidRPr="00236418">
              <w:rPr>
                <w:b/>
                <w:bCs/>
                <w:szCs w:val="22"/>
                <w:lang w:eastAsia="zh-CN"/>
              </w:rPr>
              <w:t>10 030</w:t>
            </w:r>
          </w:p>
        </w:tc>
      </w:tr>
    </w:tbl>
    <w:p w14:paraId="0825176C" w14:textId="77777777" w:rsidR="00761B6C" w:rsidRPr="00236418" w:rsidRDefault="00761B6C" w:rsidP="0061620A">
      <w:pPr>
        <w:pStyle w:val="Normalaftertitle"/>
        <w:rPr>
          <w:rFonts w:eastAsia="SimSun"/>
        </w:rPr>
      </w:pPr>
      <w:r w:rsidRPr="00236418">
        <w:rPr>
          <w:rFonts w:eastAsia="SimSun"/>
        </w:rPr>
        <w:t>La situation sur les marchés financiers concernant le franc suisse et l</w:t>
      </w:r>
      <w:r>
        <w:rPr>
          <w:rFonts w:eastAsia="SimSun"/>
        </w:rPr>
        <w:t>'</w:t>
      </w:r>
      <w:r w:rsidRPr="00236418">
        <w:rPr>
          <w:rFonts w:eastAsia="SimSun"/>
        </w:rPr>
        <w:t>euro s</w:t>
      </w:r>
      <w:r>
        <w:rPr>
          <w:rFonts w:eastAsia="SimSun"/>
        </w:rPr>
        <w:t>'</w:t>
      </w:r>
      <w:r w:rsidRPr="00236418">
        <w:rPr>
          <w:rFonts w:eastAsia="SimSun"/>
        </w:rPr>
        <w:t>est maintenue</w:t>
      </w:r>
      <w:r>
        <w:rPr>
          <w:rFonts w:eastAsia="SimSun"/>
        </w:rPr>
        <w:t xml:space="preserve">, mais la situation concernant le dollar des États-Unis est devenue plus difficile, en raison d'un taux d'intérêt plus bas qui explique le faible niveau des intérêts en 2020. Il convient également de noter que, malgré les intérêts négatifs sur les avoirs en francs suisses appliqués sur ses comptes, l'UIT a réussi à neutraliser les </w:t>
      </w:r>
      <w:r w:rsidRPr="00236418">
        <w:rPr>
          <w:rFonts w:eastAsia="SimSun"/>
        </w:rPr>
        <w:t>intérêt</w:t>
      </w:r>
      <w:r>
        <w:rPr>
          <w:rFonts w:eastAsia="SimSun"/>
        </w:rPr>
        <w:t>s</w:t>
      </w:r>
      <w:r w:rsidRPr="00236418">
        <w:rPr>
          <w:rFonts w:eastAsia="SimSun"/>
        </w:rPr>
        <w:t xml:space="preserve"> négatif</w:t>
      </w:r>
      <w:r>
        <w:rPr>
          <w:rFonts w:eastAsia="SimSun"/>
        </w:rPr>
        <w:t>s en investissant dans des dépôts à court terme en USD, comme indiqué précédemment</w:t>
      </w:r>
      <w:r w:rsidRPr="00236418">
        <w:rPr>
          <w:rFonts w:eastAsia="SimSun"/>
        </w:rPr>
        <w:t xml:space="preserve">. Les gains de </w:t>
      </w:r>
      <w:proofErr w:type="gramStart"/>
      <w:r w:rsidRPr="00236418">
        <w:rPr>
          <w:rFonts w:eastAsia="SimSun"/>
        </w:rPr>
        <w:t>change</w:t>
      </w:r>
      <w:proofErr w:type="gramEnd"/>
      <w:r w:rsidRPr="00236418">
        <w:rPr>
          <w:rFonts w:eastAsia="SimSun"/>
        </w:rPr>
        <w:t xml:space="preserve"> non réalisés ne sont pas considérés comme un produit dans le budget mais doivent être comptabilisés dans la réévaluation du bilan en fin d</w:t>
      </w:r>
      <w:r>
        <w:rPr>
          <w:rFonts w:eastAsia="SimSun"/>
        </w:rPr>
        <w:t>'</w:t>
      </w:r>
      <w:r w:rsidRPr="00236418">
        <w:rPr>
          <w:rFonts w:eastAsia="SimSun"/>
        </w:rPr>
        <w:t>exercice.</w:t>
      </w:r>
    </w:p>
    <w:p w14:paraId="12004235" w14:textId="77777777" w:rsidR="00761B6C" w:rsidRPr="00236418" w:rsidRDefault="00761B6C" w:rsidP="003A1E34">
      <w:pPr>
        <w:pStyle w:val="Headingb"/>
        <w:spacing w:before="240"/>
      </w:pPr>
      <w:bookmarkStart w:id="2154" w:name="_Toc387166663"/>
      <w:bookmarkStart w:id="2155" w:name="_Toc395260948"/>
      <w:bookmarkStart w:id="2156" w:name="_Toc395511735"/>
      <w:bookmarkStart w:id="2157" w:name="_Toc452138637"/>
      <w:bookmarkStart w:id="2158" w:name="_Toc452139086"/>
      <w:bookmarkStart w:id="2159" w:name="_Toc452139450"/>
      <w:bookmarkStart w:id="2160" w:name="_Toc452139856"/>
      <w:bookmarkStart w:id="2161" w:name="_Toc452140730"/>
      <w:bookmarkStart w:id="2162" w:name="_Toc482801518"/>
      <w:bookmarkStart w:id="2163" w:name="_Toc511649492"/>
      <w:bookmarkStart w:id="2164" w:name="_Toc511649860"/>
      <w:bookmarkStart w:id="2165" w:name="_Toc511649978"/>
      <w:bookmarkStart w:id="2166" w:name="_Toc511651238"/>
      <w:bookmarkStart w:id="2167" w:name="_Toc511724101"/>
      <w:bookmarkStart w:id="2168" w:name="_Toc511739090"/>
      <w:bookmarkStart w:id="2169" w:name="_Toc511741261"/>
      <w:bookmarkStart w:id="2170" w:name="_Toc10450774"/>
      <w:bookmarkStart w:id="2171" w:name="_Toc41566365"/>
      <w:bookmarkStart w:id="2172" w:name="_Toc41567374"/>
      <w:bookmarkStart w:id="2173" w:name="_Toc41567875"/>
      <w:bookmarkStart w:id="2174" w:name="_Toc41814969"/>
      <w:bookmarkStart w:id="2175" w:name="_Toc73354466"/>
      <w:bookmarkStart w:id="2176" w:name="_Toc73356444"/>
      <w:bookmarkStart w:id="2177" w:name="_Toc329202597"/>
      <w:bookmarkStart w:id="2178" w:name="_Toc329205029"/>
      <w:bookmarkStart w:id="2179" w:name="_Toc329206866"/>
      <w:bookmarkStart w:id="2180" w:name="_Toc358379947"/>
      <w:bookmarkStart w:id="2181" w:name="_Toc358380490"/>
      <w:r w:rsidRPr="00236418">
        <w:t>Note 23</w:t>
      </w:r>
      <w:r w:rsidRPr="00236418">
        <w:tab/>
      </w:r>
      <w:bookmarkEnd w:id="2154"/>
      <w:bookmarkEnd w:id="2155"/>
      <w:bookmarkEnd w:id="2156"/>
      <w:r w:rsidRPr="003A1E34">
        <w:t>Charges</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14:paraId="2EF8B908" w14:textId="77777777" w:rsidR="00761B6C" w:rsidRPr="00236418" w:rsidRDefault="00761B6C" w:rsidP="003A1E34">
      <w:pPr>
        <w:pStyle w:val="Headingb"/>
      </w:pPr>
      <w:bookmarkStart w:id="2182" w:name="_Toc387167490"/>
      <w:bookmarkStart w:id="2183" w:name="_Toc482888036"/>
      <w:bookmarkStart w:id="2184" w:name="_Toc482888070"/>
      <w:bookmarkStart w:id="2185" w:name="_Toc482888379"/>
      <w:bookmarkStart w:id="2186" w:name="_Toc482888778"/>
      <w:bookmarkStart w:id="2187" w:name="_Toc511649493"/>
      <w:bookmarkStart w:id="2188" w:name="_Toc511649979"/>
      <w:bookmarkStart w:id="2189" w:name="_Toc511650099"/>
      <w:bookmarkStart w:id="2190" w:name="_Toc511650593"/>
      <w:bookmarkStart w:id="2191" w:name="_Toc511651239"/>
      <w:bookmarkStart w:id="2192" w:name="_Toc511724102"/>
      <w:bookmarkStart w:id="2193" w:name="_Toc511739091"/>
      <w:bookmarkStart w:id="2194" w:name="_Toc511740824"/>
      <w:bookmarkStart w:id="2195" w:name="_Toc511741262"/>
      <w:bookmarkStart w:id="2196" w:name="_Toc10450775"/>
      <w:bookmarkStart w:id="2197" w:name="_Toc41567375"/>
      <w:bookmarkStart w:id="2198" w:name="_Toc73356445"/>
      <w:r w:rsidRPr="00236418">
        <w:t>Charges de personnel</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14:paraId="16DF3037" w14:textId="77777777" w:rsidR="00761B6C" w:rsidRPr="00236418" w:rsidRDefault="00761B6C" w:rsidP="00761B6C">
      <w:pPr>
        <w:spacing w:after="120"/>
      </w:pPr>
      <w:r w:rsidRPr="00236418">
        <w:t>Les charges de personnel couvrent toutes les rémunérations versées aux titulaires de postes permanents et à tout le personnel de conférences ou bénéficiant de contrats de courte durée, telles que traitements de base, indemnités de poste, primes pour connaissances linguistiques, indemnités de non-résident, allocations familiales et heures supplémentaires ainsi que les autres charges de personnel.</w:t>
      </w:r>
    </w:p>
    <w:tbl>
      <w:tblPr>
        <w:tblW w:w="8926" w:type="dxa"/>
        <w:jc w:val="center"/>
        <w:tblLayout w:type="fixed"/>
        <w:tblLook w:val="04A0" w:firstRow="1" w:lastRow="0" w:firstColumn="1" w:lastColumn="0" w:noHBand="0" w:noVBand="1"/>
        <w:tblCaption w:val="E"/>
      </w:tblPr>
      <w:tblGrid>
        <w:gridCol w:w="5949"/>
        <w:gridCol w:w="1559"/>
        <w:gridCol w:w="1418"/>
      </w:tblGrid>
      <w:tr w:rsidR="00761B6C" w:rsidRPr="00236418" w14:paraId="1067F84A" w14:textId="77777777" w:rsidTr="0061620A">
        <w:trPr>
          <w:trHeight w:val="499"/>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96C53" w14:textId="77777777" w:rsidR="00761B6C" w:rsidRPr="00236418" w:rsidRDefault="00761B6C" w:rsidP="0061620A">
            <w:pPr>
              <w:pStyle w:val="Tablehead"/>
              <w:keepNext/>
              <w:keepLines/>
              <w:spacing w:before="20" w:after="20"/>
              <w:jc w:val="left"/>
              <w:rPr>
                <w:szCs w:val="22"/>
                <w:lang w:eastAsia="zh-CN"/>
              </w:rPr>
            </w:pPr>
            <w:r w:rsidRPr="00236418">
              <w:rPr>
                <w:szCs w:val="22"/>
                <w:lang w:eastAsia="zh-CN"/>
              </w:rPr>
              <w:lastRenderedPageBreak/>
              <w:t>En milliers</w:t>
            </w:r>
            <w:r>
              <w:rPr>
                <w:szCs w:val="22"/>
                <w:lang w:eastAsia="zh-CN"/>
              </w:rPr>
              <w:t xml:space="preserve"> </w:t>
            </w:r>
            <w:r w:rsidRPr="00236418">
              <w:rPr>
                <w:szCs w:val="22"/>
                <w:lang w:eastAsia="zh-CN"/>
              </w:rPr>
              <w:t>CHF</w:t>
            </w:r>
          </w:p>
        </w:tc>
        <w:tc>
          <w:tcPr>
            <w:tcW w:w="1559" w:type="dxa"/>
            <w:tcBorders>
              <w:top w:val="single" w:sz="4" w:space="0" w:color="auto"/>
              <w:left w:val="single" w:sz="4" w:space="0" w:color="auto"/>
              <w:bottom w:val="single" w:sz="4" w:space="0" w:color="auto"/>
              <w:right w:val="single" w:sz="4" w:space="0" w:color="auto"/>
            </w:tcBorders>
            <w:vAlign w:val="center"/>
          </w:tcPr>
          <w:p w14:paraId="1ACD646D" w14:textId="77777777" w:rsidR="00761B6C" w:rsidRPr="00236418" w:rsidRDefault="00761B6C" w:rsidP="0061620A">
            <w:pPr>
              <w:pStyle w:val="Tablehead"/>
              <w:keepNext/>
              <w:keepLines/>
              <w:spacing w:before="20" w:after="20"/>
              <w:jc w:val="right"/>
              <w:rPr>
                <w:szCs w:val="22"/>
                <w:lang w:eastAsia="zh-CN"/>
              </w:rPr>
            </w:pPr>
            <w:r>
              <w:rPr>
                <w:szCs w:val="22"/>
                <w:lang w:eastAsia="zh-CN"/>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54926CE2" w14:textId="77777777" w:rsidR="00761B6C" w:rsidRPr="00236418" w:rsidRDefault="00761B6C" w:rsidP="0061620A">
            <w:pPr>
              <w:pStyle w:val="Tablehead"/>
              <w:keepNext/>
              <w:keepLines/>
              <w:spacing w:before="20" w:after="20"/>
              <w:jc w:val="right"/>
              <w:rPr>
                <w:szCs w:val="22"/>
                <w:lang w:eastAsia="zh-CN"/>
              </w:rPr>
            </w:pPr>
            <w:r w:rsidRPr="00236418">
              <w:rPr>
                <w:szCs w:val="22"/>
                <w:lang w:eastAsia="zh-CN"/>
              </w:rPr>
              <w:t>2019</w:t>
            </w:r>
          </w:p>
        </w:tc>
      </w:tr>
      <w:tr w:rsidR="00761B6C" w:rsidRPr="00236418" w14:paraId="676C18B9" w14:textId="77777777" w:rsidTr="0061620A">
        <w:trPr>
          <w:trHeight w:val="20"/>
          <w:jc w:val="center"/>
        </w:trPr>
        <w:tc>
          <w:tcPr>
            <w:tcW w:w="5949" w:type="dxa"/>
            <w:tcBorders>
              <w:top w:val="single" w:sz="4" w:space="0" w:color="auto"/>
              <w:left w:val="single" w:sz="4" w:space="0" w:color="auto"/>
              <w:right w:val="single" w:sz="4" w:space="0" w:color="auto"/>
            </w:tcBorders>
            <w:shd w:val="clear" w:color="auto" w:fill="auto"/>
            <w:noWrap/>
            <w:vAlign w:val="center"/>
          </w:tcPr>
          <w:p w14:paraId="7FACEEB8" w14:textId="77777777" w:rsidR="00761B6C" w:rsidRPr="00236418" w:rsidRDefault="00761B6C" w:rsidP="0061620A">
            <w:pPr>
              <w:pStyle w:val="Tabletext"/>
              <w:keepNext/>
              <w:keepLines/>
              <w:spacing w:before="20" w:after="20"/>
              <w:rPr>
                <w:szCs w:val="22"/>
                <w:lang w:eastAsia="zh-CN"/>
              </w:rPr>
            </w:pPr>
            <w:r w:rsidRPr="00236418">
              <w:rPr>
                <w:szCs w:val="22"/>
                <w:lang w:eastAsia="zh-CN"/>
              </w:rPr>
              <w:t>Traitements et indemnités</w:t>
            </w:r>
          </w:p>
        </w:tc>
        <w:tc>
          <w:tcPr>
            <w:tcW w:w="1559" w:type="dxa"/>
            <w:tcBorders>
              <w:top w:val="single" w:sz="4" w:space="0" w:color="auto"/>
              <w:left w:val="single" w:sz="4" w:space="0" w:color="auto"/>
              <w:right w:val="single" w:sz="4" w:space="0" w:color="auto"/>
            </w:tcBorders>
          </w:tcPr>
          <w:p w14:paraId="284EFFC2" w14:textId="77777777" w:rsidR="00761B6C" w:rsidRPr="0061620A" w:rsidRDefault="00761B6C" w:rsidP="0061620A">
            <w:pPr>
              <w:pStyle w:val="Tabletext"/>
              <w:keepNext/>
              <w:keepLines/>
              <w:spacing w:before="20" w:after="20"/>
              <w:jc w:val="right"/>
              <w:rPr>
                <w:sz w:val="20"/>
                <w:lang w:eastAsia="zh-CN"/>
              </w:rPr>
            </w:pPr>
            <w:r w:rsidRPr="0061620A">
              <w:rPr>
                <w:sz w:val="20"/>
                <w:lang w:eastAsia="zh-CN"/>
              </w:rPr>
              <w:t>95 278</w:t>
            </w:r>
          </w:p>
        </w:tc>
        <w:tc>
          <w:tcPr>
            <w:tcW w:w="1418" w:type="dxa"/>
            <w:tcBorders>
              <w:top w:val="single" w:sz="4" w:space="0" w:color="auto"/>
              <w:left w:val="single" w:sz="4" w:space="0" w:color="auto"/>
              <w:right w:val="single" w:sz="4" w:space="0" w:color="auto"/>
            </w:tcBorders>
            <w:vAlign w:val="bottom"/>
          </w:tcPr>
          <w:p w14:paraId="79B67324" w14:textId="77777777" w:rsidR="00761B6C" w:rsidRPr="0061620A" w:rsidRDefault="00761B6C" w:rsidP="0061620A">
            <w:pPr>
              <w:pStyle w:val="Tabletext"/>
              <w:keepNext/>
              <w:keepLines/>
              <w:spacing w:before="20" w:after="20"/>
              <w:jc w:val="right"/>
              <w:rPr>
                <w:sz w:val="20"/>
                <w:lang w:eastAsia="zh-CN"/>
              </w:rPr>
            </w:pPr>
            <w:r w:rsidRPr="0061620A">
              <w:rPr>
                <w:rFonts w:cs="Arial"/>
                <w:color w:val="000000"/>
                <w:sz w:val="20"/>
                <w:lang w:eastAsia="zh-CN"/>
              </w:rPr>
              <w:t>95 756</w:t>
            </w:r>
          </w:p>
        </w:tc>
      </w:tr>
      <w:tr w:rsidR="00761B6C" w:rsidRPr="00236418" w14:paraId="47127A94" w14:textId="77777777" w:rsidTr="0061620A">
        <w:trPr>
          <w:trHeight w:val="20"/>
          <w:jc w:val="center"/>
        </w:trPr>
        <w:tc>
          <w:tcPr>
            <w:tcW w:w="5949" w:type="dxa"/>
            <w:tcBorders>
              <w:left w:val="single" w:sz="4" w:space="0" w:color="auto"/>
              <w:right w:val="single" w:sz="4" w:space="0" w:color="auto"/>
            </w:tcBorders>
            <w:shd w:val="clear" w:color="auto" w:fill="auto"/>
            <w:noWrap/>
            <w:vAlign w:val="center"/>
          </w:tcPr>
          <w:p w14:paraId="38FD59BC" w14:textId="77777777" w:rsidR="00761B6C" w:rsidRPr="00236418" w:rsidRDefault="00761B6C" w:rsidP="0061620A">
            <w:pPr>
              <w:pStyle w:val="Tabletext"/>
              <w:keepNext/>
              <w:keepLines/>
              <w:spacing w:before="20" w:after="20"/>
              <w:rPr>
                <w:szCs w:val="22"/>
                <w:lang w:eastAsia="zh-CN"/>
              </w:rPr>
            </w:pPr>
            <w:r w:rsidRPr="00236418">
              <w:rPr>
                <w:szCs w:val="22"/>
                <w:lang w:eastAsia="zh-CN"/>
              </w:rPr>
              <w:t>Autres charges de personnel</w:t>
            </w:r>
          </w:p>
        </w:tc>
        <w:tc>
          <w:tcPr>
            <w:tcW w:w="1559" w:type="dxa"/>
            <w:tcBorders>
              <w:left w:val="single" w:sz="4" w:space="0" w:color="auto"/>
              <w:right w:val="single" w:sz="4" w:space="0" w:color="auto"/>
            </w:tcBorders>
          </w:tcPr>
          <w:p w14:paraId="6A6843AE" w14:textId="77777777" w:rsidR="00761B6C" w:rsidRPr="0061620A" w:rsidRDefault="00761B6C" w:rsidP="0061620A">
            <w:pPr>
              <w:pStyle w:val="Tabletext"/>
              <w:keepNext/>
              <w:keepLines/>
              <w:spacing w:before="20" w:after="20"/>
              <w:jc w:val="right"/>
              <w:rPr>
                <w:bCs/>
                <w:sz w:val="20"/>
                <w:lang w:eastAsia="zh-CN"/>
              </w:rPr>
            </w:pPr>
            <w:r w:rsidRPr="0061620A">
              <w:rPr>
                <w:bCs/>
                <w:sz w:val="20"/>
                <w:lang w:eastAsia="zh-CN"/>
              </w:rPr>
              <w:t>58 547</w:t>
            </w:r>
          </w:p>
        </w:tc>
        <w:tc>
          <w:tcPr>
            <w:tcW w:w="1418" w:type="dxa"/>
            <w:tcBorders>
              <w:left w:val="single" w:sz="4" w:space="0" w:color="auto"/>
              <w:right w:val="single" w:sz="4" w:space="0" w:color="auto"/>
            </w:tcBorders>
            <w:vAlign w:val="bottom"/>
          </w:tcPr>
          <w:p w14:paraId="3CF967DE" w14:textId="77777777" w:rsidR="00761B6C" w:rsidRPr="0061620A" w:rsidRDefault="00761B6C" w:rsidP="0061620A">
            <w:pPr>
              <w:pStyle w:val="Tabletext"/>
              <w:keepNext/>
              <w:keepLines/>
              <w:spacing w:before="20" w:after="20"/>
              <w:jc w:val="right"/>
              <w:rPr>
                <w:bCs/>
                <w:sz w:val="20"/>
                <w:lang w:eastAsia="zh-CN"/>
              </w:rPr>
            </w:pPr>
            <w:r w:rsidRPr="0061620A">
              <w:rPr>
                <w:rFonts w:cs="Arial"/>
                <w:bCs/>
                <w:color w:val="000000"/>
                <w:sz w:val="20"/>
                <w:lang w:eastAsia="zh-CN"/>
              </w:rPr>
              <w:t>108 186</w:t>
            </w:r>
          </w:p>
        </w:tc>
      </w:tr>
      <w:tr w:rsidR="00761B6C" w:rsidRPr="00236418" w14:paraId="1AE06E52" w14:textId="77777777" w:rsidTr="0061620A">
        <w:trPr>
          <w:trHeight w:val="20"/>
          <w:jc w:val="center"/>
        </w:trPr>
        <w:tc>
          <w:tcPr>
            <w:tcW w:w="5949" w:type="dxa"/>
            <w:tcBorders>
              <w:left w:val="single" w:sz="4" w:space="0" w:color="auto"/>
              <w:right w:val="single" w:sz="4" w:space="0" w:color="auto"/>
            </w:tcBorders>
            <w:shd w:val="clear" w:color="auto" w:fill="auto"/>
            <w:noWrap/>
            <w:vAlign w:val="center"/>
          </w:tcPr>
          <w:p w14:paraId="2AF54BD2" w14:textId="77777777" w:rsidR="00761B6C" w:rsidRPr="00236418" w:rsidRDefault="00761B6C" w:rsidP="0061620A">
            <w:pPr>
              <w:pStyle w:val="Tabletext"/>
              <w:keepNext/>
              <w:keepLines/>
              <w:tabs>
                <w:tab w:val="left" w:pos="308"/>
              </w:tabs>
              <w:spacing w:before="20" w:after="20"/>
              <w:rPr>
                <w:szCs w:val="22"/>
                <w:lang w:eastAsia="zh-CN"/>
              </w:rPr>
            </w:pPr>
            <w:r w:rsidRPr="00236418">
              <w:rPr>
                <w:szCs w:val="22"/>
                <w:lang w:eastAsia="zh-CN"/>
              </w:rPr>
              <w:tab/>
              <w:t>Installations et rapatriement</w:t>
            </w:r>
          </w:p>
        </w:tc>
        <w:tc>
          <w:tcPr>
            <w:tcW w:w="1559" w:type="dxa"/>
            <w:tcBorders>
              <w:left w:val="single" w:sz="4" w:space="0" w:color="auto"/>
              <w:right w:val="single" w:sz="4" w:space="0" w:color="auto"/>
            </w:tcBorders>
          </w:tcPr>
          <w:p w14:paraId="1F6A78C7" w14:textId="77777777" w:rsidR="00761B6C" w:rsidRPr="0061620A" w:rsidRDefault="00761B6C" w:rsidP="0061620A">
            <w:pPr>
              <w:pStyle w:val="Tabletext"/>
              <w:keepNext/>
              <w:keepLines/>
              <w:spacing w:before="20" w:after="20"/>
              <w:jc w:val="right"/>
              <w:rPr>
                <w:sz w:val="20"/>
                <w:lang w:eastAsia="zh-CN"/>
              </w:rPr>
            </w:pPr>
            <w:r w:rsidRPr="0061620A">
              <w:rPr>
                <w:sz w:val="20"/>
                <w:lang w:eastAsia="zh-CN"/>
              </w:rPr>
              <w:t>567</w:t>
            </w:r>
          </w:p>
        </w:tc>
        <w:tc>
          <w:tcPr>
            <w:tcW w:w="1418" w:type="dxa"/>
            <w:tcBorders>
              <w:left w:val="single" w:sz="4" w:space="0" w:color="auto"/>
              <w:right w:val="single" w:sz="4" w:space="0" w:color="auto"/>
            </w:tcBorders>
            <w:vAlign w:val="bottom"/>
          </w:tcPr>
          <w:p w14:paraId="52A83AB1" w14:textId="77777777" w:rsidR="00761B6C" w:rsidRPr="0061620A" w:rsidRDefault="00761B6C" w:rsidP="0061620A">
            <w:pPr>
              <w:pStyle w:val="Tabletext"/>
              <w:keepNext/>
              <w:keepLines/>
              <w:spacing w:before="20" w:after="20"/>
              <w:jc w:val="right"/>
              <w:rPr>
                <w:sz w:val="20"/>
                <w:lang w:eastAsia="zh-CN"/>
              </w:rPr>
            </w:pPr>
            <w:r w:rsidRPr="0061620A">
              <w:rPr>
                <w:rFonts w:cs="Arial"/>
                <w:color w:val="000000"/>
                <w:sz w:val="20"/>
                <w:lang w:eastAsia="zh-CN"/>
              </w:rPr>
              <w:t>2 295</w:t>
            </w:r>
          </w:p>
        </w:tc>
      </w:tr>
      <w:tr w:rsidR="00761B6C" w:rsidRPr="00236418" w14:paraId="43F31245" w14:textId="77777777" w:rsidTr="0061620A">
        <w:trPr>
          <w:trHeight w:val="20"/>
          <w:jc w:val="center"/>
        </w:trPr>
        <w:tc>
          <w:tcPr>
            <w:tcW w:w="5949" w:type="dxa"/>
            <w:tcBorders>
              <w:left w:val="single" w:sz="4" w:space="0" w:color="auto"/>
              <w:right w:val="single" w:sz="4" w:space="0" w:color="auto"/>
            </w:tcBorders>
            <w:shd w:val="clear" w:color="auto" w:fill="auto"/>
            <w:noWrap/>
            <w:vAlign w:val="center"/>
          </w:tcPr>
          <w:p w14:paraId="2EF50759" w14:textId="77777777" w:rsidR="00761B6C" w:rsidRPr="00236418" w:rsidRDefault="00761B6C" w:rsidP="0061620A">
            <w:pPr>
              <w:pStyle w:val="Tabletext"/>
              <w:keepNext/>
              <w:keepLines/>
              <w:tabs>
                <w:tab w:val="left" w:pos="308"/>
              </w:tabs>
              <w:spacing w:before="20" w:after="20"/>
              <w:rPr>
                <w:szCs w:val="22"/>
                <w:lang w:eastAsia="zh-CN"/>
              </w:rPr>
            </w:pPr>
            <w:r w:rsidRPr="00236418">
              <w:rPr>
                <w:szCs w:val="22"/>
                <w:lang w:eastAsia="zh-CN"/>
              </w:rPr>
              <w:tab/>
              <w:t>Indemnité pour frais d</w:t>
            </w:r>
            <w:r>
              <w:rPr>
                <w:szCs w:val="22"/>
                <w:lang w:eastAsia="zh-CN"/>
              </w:rPr>
              <w:t>'</w:t>
            </w:r>
            <w:r w:rsidRPr="00236418">
              <w:rPr>
                <w:szCs w:val="22"/>
                <w:lang w:eastAsia="zh-CN"/>
              </w:rPr>
              <w:t>étude</w:t>
            </w:r>
          </w:p>
        </w:tc>
        <w:tc>
          <w:tcPr>
            <w:tcW w:w="1559" w:type="dxa"/>
            <w:tcBorders>
              <w:left w:val="single" w:sz="4" w:space="0" w:color="auto"/>
              <w:right w:val="single" w:sz="4" w:space="0" w:color="auto"/>
            </w:tcBorders>
          </w:tcPr>
          <w:p w14:paraId="0927A6B8" w14:textId="77777777" w:rsidR="00761B6C" w:rsidRPr="0061620A" w:rsidRDefault="00761B6C" w:rsidP="0061620A">
            <w:pPr>
              <w:pStyle w:val="Tabletext"/>
              <w:keepNext/>
              <w:keepLines/>
              <w:spacing w:before="20" w:after="20"/>
              <w:jc w:val="right"/>
              <w:rPr>
                <w:sz w:val="20"/>
                <w:lang w:eastAsia="zh-CN"/>
              </w:rPr>
            </w:pPr>
            <w:r w:rsidRPr="0061620A">
              <w:rPr>
                <w:sz w:val="20"/>
                <w:lang w:eastAsia="zh-CN"/>
              </w:rPr>
              <w:t>3 300</w:t>
            </w:r>
          </w:p>
        </w:tc>
        <w:tc>
          <w:tcPr>
            <w:tcW w:w="1418" w:type="dxa"/>
            <w:tcBorders>
              <w:left w:val="single" w:sz="4" w:space="0" w:color="auto"/>
              <w:right w:val="single" w:sz="4" w:space="0" w:color="auto"/>
            </w:tcBorders>
            <w:vAlign w:val="bottom"/>
          </w:tcPr>
          <w:p w14:paraId="51339BF6" w14:textId="77777777" w:rsidR="00761B6C" w:rsidRPr="0061620A" w:rsidRDefault="00761B6C" w:rsidP="0061620A">
            <w:pPr>
              <w:pStyle w:val="Tabletext"/>
              <w:keepNext/>
              <w:keepLines/>
              <w:spacing w:before="20" w:after="20"/>
              <w:jc w:val="right"/>
              <w:rPr>
                <w:sz w:val="20"/>
                <w:lang w:eastAsia="zh-CN"/>
              </w:rPr>
            </w:pPr>
            <w:r w:rsidRPr="0061620A">
              <w:rPr>
                <w:rFonts w:cs="Arial"/>
                <w:color w:val="000000"/>
                <w:sz w:val="20"/>
                <w:lang w:eastAsia="zh-CN"/>
              </w:rPr>
              <w:t>3 201</w:t>
            </w:r>
          </w:p>
        </w:tc>
      </w:tr>
      <w:tr w:rsidR="00761B6C" w:rsidRPr="00236418" w14:paraId="65832560" w14:textId="77777777" w:rsidTr="0061620A">
        <w:trPr>
          <w:trHeight w:val="20"/>
          <w:jc w:val="center"/>
        </w:trPr>
        <w:tc>
          <w:tcPr>
            <w:tcW w:w="5949" w:type="dxa"/>
            <w:tcBorders>
              <w:left w:val="single" w:sz="4" w:space="0" w:color="auto"/>
              <w:right w:val="single" w:sz="4" w:space="0" w:color="auto"/>
            </w:tcBorders>
            <w:shd w:val="clear" w:color="auto" w:fill="auto"/>
            <w:noWrap/>
            <w:vAlign w:val="center"/>
          </w:tcPr>
          <w:p w14:paraId="5F10BC1A" w14:textId="77777777" w:rsidR="00761B6C" w:rsidRPr="00236418" w:rsidRDefault="00761B6C" w:rsidP="0061620A">
            <w:pPr>
              <w:pStyle w:val="Tabletext"/>
              <w:keepNext/>
              <w:keepLines/>
              <w:tabs>
                <w:tab w:val="left" w:pos="308"/>
              </w:tabs>
              <w:spacing w:before="20" w:after="20"/>
              <w:rPr>
                <w:szCs w:val="22"/>
                <w:lang w:eastAsia="zh-CN"/>
              </w:rPr>
            </w:pPr>
            <w:r w:rsidRPr="00236418">
              <w:rPr>
                <w:szCs w:val="22"/>
                <w:lang w:eastAsia="zh-CN"/>
              </w:rPr>
              <w:tab/>
              <w:t>Congés dans les foyers</w:t>
            </w:r>
          </w:p>
        </w:tc>
        <w:tc>
          <w:tcPr>
            <w:tcW w:w="1559" w:type="dxa"/>
            <w:tcBorders>
              <w:left w:val="single" w:sz="4" w:space="0" w:color="auto"/>
              <w:right w:val="single" w:sz="4" w:space="0" w:color="auto"/>
            </w:tcBorders>
          </w:tcPr>
          <w:p w14:paraId="200D25E3" w14:textId="77777777" w:rsidR="00761B6C" w:rsidRPr="0061620A" w:rsidRDefault="00761B6C" w:rsidP="0061620A">
            <w:pPr>
              <w:pStyle w:val="Tabletext"/>
              <w:keepNext/>
              <w:keepLines/>
              <w:spacing w:before="20" w:after="20"/>
              <w:jc w:val="right"/>
              <w:rPr>
                <w:sz w:val="20"/>
                <w:lang w:eastAsia="zh-CN"/>
              </w:rPr>
            </w:pPr>
            <w:r w:rsidRPr="0061620A">
              <w:rPr>
                <w:sz w:val="20"/>
                <w:lang w:eastAsia="zh-CN"/>
              </w:rPr>
              <w:t>984</w:t>
            </w:r>
          </w:p>
        </w:tc>
        <w:tc>
          <w:tcPr>
            <w:tcW w:w="1418" w:type="dxa"/>
            <w:tcBorders>
              <w:left w:val="single" w:sz="4" w:space="0" w:color="auto"/>
              <w:right w:val="single" w:sz="4" w:space="0" w:color="auto"/>
            </w:tcBorders>
            <w:vAlign w:val="bottom"/>
          </w:tcPr>
          <w:p w14:paraId="33733348" w14:textId="77777777" w:rsidR="00761B6C" w:rsidRPr="0061620A" w:rsidRDefault="00761B6C" w:rsidP="0061620A">
            <w:pPr>
              <w:pStyle w:val="Tabletext"/>
              <w:keepNext/>
              <w:keepLines/>
              <w:spacing w:before="20" w:after="20"/>
              <w:jc w:val="right"/>
              <w:rPr>
                <w:sz w:val="20"/>
                <w:lang w:eastAsia="zh-CN"/>
              </w:rPr>
            </w:pPr>
            <w:r w:rsidRPr="0061620A">
              <w:rPr>
                <w:rFonts w:cs="Arial"/>
                <w:color w:val="000000"/>
                <w:sz w:val="20"/>
                <w:lang w:eastAsia="zh-CN"/>
              </w:rPr>
              <w:t>1 000</w:t>
            </w:r>
          </w:p>
        </w:tc>
      </w:tr>
      <w:tr w:rsidR="00761B6C" w:rsidRPr="00236418" w14:paraId="1CFDA8F3" w14:textId="77777777" w:rsidTr="0061620A">
        <w:trPr>
          <w:trHeight w:val="20"/>
          <w:jc w:val="center"/>
        </w:trPr>
        <w:tc>
          <w:tcPr>
            <w:tcW w:w="5949" w:type="dxa"/>
            <w:tcBorders>
              <w:left w:val="single" w:sz="4" w:space="0" w:color="auto"/>
              <w:right w:val="single" w:sz="4" w:space="0" w:color="auto"/>
            </w:tcBorders>
            <w:shd w:val="clear" w:color="auto" w:fill="auto"/>
            <w:noWrap/>
            <w:vAlign w:val="center"/>
          </w:tcPr>
          <w:p w14:paraId="733DB401" w14:textId="77777777" w:rsidR="00761B6C" w:rsidRPr="00236418" w:rsidRDefault="00761B6C" w:rsidP="0061620A">
            <w:pPr>
              <w:pStyle w:val="Tabletext"/>
              <w:keepNext/>
              <w:keepLines/>
              <w:tabs>
                <w:tab w:val="left" w:pos="308"/>
              </w:tabs>
              <w:spacing w:before="20" w:after="20"/>
              <w:rPr>
                <w:szCs w:val="22"/>
                <w:lang w:eastAsia="zh-CN"/>
              </w:rPr>
            </w:pPr>
            <w:r w:rsidRPr="00236418">
              <w:rPr>
                <w:szCs w:val="22"/>
                <w:lang w:eastAsia="zh-CN"/>
              </w:rPr>
              <w:tab/>
              <w:t>Congés accumulés</w:t>
            </w:r>
          </w:p>
        </w:tc>
        <w:tc>
          <w:tcPr>
            <w:tcW w:w="1559" w:type="dxa"/>
            <w:tcBorders>
              <w:left w:val="single" w:sz="4" w:space="0" w:color="auto"/>
              <w:right w:val="single" w:sz="4" w:space="0" w:color="auto"/>
            </w:tcBorders>
          </w:tcPr>
          <w:p w14:paraId="212F8C4B" w14:textId="77777777" w:rsidR="00761B6C" w:rsidRPr="0061620A" w:rsidRDefault="00761B6C" w:rsidP="0061620A">
            <w:pPr>
              <w:pStyle w:val="Tabletext"/>
              <w:keepNext/>
              <w:keepLines/>
              <w:spacing w:before="20" w:after="20"/>
              <w:jc w:val="right"/>
              <w:rPr>
                <w:sz w:val="20"/>
                <w:lang w:eastAsia="zh-CN"/>
              </w:rPr>
            </w:pPr>
            <w:r w:rsidRPr="0061620A">
              <w:rPr>
                <w:sz w:val="20"/>
                <w:lang w:eastAsia="zh-CN"/>
              </w:rPr>
              <w:t>2 997</w:t>
            </w:r>
          </w:p>
        </w:tc>
        <w:tc>
          <w:tcPr>
            <w:tcW w:w="1418" w:type="dxa"/>
            <w:tcBorders>
              <w:left w:val="single" w:sz="4" w:space="0" w:color="auto"/>
              <w:right w:val="single" w:sz="4" w:space="0" w:color="auto"/>
            </w:tcBorders>
            <w:vAlign w:val="bottom"/>
          </w:tcPr>
          <w:p w14:paraId="3825CB86" w14:textId="77777777" w:rsidR="00761B6C" w:rsidRPr="0061620A" w:rsidRDefault="00761B6C" w:rsidP="0061620A">
            <w:pPr>
              <w:pStyle w:val="Tabletext"/>
              <w:keepNext/>
              <w:keepLines/>
              <w:spacing w:before="20" w:after="20"/>
              <w:jc w:val="right"/>
              <w:rPr>
                <w:sz w:val="20"/>
                <w:lang w:eastAsia="zh-CN"/>
              </w:rPr>
            </w:pPr>
            <w:r w:rsidRPr="0061620A">
              <w:rPr>
                <w:rFonts w:cs="Arial"/>
                <w:color w:val="000000"/>
                <w:sz w:val="20"/>
                <w:lang w:eastAsia="zh-CN"/>
              </w:rPr>
              <w:t>1 208</w:t>
            </w:r>
          </w:p>
        </w:tc>
      </w:tr>
      <w:tr w:rsidR="00761B6C" w:rsidRPr="00236418" w14:paraId="330C29C6" w14:textId="77777777" w:rsidTr="0061620A">
        <w:trPr>
          <w:trHeight w:val="20"/>
          <w:jc w:val="center"/>
        </w:trPr>
        <w:tc>
          <w:tcPr>
            <w:tcW w:w="5949" w:type="dxa"/>
            <w:tcBorders>
              <w:left w:val="single" w:sz="4" w:space="0" w:color="auto"/>
              <w:right w:val="single" w:sz="4" w:space="0" w:color="auto"/>
            </w:tcBorders>
            <w:shd w:val="clear" w:color="auto" w:fill="auto"/>
            <w:noWrap/>
            <w:vAlign w:val="center"/>
          </w:tcPr>
          <w:p w14:paraId="4A4740E0" w14:textId="77777777" w:rsidR="00761B6C" w:rsidRPr="00236418" w:rsidRDefault="00761B6C" w:rsidP="0061620A">
            <w:pPr>
              <w:pStyle w:val="Tabletext"/>
              <w:keepNext/>
              <w:keepLines/>
              <w:tabs>
                <w:tab w:val="left" w:pos="308"/>
              </w:tabs>
              <w:spacing w:before="20" w:after="20"/>
              <w:rPr>
                <w:szCs w:val="22"/>
                <w:lang w:eastAsia="zh-CN"/>
              </w:rPr>
            </w:pPr>
            <w:r w:rsidRPr="00236418">
              <w:rPr>
                <w:szCs w:val="22"/>
                <w:lang w:eastAsia="zh-CN"/>
              </w:rPr>
              <w:tab/>
              <w:t>Assurance maladie et assurance accident</w:t>
            </w:r>
          </w:p>
        </w:tc>
        <w:tc>
          <w:tcPr>
            <w:tcW w:w="1559" w:type="dxa"/>
            <w:tcBorders>
              <w:left w:val="single" w:sz="4" w:space="0" w:color="auto"/>
              <w:right w:val="single" w:sz="4" w:space="0" w:color="auto"/>
            </w:tcBorders>
          </w:tcPr>
          <w:p w14:paraId="2A90BFF9" w14:textId="77777777" w:rsidR="00761B6C" w:rsidRPr="0061620A" w:rsidRDefault="00761B6C" w:rsidP="0061620A">
            <w:pPr>
              <w:pStyle w:val="Tabletext"/>
              <w:keepNext/>
              <w:keepLines/>
              <w:spacing w:before="20" w:after="20"/>
              <w:jc w:val="right"/>
              <w:rPr>
                <w:sz w:val="20"/>
                <w:lang w:eastAsia="zh-CN"/>
              </w:rPr>
            </w:pPr>
            <w:r w:rsidRPr="0061620A">
              <w:rPr>
                <w:sz w:val="20"/>
                <w:lang w:eastAsia="zh-CN"/>
              </w:rPr>
              <w:t>9 453</w:t>
            </w:r>
          </w:p>
        </w:tc>
        <w:tc>
          <w:tcPr>
            <w:tcW w:w="1418" w:type="dxa"/>
            <w:tcBorders>
              <w:left w:val="single" w:sz="4" w:space="0" w:color="auto"/>
              <w:right w:val="single" w:sz="4" w:space="0" w:color="auto"/>
            </w:tcBorders>
            <w:vAlign w:val="bottom"/>
          </w:tcPr>
          <w:p w14:paraId="0E216AD5" w14:textId="77777777" w:rsidR="00761B6C" w:rsidRPr="0061620A" w:rsidRDefault="00761B6C" w:rsidP="0061620A">
            <w:pPr>
              <w:pStyle w:val="Tabletext"/>
              <w:keepNext/>
              <w:keepLines/>
              <w:spacing w:before="20" w:after="20"/>
              <w:jc w:val="right"/>
              <w:rPr>
                <w:sz w:val="20"/>
                <w:lang w:eastAsia="zh-CN"/>
              </w:rPr>
            </w:pPr>
            <w:r w:rsidRPr="0061620A">
              <w:rPr>
                <w:rFonts w:cs="Arial"/>
                <w:color w:val="000000"/>
                <w:sz w:val="20"/>
                <w:lang w:eastAsia="zh-CN"/>
              </w:rPr>
              <w:t>10 934</w:t>
            </w:r>
          </w:p>
        </w:tc>
      </w:tr>
      <w:tr w:rsidR="00761B6C" w:rsidRPr="00236418" w14:paraId="54175B7A" w14:textId="77777777" w:rsidTr="0061620A">
        <w:trPr>
          <w:trHeight w:val="20"/>
          <w:jc w:val="center"/>
        </w:trPr>
        <w:tc>
          <w:tcPr>
            <w:tcW w:w="5949" w:type="dxa"/>
            <w:tcBorders>
              <w:left w:val="single" w:sz="4" w:space="0" w:color="auto"/>
              <w:right w:val="single" w:sz="4" w:space="0" w:color="auto"/>
            </w:tcBorders>
            <w:shd w:val="clear" w:color="auto" w:fill="auto"/>
            <w:noWrap/>
            <w:vAlign w:val="center"/>
          </w:tcPr>
          <w:p w14:paraId="74AB53D6" w14:textId="77777777" w:rsidR="00761B6C" w:rsidRPr="00236418" w:rsidRDefault="00761B6C" w:rsidP="0061620A">
            <w:pPr>
              <w:pStyle w:val="Tabletext"/>
              <w:keepNext/>
              <w:keepLines/>
              <w:tabs>
                <w:tab w:val="left" w:pos="308"/>
              </w:tabs>
              <w:spacing w:before="20" w:after="20"/>
              <w:rPr>
                <w:szCs w:val="22"/>
                <w:lang w:eastAsia="zh-CN"/>
              </w:rPr>
            </w:pPr>
            <w:r w:rsidRPr="00236418">
              <w:rPr>
                <w:szCs w:val="22"/>
                <w:lang w:eastAsia="zh-CN"/>
              </w:rPr>
              <w:tab/>
              <w:t>Contribution à la CCPPNU</w:t>
            </w:r>
          </w:p>
        </w:tc>
        <w:tc>
          <w:tcPr>
            <w:tcW w:w="1559" w:type="dxa"/>
            <w:tcBorders>
              <w:left w:val="single" w:sz="4" w:space="0" w:color="auto"/>
              <w:right w:val="single" w:sz="4" w:space="0" w:color="auto"/>
            </w:tcBorders>
          </w:tcPr>
          <w:p w14:paraId="6BBC40CF" w14:textId="77777777" w:rsidR="00761B6C" w:rsidRPr="0061620A" w:rsidRDefault="00761B6C" w:rsidP="0061620A">
            <w:pPr>
              <w:pStyle w:val="Tabletext"/>
              <w:keepNext/>
              <w:keepLines/>
              <w:spacing w:before="20" w:after="20"/>
              <w:jc w:val="right"/>
              <w:rPr>
                <w:sz w:val="20"/>
                <w:lang w:eastAsia="zh-CN"/>
              </w:rPr>
            </w:pPr>
            <w:r w:rsidRPr="0061620A">
              <w:rPr>
                <w:sz w:val="20"/>
                <w:lang w:eastAsia="zh-CN"/>
              </w:rPr>
              <w:t>17 186</w:t>
            </w:r>
          </w:p>
        </w:tc>
        <w:tc>
          <w:tcPr>
            <w:tcW w:w="1418" w:type="dxa"/>
            <w:tcBorders>
              <w:left w:val="single" w:sz="4" w:space="0" w:color="auto"/>
              <w:right w:val="single" w:sz="4" w:space="0" w:color="auto"/>
            </w:tcBorders>
            <w:vAlign w:val="bottom"/>
          </w:tcPr>
          <w:p w14:paraId="300F4002" w14:textId="77777777" w:rsidR="00761B6C" w:rsidRPr="0061620A" w:rsidRDefault="00761B6C" w:rsidP="0061620A">
            <w:pPr>
              <w:pStyle w:val="Tabletext"/>
              <w:keepNext/>
              <w:keepLines/>
              <w:spacing w:before="20" w:after="20"/>
              <w:jc w:val="right"/>
              <w:rPr>
                <w:sz w:val="20"/>
                <w:lang w:eastAsia="zh-CN"/>
              </w:rPr>
            </w:pPr>
            <w:r w:rsidRPr="0061620A">
              <w:rPr>
                <w:rFonts w:cs="Arial"/>
                <w:color w:val="000000"/>
                <w:sz w:val="20"/>
                <w:lang w:eastAsia="zh-CN"/>
              </w:rPr>
              <w:t>17 259</w:t>
            </w:r>
          </w:p>
        </w:tc>
      </w:tr>
      <w:tr w:rsidR="00761B6C" w:rsidRPr="00236418" w14:paraId="0F56DF78" w14:textId="77777777" w:rsidTr="0061620A">
        <w:trPr>
          <w:trHeight w:val="20"/>
          <w:jc w:val="center"/>
        </w:trPr>
        <w:tc>
          <w:tcPr>
            <w:tcW w:w="5949" w:type="dxa"/>
            <w:tcBorders>
              <w:left w:val="single" w:sz="4" w:space="0" w:color="auto"/>
              <w:right w:val="single" w:sz="4" w:space="0" w:color="auto"/>
            </w:tcBorders>
            <w:shd w:val="clear" w:color="auto" w:fill="auto"/>
            <w:noWrap/>
            <w:vAlign w:val="center"/>
          </w:tcPr>
          <w:p w14:paraId="1F1D2D7D" w14:textId="77777777" w:rsidR="00761B6C" w:rsidRPr="00236418" w:rsidRDefault="00761B6C" w:rsidP="0061620A">
            <w:pPr>
              <w:pStyle w:val="Tabletext"/>
              <w:keepNext/>
              <w:keepLines/>
              <w:tabs>
                <w:tab w:val="left" w:pos="308"/>
              </w:tabs>
              <w:spacing w:before="20" w:after="20"/>
              <w:rPr>
                <w:szCs w:val="22"/>
                <w:lang w:eastAsia="zh-CN"/>
              </w:rPr>
            </w:pPr>
            <w:r w:rsidRPr="00236418">
              <w:rPr>
                <w:szCs w:val="22"/>
                <w:lang w:eastAsia="zh-CN"/>
              </w:rPr>
              <w:tab/>
              <w:t>Autres charges</w:t>
            </w:r>
          </w:p>
        </w:tc>
        <w:tc>
          <w:tcPr>
            <w:tcW w:w="1559" w:type="dxa"/>
            <w:tcBorders>
              <w:left w:val="single" w:sz="4" w:space="0" w:color="auto"/>
              <w:right w:val="single" w:sz="4" w:space="0" w:color="auto"/>
            </w:tcBorders>
          </w:tcPr>
          <w:p w14:paraId="3D66E9E7" w14:textId="77777777" w:rsidR="00761B6C" w:rsidRPr="0061620A" w:rsidRDefault="00761B6C" w:rsidP="0061620A">
            <w:pPr>
              <w:pStyle w:val="Tabletext"/>
              <w:keepNext/>
              <w:keepLines/>
              <w:spacing w:before="20" w:after="20"/>
              <w:jc w:val="right"/>
              <w:rPr>
                <w:sz w:val="20"/>
                <w:lang w:eastAsia="zh-CN"/>
              </w:rPr>
            </w:pPr>
            <w:r w:rsidRPr="0061620A">
              <w:rPr>
                <w:sz w:val="20"/>
                <w:lang w:eastAsia="zh-CN"/>
              </w:rPr>
              <w:t>1 291</w:t>
            </w:r>
          </w:p>
        </w:tc>
        <w:tc>
          <w:tcPr>
            <w:tcW w:w="1418" w:type="dxa"/>
            <w:tcBorders>
              <w:left w:val="single" w:sz="4" w:space="0" w:color="auto"/>
              <w:right w:val="single" w:sz="4" w:space="0" w:color="auto"/>
            </w:tcBorders>
            <w:vAlign w:val="bottom"/>
          </w:tcPr>
          <w:p w14:paraId="3028266D" w14:textId="77777777" w:rsidR="00761B6C" w:rsidRPr="0061620A" w:rsidRDefault="00761B6C" w:rsidP="0061620A">
            <w:pPr>
              <w:pStyle w:val="Tabletext"/>
              <w:keepNext/>
              <w:keepLines/>
              <w:spacing w:before="20" w:after="20"/>
              <w:jc w:val="right"/>
              <w:rPr>
                <w:sz w:val="20"/>
                <w:lang w:eastAsia="zh-CN"/>
              </w:rPr>
            </w:pPr>
            <w:r w:rsidRPr="0061620A">
              <w:rPr>
                <w:rFonts w:cs="Arial"/>
                <w:color w:val="000000"/>
                <w:sz w:val="20"/>
                <w:lang w:eastAsia="zh-CN"/>
              </w:rPr>
              <w:t>596</w:t>
            </w:r>
          </w:p>
        </w:tc>
      </w:tr>
      <w:tr w:rsidR="00761B6C" w:rsidRPr="00236418" w14:paraId="3100C38A" w14:textId="77777777" w:rsidTr="0061620A">
        <w:trPr>
          <w:trHeight w:val="20"/>
          <w:jc w:val="center"/>
        </w:trPr>
        <w:tc>
          <w:tcPr>
            <w:tcW w:w="5949" w:type="dxa"/>
            <w:tcBorders>
              <w:left w:val="single" w:sz="4" w:space="0" w:color="auto"/>
              <w:bottom w:val="single" w:sz="4" w:space="0" w:color="auto"/>
              <w:right w:val="single" w:sz="4" w:space="0" w:color="auto"/>
            </w:tcBorders>
            <w:shd w:val="clear" w:color="auto" w:fill="auto"/>
            <w:noWrap/>
            <w:vAlign w:val="center"/>
          </w:tcPr>
          <w:p w14:paraId="12C7B718" w14:textId="77777777" w:rsidR="00761B6C" w:rsidRPr="00236418" w:rsidRDefault="00761B6C" w:rsidP="0061620A">
            <w:pPr>
              <w:pStyle w:val="Tabletext"/>
              <w:keepNext/>
              <w:keepLines/>
              <w:tabs>
                <w:tab w:val="left" w:pos="308"/>
              </w:tabs>
              <w:spacing w:before="20" w:after="20"/>
              <w:rPr>
                <w:szCs w:val="22"/>
                <w:lang w:eastAsia="zh-CN"/>
              </w:rPr>
            </w:pPr>
            <w:r w:rsidRPr="00236418">
              <w:rPr>
                <w:szCs w:val="22"/>
                <w:lang w:eastAsia="zh-CN"/>
              </w:rPr>
              <w:tab/>
              <w:t>Ajustement de l</w:t>
            </w:r>
            <w:r>
              <w:rPr>
                <w:szCs w:val="22"/>
                <w:lang w:eastAsia="zh-CN"/>
              </w:rPr>
              <w:t>'</w:t>
            </w:r>
            <w:r w:rsidRPr="00236418">
              <w:rPr>
                <w:szCs w:val="22"/>
                <w:lang w:eastAsia="zh-CN"/>
              </w:rPr>
              <w:t>ASHI</w:t>
            </w:r>
          </w:p>
        </w:tc>
        <w:tc>
          <w:tcPr>
            <w:tcW w:w="1559" w:type="dxa"/>
            <w:tcBorders>
              <w:left w:val="single" w:sz="4" w:space="0" w:color="auto"/>
              <w:bottom w:val="single" w:sz="4" w:space="0" w:color="auto"/>
              <w:right w:val="single" w:sz="4" w:space="0" w:color="auto"/>
            </w:tcBorders>
          </w:tcPr>
          <w:p w14:paraId="12C7C58D" w14:textId="77777777" w:rsidR="00761B6C" w:rsidRPr="0061620A" w:rsidRDefault="00761B6C" w:rsidP="0061620A">
            <w:pPr>
              <w:pStyle w:val="Tabletext"/>
              <w:keepNext/>
              <w:keepLines/>
              <w:spacing w:before="20" w:after="20"/>
              <w:jc w:val="right"/>
              <w:rPr>
                <w:sz w:val="20"/>
                <w:lang w:eastAsia="zh-CN"/>
              </w:rPr>
            </w:pPr>
            <w:r w:rsidRPr="0061620A">
              <w:rPr>
                <w:sz w:val="20"/>
                <w:lang w:eastAsia="zh-CN"/>
              </w:rPr>
              <w:t>22 789</w:t>
            </w:r>
          </w:p>
        </w:tc>
        <w:tc>
          <w:tcPr>
            <w:tcW w:w="1418" w:type="dxa"/>
            <w:tcBorders>
              <w:left w:val="single" w:sz="4" w:space="0" w:color="auto"/>
              <w:bottom w:val="single" w:sz="4" w:space="0" w:color="auto"/>
              <w:right w:val="single" w:sz="4" w:space="0" w:color="auto"/>
            </w:tcBorders>
            <w:vAlign w:val="bottom"/>
          </w:tcPr>
          <w:p w14:paraId="14F25DAF" w14:textId="77777777" w:rsidR="00761B6C" w:rsidRPr="0061620A" w:rsidRDefault="00761B6C" w:rsidP="0061620A">
            <w:pPr>
              <w:pStyle w:val="Tabletext"/>
              <w:keepNext/>
              <w:keepLines/>
              <w:spacing w:before="20" w:after="20"/>
              <w:jc w:val="right"/>
              <w:rPr>
                <w:sz w:val="20"/>
                <w:lang w:eastAsia="zh-CN"/>
              </w:rPr>
            </w:pPr>
            <w:r w:rsidRPr="0061620A">
              <w:rPr>
                <w:rFonts w:cs="Arial"/>
                <w:color w:val="000000"/>
                <w:sz w:val="20"/>
                <w:lang w:eastAsia="zh-CN"/>
              </w:rPr>
              <w:t>71 694</w:t>
            </w:r>
          </w:p>
        </w:tc>
      </w:tr>
      <w:tr w:rsidR="00761B6C" w:rsidRPr="00236418" w14:paraId="145F98BC" w14:textId="77777777" w:rsidTr="0061620A">
        <w:trPr>
          <w:trHeight w:val="20"/>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A4B1F" w14:textId="77777777" w:rsidR="00761B6C" w:rsidRPr="00236418" w:rsidRDefault="00761B6C" w:rsidP="0061620A">
            <w:pPr>
              <w:pStyle w:val="Tabletext"/>
              <w:keepNext/>
              <w:keepLines/>
              <w:spacing w:before="20" w:after="20"/>
              <w:rPr>
                <w:b/>
                <w:bCs/>
                <w:szCs w:val="22"/>
                <w:lang w:eastAsia="zh-CN"/>
              </w:rPr>
            </w:pPr>
            <w:r w:rsidRPr="00236418">
              <w:rPr>
                <w:b/>
                <w:bCs/>
                <w:szCs w:val="22"/>
                <w:lang w:eastAsia="zh-CN"/>
              </w:rPr>
              <w:t>Charges du personnel</w:t>
            </w:r>
          </w:p>
        </w:tc>
        <w:tc>
          <w:tcPr>
            <w:tcW w:w="1559" w:type="dxa"/>
            <w:tcBorders>
              <w:top w:val="single" w:sz="4" w:space="0" w:color="auto"/>
              <w:left w:val="single" w:sz="4" w:space="0" w:color="auto"/>
              <w:bottom w:val="single" w:sz="4" w:space="0" w:color="auto"/>
              <w:right w:val="single" w:sz="4" w:space="0" w:color="auto"/>
            </w:tcBorders>
          </w:tcPr>
          <w:p w14:paraId="74008A66" w14:textId="77777777" w:rsidR="00761B6C" w:rsidRPr="00236418" w:rsidRDefault="00761B6C" w:rsidP="0061620A">
            <w:pPr>
              <w:pStyle w:val="Tabletext"/>
              <w:keepNext/>
              <w:keepLines/>
              <w:spacing w:before="20" w:after="20"/>
              <w:jc w:val="right"/>
              <w:rPr>
                <w:b/>
                <w:bCs/>
                <w:sz w:val="20"/>
                <w:lang w:eastAsia="zh-CN"/>
              </w:rPr>
            </w:pPr>
            <w:r>
              <w:rPr>
                <w:b/>
                <w:bCs/>
                <w:sz w:val="20"/>
                <w:lang w:eastAsia="zh-CN"/>
              </w:rPr>
              <w:t>153 825</w:t>
            </w:r>
          </w:p>
        </w:tc>
        <w:tc>
          <w:tcPr>
            <w:tcW w:w="1418" w:type="dxa"/>
            <w:tcBorders>
              <w:top w:val="single" w:sz="4" w:space="0" w:color="auto"/>
              <w:left w:val="single" w:sz="4" w:space="0" w:color="auto"/>
              <w:bottom w:val="single" w:sz="4" w:space="0" w:color="auto"/>
              <w:right w:val="single" w:sz="4" w:space="0" w:color="auto"/>
            </w:tcBorders>
            <w:vAlign w:val="center"/>
          </w:tcPr>
          <w:p w14:paraId="53CA565A" w14:textId="77777777" w:rsidR="00761B6C" w:rsidRPr="00236418" w:rsidRDefault="00761B6C" w:rsidP="0061620A">
            <w:pPr>
              <w:pStyle w:val="Tabletext"/>
              <w:keepNext/>
              <w:keepLines/>
              <w:spacing w:before="20" w:after="20"/>
              <w:jc w:val="right"/>
              <w:rPr>
                <w:b/>
                <w:bCs/>
                <w:sz w:val="20"/>
                <w:lang w:eastAsia="zh-CN"/>
              </w:rPr>
            </w:pPr>
            <w:r w:rsidRPr="00236418">
              <w:rPr>
                <w:rFonts w:cs="Arial"/>
                <w:b/>
                <w:bCs/>
                <w:color w:val="000000"/>
                <w:sz w:val="20"/>
                <w:lang w:eastAsia="zh-CN"/>
              </w:rPr>
              <w:t>203 942</w:t>
            </w:r>
          </w:p>
        </w:tc>
      </w:tr>
    </w:tbl>
    <w:p w14:paraId="32731633" w14:textId="77777777" w:rsidR="00761B6C" w:rsidRPr="00432794" w:rsidRDefault="00761B6C" w:rsidP="00761B6C">
      <w:pPr>
        <w:spacing w:before="240"/>
      </w:pPr>
      <w:r w:rsidRPr="00D63794">
        <w:t xml:space="preserve">En 2020, </w:t>
      </w:r>
      <w:r>
        <w:t xml:space="preserve">les </w:t>
      </w:r>
      <w:r w:rsidRPr="00D63794">
        <w:t>c</w:t>
      </w:r>
      <w:r>
        <w:t xml:space="preserve">harges de personnel sont revenues à un niveau analogue à 2018 et aux années précédentes. </w:t>
      </w:r>
      <w:r w:rsidRPr="00ED43FB">
        <w:t>Le niveau particulièrement élevé constaté en 2019 était d</w:t>
      </w:r>
      <w:r>
        <w:t>û</w:t>
      </w:r>
      <w:r w:rsidRPr="00ED43FB">
        <w:t xml:space="preserve"> à l</w:t>
      </w:r>
      <w:r>
        <w:t xml:space="preserve">'ajustement unique de l'ASHI (50 millions CHF) à la suite du passage du </w:t>
      </w:r>
      <w:r>
        <w:rPr>
          <w:color w:val="000000"/>
        </w:rPr>
        <w:t>régime</w:t>
      </w:r>
      <w:r w:rsidDel="008F1979">
        <w:t xml:space="preserve"> </w:t>
      </w:r>
      <w:r>
        <w:t>d'assurance maladie CIGNA à UNSMIS.</w:t>
      </w:r>
    </w:p>
    <w:p w14:paraId="04277B52" w14:textId="77777777" w:rsidR="00761B6C" w:rsidRPr="00ED43FB" w:rsidRDefault="00761B6C" w:rsidP="0061620A">
      <w:r w:rsidRPr="00ED43FB">
        <w:t>En raison de la p</w:t>
      </w:r>
      <w:r>
        <w:t>andémie, et comme indiqué dans la Note 17.2, les membres du personnel n'ont pas utilisé leurs congés annuels, ce qui a entraîné une augmentation des coûts liés aux congés accumulés</w:t>
      </w:r>
      <w:r w:rsidRPr="00ED43FB">
        <w:t>.</w:t>
      </w:r>
    </w:p>
    <w:p w14:paraId="79B2B5A1" w14:textId="77777777" w:rsidR="00761B6C" w:rsidRPr="00ED43FB" w:rsidRDefault="00761B6C" w:rsidP="003A1E34">
      <w:pPr>
        <w:pStyle w:val="Headingb"/>
      </w:pPr>
      <w:bookmarkStart w:id="2199" w:name="_Toc329202598"/>
      <w:bookmarkStart w:id="2200" w:name="_Toc329205030"/>
      <w:bookmarkStart w:id="2201" w:name="_Toc329206867"/>
      <w:bookmarkStart w:id="2202" w:name="_Toc358379948"/>
      <w:bookmarkStart w:id="2203" w:name="_Toc358380491"/>
      <w:bookmarkStart w:id="2204" w:name="_Toc387167491"/>
      <w:bookmarkStart w:id="2205" w:name="_Toc482888037"/>
      <w:bookmarkStart w:id="2206" w:name="_Toc482888071"/>
      <w:bookmarkStart w:id="2207" w:name="_Toc482888380"/>
      <w:bookmarkStart w:id="2208" w:name="_Toc482888779"/>
      <w:bookmarkStart w:id="2209" w:name="_Toc511649494"/>
      <w:bookmarkStart w:id="2210" w:name="_Toc511649980"/>
      <w:bookmarkStart w:id="2211" w:name="_Toc511650100"/>
      <w:bookmarkStart w:id="2212" w:name="_Toc511650594"/>
      <w:bookmarkStart w:id="2213" w:name="_Toc511651240"/>
      <w:bookmarkStart w:id="2214" w:name="_Toc511724103"/>
      <w:bookmarkStart w:id="2215" w:name="_Toc511739092"/>
      <w:bookmarkStart w:id="2216" w:name="_Toc511740825"/>
      <w:bookmarkStart w:id="2217" w:name="_Toc511741263"/>
      <w:bookmarkStart w:id="2218" w:name="_Toc10450776"/>
      <w:bookmarkStart w:id="2219" w:name="_Toc41567376"/>
      <w:bookmarkStart w:id="2220" w:name="_Toc73356446"/>
      <w:r w:rsidRPr="00ED43FB">
        <w:t>Frais de mission</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p>
    <w:p w14:paraId="57EECE35" w14:textId="77777777" w:rsidR="00761B6C" w:rsidRPr="00786AB4" w:rsidRDefault="00761B6C" w:rsidP="00761B6C">
      <w:pPr>
        <w:rPr>
          <w:color w:val="000000"/>
        </w:rPr>
      </w:pPr>
      <w:r w:rsidRPr="00ED43FB">
        <w:t>Les frais de mission o</w:t>
      </w:r>
      <w:r>
        <w:t>nt diminué de 87%, tombant de 7,7 millions CHF en 2019 à 1 million CHF en 2020, principalement en raison des interdictions et des restrictions concernant les voyages, de l'annulation ou du report des missions et des incidences de la pandémie sur les profils de déplacement en termes d'affectation et de rapatriement</w:t>
      </w:r>
      <w:r w:rsidRPr="00786AB4">
        <w:t>.</w:t>
      </w:r>
    </w:p>
    <w:p w14:paraId="7F69B6AB" w14:textId="77777777" w:rsidR="00761B6C" w:rsidRPr="00236418" w:rsidRDefault="00761B6C" w:rsidP="003A1E34">
      <w:pPr>
        <w:pStyle w:val="Headingb"/>
      </w:pPr>
      <w:bookmarkStart w:id="2221" w:name="_Toc329178799"/>
      <w:bookmarkStart w:id="2222" w:name="_Toc329181772"/>
      <w:bookmarkStart w:id="2223" w:name="_Toc268007565"/>
      <w:bookmarkStart w:id="2224" w:name="_Toc329202599"/>
      <w:bookmarkStart w:id="2225" w:name="_Toc329205031"/>
      <w:bookmarkStart w:id="2226" w:name="_Toc329206868"/>
      <w:bookmarkStart w:id="2227" w:name="_Toc358379949"/>
      <w:bookmarkStart w:id="2228" w:name="_Toc358380492"/>
      <w:bookmarkStart w:id="2229" w:name="_Toc387167492"/>
      <w:bookmarkStart w:id="2230" w:name="_Toc482888038"/>
      <w:bookmarkStart w:id="2231" w:name="_Toc482888072"/>
      <w:bookmarkStart w:id="2232" w:name="_Toc482888381"/>
      <w:bookmarkStart w:id="2233" w:name="_Toc482888780"/>
      <w:bookmarkStart w:id="2234" w:name="_Toc511649495"/>
      <w:bookmarkStart w:id="2235" w:name="_Toc511649981"/>
      <w:bookmarkStart w:id="2236" w:name="_Toc511650101"/>
      <w:bookmarkStart w:id="2237" w:name="_Toc511650595"/>
      <w:bookmarkStart w:id="2238" w:name="_Toc511651241"/>
      <w:bookmarkStart w:id="2239" w:name="_Toc511724104"/>
      <w:bookmarkStart w:id="2240" w:name="_Toc511739093"/>
      <w:bookmarkStart w:id="2241" w:name="_Toc511740826"/>
      <w:bookmarkStart w:id="2242" w:name="_Toc511741264"/>
      <w:bookmarkStart w:id="2243" w:name="_Toc10450777"/>
      <w:bookmarkStart w:id="2244" w:name="_Toc41567377"/>
      <w:bookmarkStart w:id="2245" w:name="_Toc73356447"/>
      <w:r w:rsidRPr="00236418">
        <w:t>Services contractuels</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p>
    <w:p w14:paraId="1591C226" w14:textId="09E4D106" w:rsidR="00761B6C" w:rsidRPr="00236418" w:rsidRDefault="00761B6C" w:rsidP="00761B6C">
      <w:r w:rsidRPr="00236418">
        <w:t>Entrent dans cette catégorie tous les émoluments, honoraires et frais payés à des sociétés fournissant des consultants dans le cadre d</w:t>
      </w:r>
      <w:r>
        <w:t>'</w:t>
      </w:r>
      <w:r w:rsidRPr="00236418">
        <w:t>accords et de dispositions contractuels. Entrent également dans cette catégorie les contrats d</w:t>
      </w:r>
      <w:r>
        <w:t>'</w:t>
      </w:r>
      <w:r w:rsidRPr="00236418">
        <w:t>engagement spécia</w:t>
      </w:r>
      <w:r w:rsidR="0061620A">
        <w:t>ux, les dépenses afférentes aux </w:t>
      </w:r>
      <w:r w:rsidRPr="00236418">
        <w:t>cours de langues dans le cadre de la formation professionnelle, tout comme les coûts des</w:t>
      </w:r>
      <w:r w:rsidR="0061620A">
        <w:t> </w:t>
      </w:r>
      <w:r w:rsidRPr="00236418">
        <w:t>services sous-traités. Les services contractuels représentaient 1</w:t>
      </w:r>
      <w:r>
        <w:t>4</w:t>
      </w:r>
      <w:r w:rsidRPr="00236418">
        <w:t>,</w:t>
      </w:r>
      <w:r>
        <w:t>5</w:t>
      </w:r>
      <w:r w:rsidRPr="00236418">
        <w:t xml:space="preserve"> millions CHF en 20</w:t>
      </w:r>
      <w:r>
        <w:t>20</w:t>
      </w:r>
      <w:r w:rsidRPr="00236418">
        <w:t xml:space="preserve"> (contre 1</w:t>
      </w:r>
      <w:r>
        <w:t>3</w:t>
      </w:r>
      <w:r w:rsidRPr="00236418">
        <w:t>,</w:t>
      </w:r>
      <w:r>
        <w:t>8</w:t>
      </w:r>
      <w:r w:rsidRPr="00236418">
        <w:t> millions CHF en 201</w:t>
      </w:r>
      <w:r>
        <w:t>9</w:t>
      </w:r>
      <w:r w:rsidRPr="00236418">
        <w:t>). Une situation détaillée est donnée dans la Note 24</w:t>
      </w:r>
      <w:r w:rsidRPr="00236418">
        <w:rPr>
          <w:color w:val="000000"/>
        </w:rPr>
        <w:t xml:space="preserve"> (Présentation de l</w:t>
      </w:r>
      <w:r>
        <w:rPr>
          <w:color w:val="000000"/>
        </w:rPr>
        <w:t>'</w:t>
      </w:r>
      <w:r w:rsidRPr="00236418">
        <w:rPr>
          <w:color w:val="000000"/>
        </w:rPr>
        <w:t>information sectorielle).</w:t>
      </w:r>
    </w:p>
    <w:p w14:paraId="13D1E162" w14:textId="77777777" w:rsidR="00761B6C" w:rsidRPr="00236418" w:rsidRDefault="00761B6C" w:rsidP="003A1E34">
      <w:pPr>
        <w:pStyle w:val="Headingb"/>
      </w:pPr>
      <w:bookmarkStart w:id="2246" w:name="_Toc329178800"/>
      <w:bookmarkStart w:id="2247" w:name="_Toc329181773"/>
      <w:bookmarkStart w:id="2248" w:name="_Toc329202600"/>
      <w:bookmarkStart w:id="2249" w:name="_Toc329205032"/>
      <w:bookmarkStart w:id="2250" w:name="_Toc329206869"/>
      <w:bookmarkStart w:id="2251" w:name="_Toc358379950"/>
      <w:bookmarkStart w:id="2252" w:name="_Toc358380493"/>
      <w:bookmarkStart w:id="2253" w:name="_Toc387167493"/>
      <w:bookmarkStart w:id="2254" w:name="_Toc482888039"/>
      <w:bookmarkStart w:id="2255" w:name="_Toc482888073"/>
      <w:bookmarkStart w:id="2256" w:name="_Toc482888382"/>
      <w:bookmarkStart w:id="2257" w:name="_Toc482888781"/>
      <w:bookmarkStart w:id="2258" w:name="_Toc511649496"/>
      <w:bookmarkStart w:id="2259" w:name="_Toc511649982"/>
      <w:bookmarkStart w:id="2260" w:name="_Toc511650102"/>
      <w:bookmarkStart w:id="2261" w:name="_Toc511650596"/>
      <w:bookmarkStart w:id="2262" w:name="_Toc511651242"/>
      <w:bookmarkStart w:id="2263" w:name="_Toc511724105"/>
      <w:bookmarkStart w:id="2264" w:name="_Toc511739094"/>
      <w:bookmarkStart w:id="2265" w:name="_Toc511740827"/>
      <w:bookmarkStart w:id="2266" w:name="_Toc511741265"/>
      <w:bookmarkStart w:id="2267" w:name="_Toc10450778"/>
      <w:bookmarkStart w:id="2268" w:name="_Toc41567378"/>
      <w:bookmarkStart w:id="2269" w:name="_Toc73356448"/>
      <w:bookmarkStart w:id="2270" w:name="_Toc268007566"/>
      <w:r w:rsidRPr="00236418">
        <w:t>Location et entretien des locaux et équipements</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14:paraId="75C01B34" w14:textId="77777777" w:rsidR="00761B6C" w:rsidRPr="00236418" w:rsidRDefault="00761B6C" w:rsidP="00761B6C">
      <w:r w:rsidRPr="00236418">
        <w:t>Relèvent de cette catégorie la location de salles de conférence et de salles de réunion, de lieux de stockage et de places de parking, d</w:t>
      </w:r>
      <w:r>
        <w:t>'</w:t>
      </w:r>
      <w:r w:rsidRPr="00236418">
        <w:t>équipements informatiques et d</w:t>
      </w:r>
      <w:r>
        <w:t>'</w:t>
      </w:r>
      <w:r w:rsidRPr="00236418">
        <w:t>autres machines de bureau. Sont également compris l</w:t>
      </w:r>
      <w:r>
        <w:t>'</w:t>
      </w:r>
      <w:r w:rsidRPr="00236418">
        <w:t>entretien des bâtiments, des espaces verts, des véhicules, des équipements techniques et informatiques et les assurances contre les incendies, les inondations et les dommages divers. Le montant de ces dépenses pour 2019 s</w:t>
      </w:r>
      <w:r>
        <w:t>'</w:t>
      </w:r>
      <w:r w:rsidRPr="00236418">
        <w:t xml:space="preserve">élevait à </w:t>
      </w:r>
      <w:r>
        <w:t>3</w:t>
      </w:r>
      <w:r w:rsidRPr="00236418">
        <w:t xml:space="preserve"> millions CHF </w:t>
      </w:r>
      <w:r>
        <w:t xml:space="preserve">en 2020 </w:t>
      </w:r>
      <w:r w:rsidRPr="00236418">
        <w:t>(contre </w:t>
      </w:r>
      <w:r>
        <w:t>4</w:t>
      </w:r>
      <w:r w:rsidRPr="00236418">
        <w:t>,</w:t>
      </w:r>
      <w:r>
        <w:t>1</w:t>
      </w:r>
      <w:r w:rsidRPr="00236418">
        <w:t xml:space="preserve"> millions CHF en 201</w:t>
      </w:r>
      <w:r>
        <w:t>9</w:t>
      </w:r>
      <w:r w:rsidRPr="00236418">
        <w:t>).</w:t>
      </w:r>
      <w:bookmarkStart w:id="2271" w:name="_Toc329178801"/>
      <w:bookmarkStart w:id="2272" w:name="_Toc329181774"/>
      <w:bookmarkStart w:id="2273" w:name="_Toc329202601"/>
      <w:bookmarkStart w:id="2274" w:name="_Toc329205033"/>
      <w:bookmarkStart w:id="2275" w:name="_Toc329206870"/>
      <w:bookmarkStart w:id="2276" w:name="_Toc358379951"/>
      <w:bookmarkStart w:id="2277" w:name="_Toc358380494"/>
    </w:p>
    <w:p w14:paraId="65E09957" w14:textId="77777777" w:rsidR="00761B6C" w:rsidRPr="00236418" w:rsidRDefault="00761B6C" w:rsidP="003A1E34">
      <w:pPr>
        <w:pStyle w:val="Headingb"/>
      </w:pPr>
      <w:bookmarkStart w:id="2278" w:name="_Toc387167494"/>
      <w:bookmarkStart w:id="2279" w:name="_Toc482888040"/>
      <w:bookmarkStart w:id="2280" w:name="_Toc482888074"/>
      <w:bookmarkStart w:id="2281" w:name="_Toc482888383"/>
      <w:bookmarkStart w:id="2282" w:name="_Toc482888782"/>
      <w:bookmarkStart w:id="2283" w:name="_Toc511649497"/>
      <w:bookmarkStart w:id="2284" w:name="_Toc511649983"/>
      <w:bookmarkStart w:id="2285" w:name="_Toc511650103"/>
      <w:bookmarkStart w:id="2286" w:name="_Toc511650597"/>
      <w:bookmarkStart w:id="2287" w:name="_Toc511651243"/>
      <w:bookmarkStart w:id="2288" w:name="_Toc511724106"/>
      <w:bookmarkStart w:id="2289" w:name="_Toc511739095"/>
      <w:bookmarkStart w:id="2290" w:name="_Toc511740828"/>
      <w:bookmarkStart w:id="2291" w:name="_Toc511741266"/>
      <w:bookmarkStart w:id="2292" w:name="_Toc10450779"/>
      <w:bookmarkStart w:id="2293" w:name="_Toc41567379"/>
      <w:bookmarkStart w:id="2294" w:name="_Toc73356449"/>
      <w:r w:rsidRPr="00236418">
        <w:lastRenderedPageBreak/>
        <w:t>Matériels et fournitures</w:t>
      </w:r>
      <w:bookmarkEnd w:id="2271"/>
      <w:bookmarkEnd w:id="2272"/>
      <w:bookmarkEnd w:id="2273"/>
      <w:bookmarkEnd w:id="2274"/>
      <w:bookmarkEnd w:id="2275"/>
      <w:bookmarkEnd w:id="2276"/>
      <w:bookmarkEnd w:id="2277"/>
      <w:r w:rsidRPr="00236418">
        <w:t>, frais d</w:t>
      </w:r>
      <w:r>
        <w:t>'</w:t>
      </w:r>
      <w:r w:rsidRPr="00236418">
        <w:t>expédition et de télécommunications et services</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14:paraId="74679DC2" w14:textId="77777777" w:rsidR="00761B6C" w:rsidRPr="00236418" w:rsidRDefault="00761B6C" w:rsidP="00761B6C">
      <w:pPr>
        <w:keepLines/>
      </w:pPr>
      <w:r w:rsidRPr="00236418">
        <w:t>Les matériels et fournitures comprennent les fournitures de bureau, les fournitures pour imprimantes, les formulaires, cartes, revues, livres et reliures, les fournitures informatiques et les logiciels informatiques qui ne sont pas activables.</w:t>
      </w:r>
      <w:bookmarkStart w:id="2295" w:name="_Toc329178802"/>
      <w:bookmarkStart w:id="2296" w:name="_Toc329181775"/>
      <w:bookmarkStart w:id="2297" w:name="_Toc329178803"/>
      <w:bookmarkStart w:id="2298" w:name="_Toc329181776"/>
      <w:bookmarkStart w:id="2299" w:name="_Toc329202602"/>
      <w:bookmarkStart w:id="2300" w:name="_Toc329205034"/>
      <w:bookmarkStart w:id="2301" w:name="_Toc329206871"/>
      <w:bookmarkStart w:id="2302" w:name="_Toc268007567"/>
      <w:bookmarkEnd w:id="2270"/>
      <w:bookmarkEnd w:id="2295"/>
      <w:bookmarkEnd w:id="2296"/>
      <w:r w:rsidRPr="00236418">
        <w:t xml:space="preserve"> Les dépenses de matériels et fournitures s</w:t>
      </w:r>
      <w:r>
        <w:t>'</w:t>
      </w:r>
      <w:r w:rsidRPr="00236418">
        <w:t xml:space="preserve">élevaient à </w:t>
      </w:r>
      <w:r>
        <w:t>2</w:t>
      </w:r>
      <w:r w:rsidRPr="00236418">
        <w:t>,</w:t>
      </w:r>
      <w:r>
        <w:t>9</w:t>
      </w:r>
      <w:r w:rsidRPr="00236418">
        <w:t> millions CHF en 20</w:t>
      </w:r>
      <w:r>
        <w:t>20</w:t>
      </w:r>
      <w:r w:rsidRPr="00236418">
        <w:t xml:space="preserve"> (contre </w:t>
      </w:r>
      <w:r>
        <w:t>3</w:t>
      </w:r>
      <w:r w:rsidRPr="00236418">
        <w:t>,</w:t>
      </w:r>
      <w:r>
        <w:t>8</w:t>
      </w:r>
      <w:r w:rsidRPr="00236418">
        <w:t xml:space="preserve"> millions CHF en 201</w:t>
      </w:r>
      <w:r>
        <w:t>9</w:t>
      </w:r>
      <w:r w:rsidRPr="00236418">
        <w:t>). Les dépenses afférentes aux frais d</w:t>
      </w:r>
      <w:r>
        <w:t>'</w:t>
      </w:r>
      <w:r w:rsidRPr="00236418">
        <w:t>expédition et de télécommunications et aux services se sont chiffrées à 1,</w:t>
      </w:r>
      <w:r>
        <w:t>5</w:t>
      </w:r>
      <w:r w:rsidRPr="00236418">
        <w:t> million CHF en 20</w:t>
      </w:r>
      <w:r>
        <w:t>20</w:t>
      </w:r>
      <w:r w:rsidRPr="00236418">
        <w:t xml:space="preserve"> (contre 1,</w:t>
      </w:r>
      <w:r>
        <w:t>6</w:t>
      </w:r>
      <w:r w:rsidRPr="00236418">
        <w:t xml:space="preserve"> million CHF en 201</w:t>
      </w:r>
      <w:r>
        <w:t>9</w:t>
      </w:r>
      <w:r w:rsidRPr="00236418">
        <w:t>).</w:t>
      </w:r>
    </w:p>
    <w:p w14:paraId="461BFEAE" w14:textId="77777777" w:rsidR="00761B6C" w:rsidRPr="00236418" w:rsidRDefault="00761B6C" w:rsidP="003A1E34">
      <w:pPr>
        <w:pStyle w:val="Headingb"/>
        <w:spacing w:after="120"/>
      </w:pPr>
      <w:bookmarkStart w:id="2303" w:name="_MON_1401108165"/>
      <w:bookmarkStart w:id="2304" w:name="_Toc329178804"/>
      <w:bookmarkStart w:id="2305" w:name="_Toc329181777"/>
      <w:bookmarkStart w:id="2306" w:name="_Toc329202603"/>
      <w:bookmarkStart w:id="2307" w:name="_Toc329205035"/>
      <w:bookmarkStart w:id="2308" w:name="_Toc329206872"/>
      <w:bookmarkStart w:id="2309" w:name="_Toc358379953"/>
      <w:bookmarkStart w:id="2310" w:name="_Toc358380496"/>
      <w:bookmarkStart w:id="2311" w:name="_Toc387166664"/>
      <w:bookmarkStart w:id="2312" w:name="_Toc387167495"/>
      <w:bookmarkStart w:id="2313" w:name="_Toc395260949"/>
      <w:bookmarkStart w:id="2314" w:name="_Toc395511736"/>
      <w:bookmarkStart w:id="2315" w:name="_Toc452138638"/>
      <w:bookmarkStart w:id="2316" w:name="_Toc452139087"/>
      <w:bookmarkStart w:id="2317" w:name="_Toc452139451"/>
      <w:bookmarkStart w:id="2318" w:name="_Toc452139857"/>
      <w:bookmarkStart w:id="2319" w:name="_Toc452140731"/>
      <w:bookmarkStart w:id="2320" w:name="_Toc482801519"/>
      <w:bookmarkStart w:id="2321" w:name="_Toc482888783"/>
      <w:bookmarkStart w:id="2322" w:name="_Toc511649498"/>
      <w:bookmarkStart w:id="2323" w:name="_Toc511649861"/>
      <w:bookmarkStart w:id="2324" w:name="_Toc511649984"/>
      <w:bookmarkStart w:id="2325" w:name="_Toc511650104"/>
      <w:bookmarkStart w:id="2326" w:name="_Toc511650598"/>
      <w:bookmarkStart w:id="2327" w:name="_Toc511651244"/>
      <w:bookmarkStart w:id="2328" w:name="_Toc511724107"/>
      <w:bookmarkStart w:id="2329" w:name="_Toc511739096"/>
      <w:bookmarkStart w:id="2330" w:name="_Toc511741267"/>
      <w:bookmarkStart w:id="2331" w:name="_Toc9605753"/>
      <w:bookmarkStart w:id="2332" w:name="_Toc10450780"/>
      <w:bookmarkStart w:id="2333" w:name="_Toc41566366"/>
      <w:bookmarkStart w:id="2334" w:name="_Toc41814970"/>
      <w:bookmarkStart w:id="2335" w:name="_Toc73354467"/>
      <w:bookmarkStart w:id="2336" w:name="_Toc73356450"/>
      <w:bookmarkEnd w:id="2297"/>
      <w:bookmarkEnd w:id="2298"/>
      <w:bookmarkEnd w:id="2299"/>
      <w:bookmarkEnd w:id="2300"/>
      <w:bookmarkEnd w:id="2301"/>
      <w:bookmarkEnd w:id="2303"/>
      <w:r w:rsidRPr="003A1E34">
        <w:t>Autres</w:t>
      </w:r>
      <w:r w:rsidRPr="00236418">
        <w:t xml:space="preserve"> charges</w:t>
      </w:r>
      <w:bookmarkEnd w:id="2302"/>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p>
    <w:tbl>
      <w:tblPr>
        <w:tblW w:w="9696" w:type="dxa"/>
        <w:jc w:val="center"/>
        <w:tblLook w:val="04A0" w:firstRow="1" w:lastRow="0" w:firstColumn="1" w:lastColumn="0" w:noHBand="0" w:noVBand="1"/>
        <w:tblCaption w:val="E"/>
      </w:tblPr>
      <w:tblGrid>
        <w:gridCol w:w="6574"/>
        <w:gridCol w:w="1561"/>
        <w:gridCol w:w="1561"/>
      </w:tblGrid>
      <w:tr w:rsidR="00761B6C" w:rsidRPr="00236418" w14:paraId="44045607" w14:textId="77777777" w:rsidTr="00761B6C">
        <w:trPr>
          <w:trHeight w:val="499"/>
          <w:jc w:val="center"/>
        </w:trPr>
        <w:tc>
          <w:tcPr>
            <w:tcW w:w="6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645EF" w14:textId="77777777" w:rsidR="00761B6C" w:rsidRPr="00236418" w:rsidRDefault="00761B6C" w:rsidP="008543D4">
            <w:pPr>
              <w:pStyle w:val="Tablehead"/>
              <w:keepNext/>
              <w:keepLines/>
              <w:spacing w:before="20" w:after="20"/>
              <w:jc w:val="left"/>
              <w:rPr>
                <w:szCs w:val="22"/>
                <w:lang w:eastAsia="zh-CN"/>
              </w:rPr>
            </w:pPr>
            <w:r w:rsidRPr="00236418">
              <w:rPr>
                <w:szCs w:val="22"/>
                <w:lang w:eastAsia="zh-CN"/>
              </w:rPr>
              <w:t>En milliers</w:t>
            </w:r>
            <w:r>
              <w:rPr>
                <w:szCs w:val="22"/>
                <w:lang w:eastAsia="zh-CN"/>
              </w:rPr>
              <w:t xml:space="preserve"> </w:t>
            </w:r>
            <w:r w:rsidRPr="00236418">
              <w:rPr>
                <w:szCs w:val="22"/>
                <w:lang w:eastAsia="zh-CN"/>
              </w:rPr>
              <w:t>CHF</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AB5AACD" w14:textId="77777777" w:rsidR="00761B6C" w:rsidRPr="00236418" w:rsidRDefault="00761B6C" w:rsidP="008543D4">
            <w:pPr>
              <w:pStyle w:val="Tablehead"/>
              <w:keepNext/>
              <w:keepLines/>
              <w:spacing w:before="20" w:after="20"/>
              <w:rPr>
                <w:szCs w:val="22"/>
                <w:lang w:eastAsia="zh-CN"/>
              </w:rPr>
            </w:pPr>
            <w:r>
              <w:rPr>
                <w:szCs w:val="22"/>
                <w:lang w:eastAsia="zh-CN"/>
              </w:rPr>
              <w:t>2020</w:t>
            </w:r>
          </w:p>
        </w:tc>
        <w:tc>
          <w:tcPr>
            <w:tcW w:w="1561" w:type="dxa"/>
            <w:tcBorders>
              <w:top w:val="single" w:sz="4" w:space="0" w:color="auto"/>
              <w:left w:val="single" w:sz="4" w:space="0" w:color="auto"/>
              <w:bottom w:val="single" w:sz="4" w:space="0" w:color="auto"/>
              <w:right w:val="single" w:sz="4" w:space="0" w:color="auto"/>
            </w:tcBorders>
            <w:vAlign w:val="center"/>
          </w:tcPr>
          <w:p w14:paraId="26667788" w14:textId="77777777" w:rsidR="00761B6C" w:rsidRPr="00236418" w:rsidRDefault="00761B6C" w:rsidP="008543D4">
            <w:pPr>
              <w:pStyle w:val="Tablehead"/>
              <w:keepNext/>
              <w:keepLines/>
              <w:spacing w:before="20" w:after="20"/>
              <w:rPr>
                <w:szCs w:val="22"/>
                <w:lang w:eastAsia="zh-CN"/>
              </w:rPr>
            </w:pPr>
            <w:r w:rsidRPr="00236418">
              <w:rPr>
                <w:szCs w:val="22"/>
                <w:lang w:eastAsia="zh-CN"/>
              </w:rPr>
              <w:t>2019</w:t>
            </w:r>
          </w:p>
        </w:tc>
      </w:tr>
      <w:tr w:rsidR="00761B6C" w:rsidRPr="00236418" w14:paraId="20C55056" w14:textId="77777777" w:rsidTr="00761B6C">
        <w:trPr>
          <w:trHeight w:val="20"/>
          <w:jc w:val="center"/>
        </w:trPr>
        <w:tc>
          <w:tcPr>
            <w:tcW w:w="6574" w:type="dxa"/>
            <w:tcBorders>
              <w:top w:val="single" w:sz="4" w:space="0" w:color="auto"/>
              <w:left w:val="single" w:sz="4" w:space="0" w:color="auto"/>
              <w:right w:val="single" w:sz="4" w:space="0" w:color="auto"/>
            </w:tcBorders>
            <w:shd w:val="clear" w:color="auto" w:fill="auto"/>
            <w:noWrap/>
            <w:vAlign w:val="center"/>
          </w:tcPr>
          <w:p w14:paraId="7565182A" w14:textId="77777777" w:rsidR="00761B6C" w:rsidRPr="00236418" w:rsidRDefault="00761B6C" w:rsidP="008543D4">
            <w:pPr>
              <w:pStyle w:val="Tabletext"/>
              <w:keepNext/>
              <w:keepLines/>
              <w:spacing w:before="20" w:after="20"/>
              <w:rPr>
                <w:szCs w:val="22"/>
                <w:lang w:eastAsia="zh-CN"/>
              </w:rPr>
            </w:pPr>
            <w:r w:rsidRPr="00236418">
              <w:rPr>
                <w:szCs w:val="22"/>
                <w:lang w:eastAsia="zh-CN"/>
              </w:rPr>
              <w:t>Frais de vérification extérieure</w:t>
            </w:r>
          </w:p>
        </w:tc>
        <w:tc>
          <w:tcPr>
            <w:tcW w:w="1561" w:type="dxa"/>
            <w:tcBorders>
              <w:top w:val="single" w:sz="4" w:space="0" w:color="auto"/>
              <w:left w:val="single" w:sz="4" w:space="0" w:color="auto"/>
              <w:right w:val="single" w:sz="4" w:space="0" w:color="auto"/>
            </w:tcBorders>
            <w:shd w:val="clear" w:color="auto" w:fill="auto"/>
            <w:noWrap/>
            <w:vAlign w:val="bottom"/>
          </w:tcPr>
          <w:p w14:paraId="425D0A5B" w14:textId="77777777" w:rsidR="00761B6C" w:rsidRPr="00236418" w:rsidRDefault="00761B6C" w:rsidP="008543D4">
            <w:pPr>
              <w:pStyle w:val="Tabletext"/>
              <w:keepNext/>
              <w:keepLines/>
              <w:spacing w:before="20" w:after="20"/>
              <w:jc w:val="right"/>
              <w:rPr>
                <w:sz w:val="20"/>
                <w:lang w:eastAsia="zh-CN"/>
              </w:rPr>
            </w:pPr>
            <w:r>
              <w:rPr>
                <w:sz w:val="20"/>
                <w:lang w:eastAsia="zh-CN"/>
              </w:rPr>
              <w:t>13</w:t>
            </w:r>
          </w:p>
        </w:tc>
        <w:tc>
          <w:tcPr>
            <w:tcW w:w="1561" w:type="dxa"/>
            <w:tcBorders>
              <w:top w:val="single" w:sz="4" w:space="0" w:color="auto"/>
              <w:left w:val="single" w:sz="4" w:space="0" w:color="auto"/>
              <w:right w:val="single" w:sz="4" w:space="0" w:color="auto"/>
            </w:tcBorders>
            <w:vAlign w:val="bottom"/>
          </w:tcPr>
          <w:p w14:paraId="06630BB8" w14:textId="77777777" w:rsidR="00761B6C" w:rsidRPr="00236418" w:rsidRDefault="00761B6C" w:rsidP="008543D4">
            <w:pPr>
              <w:pStyle w:val="Tabletext"/>
              <w:keepNext/>
              <w:keepLines/>
              <w:spacing w:before="20" w:after="20"/>
              <w:jc w:val="right"/>
              <w:rPr>
                <w:sz w:val="20"/>
                <w:lang w:eastAsia="zh-CN"/>
              </w:rPr>
            </w:pPr>
            <w:r w:rsidRPr="00236418">
              <w:rPr>
                <w:rFonts w:cs="Calibri"/>
                <w:color w:val="000000"/>
                <w:sz w:val="20"/>
                <w:lang w:eastAsia="zh-CN"/>
              </w:rPr>
              <w:t>108</w:t>
            </w:r>
          </w:p>
        </w:tc>
      </w:tr>
      <w:tr w:rsidR="00761B6C" w:rsidRPr="00236418" w14:paraId="11E18FE3" w14:textId="77777777" w:rsidTr="00761B6C">
        <w:trPr>
          <w:trHeight w:val="20"/>
          <w:jc w:val="center"/>
        </w:trPr>
        <w:tc>
          <w:tcPr>
            <w:tcW w:w="6574" w:type="dxa"/>
            <w:tcBorders>
              <w:left w:val="single" w:sz="4" w:space="0" w:color="auto"/>
              <w:right w:val="single" w:sz="4" w:space="0" w:color="auto"/>
            </w:tcBorders>
            <w:shd w:val="clear" w:color="auto" w:fill="auto"/>
            <w:noWrap/>
            <w:vAlign w:val="center"/>
          </w:tcPr>
          <w:p w14:paraId="4CA7B973" w14:textId="77777777" w:rsidR="00761B6C" w:rsidRPr="00236418" w:rsidRDefault="00761B6C" w:rsidP="008543D4">
            <w:pPr>
              <w:pStyle w:val="Tabletext"/>
              <w:keepNext/>
              <w:keepLines/>
              <w:spacing w:before="20" w:after="20"/>
              <w:rPr>
                <w:szCs w:val="22"/>
                <w:lang w:eastAsia="zh-CN"/>
              </w:rPr>
            </w:pPr>
            <w:r w:rsidRPr="00236418">
              <w:rPr>
                <w:szCs w:val="22"/>
                <w:lang w:eastAsia="zh-CN"/>
              </w:rPr>
              <w:t>Participation aux frais de l</w:t>
            </w:r>
            <w:r>
              <w:rPr>
                <w:szCs w:val="22"/>
                <w:lang w:eastAsia="zh-CN"/>
              </w:rPr>
              <w:t>'</w:t>
            </w:r>
            <w:r w:rsidRPr="00236418">
              <w:rPr>
                <w:szCs w:val="22"/>
                <w:lang w:eastAsia="zh-CN"/>
              </w:rPr>
              <w:t>Organisation des Nations Unies</w:t>
            </w:r>
          </w:p>
        </w:tc>
        <w:tc>
          <w:tcPr>
            <w:tcW w:w="1561" w:type="dxa"/>
            <w:tcBorders>
              <w:left w:val="single" w:sz="4" w:space="0" w:color="auto"/>
              <w:right w:val="single" w:sz="4" w:space="0" w:color="auto"/>
            </w:tcBorders>
            <w:shd w:val="clear" w:color="auto" w:fill="auto"/>
            <w:noWrap/>
            <w:vAlign w:val="bottom"/>
          </w:tcPr>
          <w:p w14:paraId="5982522F" w14:textId="77777777" w:rsidR="00761B6C" w:rsidRPr="00236418" w:rsidRDefault="00761B6C" w:rsidP="008543D4">
            <w:pPr>
              <w:pStyle w:val="Tabletext"/>
              <w:keepNext/>
              <w:keepLines/>
              <w:spacing w:before="20" w:after="20"/>
              <w:jc w:val="right"/>
              <w:rPr>
                <w:sz w:val="20"/>
                <w:lang w:eastAsia="zh-CN"/>
              </w:rPr>
            </w:pPr>
            <w:r>
              <w:rPr>
                <w:sz w:val="20"/>
                <w:lang w:eastAsia="zh-CN"/>
              </w:rPr>
              <w:t>469</w:t>
            </w:r>
          </w:p>
        </w:tc>
        <w:tc>
          <w:tcPr>
            <w:tcW w:w="1561" w:type="dxa"/>
            <w:tcBorders>
              <w:left w:val="single" w:sz="4" w:space="0" w:color="auto"/>
              <w:right w:val="single" w:sz="4" w:space="0" w:color="auto"/>
            </w:tcBorders>
            <w:vAlign w:val="bottom"/>
          </w:tcPr>
          <w:p w14:paraId="7797B401" w14:textId="77777777" w:rsidR="00761B6C" w:rsidRPr="00236418" w:rsidRDefault="00761B6C" w:rsidP="008543D4">
            <w:pPr>
              <w:pStyle w:val="Tabletext"/>
              <w:keepNext/>
              <w:keepLines/>
              <w:spacing w:before="20" w:after="20"/>
              <w:jc w:val="right"/>
              <w:rPr>
                <w:sz w:val="20"/>
                <w:lang w:eastAsia="zh-CN"/>
              </w:rPr>
            </w:pPr>
            <w:r w:rsidRPr="00236418">
              <w:rPr>
                <w:rFonts w:cs="Calibri"/>
                <w:color w:val="000000"/>
                <w:sz w:val="20"/>
                <w:lang w:eastAsia="zh-CN"/>
              </w:rPr>
              <w:t>664</w:t>
            </w:r>
          </w:p>
        </w:tc>
      </w:tr>
      <w:tr w:rsidR="00761B6C" w:rsidRPr="00236418" w14:paraId="080B21AF" w14:textId="77777777" w:rsidTr="00761B6C">
        <w:trPr>
          <w:trHeight w:val="20"/>
          <w:jc w:val="center"/>
        </w:trPr>
        <w:tc>
          <w:tcPr>
            <w:tcW w:w="6574" w:type="dxa"/>
            <w:tcBorders>
              <w:left w:val="single" w:sz="4" w:space="0" w:color="auto"/>
              <w:right w:val="single" w:sz="4" w:space="0" w:color="auto"/>
            </w:tcBorders>
            <w:shd w:val="clear" w:color="auto" w:fill="auto"/>
            <w:noWrap/>
            <w:vAlign w:val="center"/>
          </w:tcPr>
          <w:p w14:paraId="1559C551" w14:textId="77777777" w:rsidR="00761B6C" w:rsidRPr="00236418" w:rsidRDefault="00761B6C" w:rsidP="008543D4">
            <w:pPr>
              <w:pStyle w:val="Tabletext"/>
              <w:keepNext/>
              <w:keepLines/>
              <w:spacing w:before="20" w:after="20"/>
              <w:rPr>
                <w:szCs w:val="22"/>
                <w:lang w:eastAsia="zh-CN"/>
              </w:rPr>
            </w:pPr>
            <w:r w:rsidRPr="00236418">
              <w:rPr>
                <w:szCs w:val="22"/>
                <w:lang w:eastAsia="zh-CN"/>
              </w:rPr>
              <w:t>Coûts juridiques</w:t>
            </w:r>
          </w:p>
        </w:tc>
        <w:tc>
          <w:tcPr>
            <w:tcW w:w="1561" w:type="dxa"/>
            <w:tcBorders>
              <w:left w:val="single" w:sz="4" w:space="0" w:color="auto"/>
              <w:right w:val="single" w:sz="4" w:space="0" w:color="auto"/>
            </w:tcBorders>
            <w:shd w:val="clear" w:color="auto" w:fill="auto"/>
            <w:noWrap/>
            <w:vAlign w:val="bottom"/>
          </w:tcPr>
          <w:p w14:paraId="2FF383B4" w14:textId="77777777" w:rsidR="00761B6C" w:rsidRPr="00236418" w:rsidRDefault="00761B6C" w:rsidP="008543D4">
            <w:pPr>
              <w:pStyle w:val="Tabletext"/>
              <w:keepNext/>
              <w:keepLines/>
              <w:spacing w:before="20" w:after="20"/>
              <w:jc w:val="right"/>
              <w:rPr>
                <w:sz w:val="20"/>
                <w:lang w:eastAsia="zh-CN"/>
              </w:rPr>
            </w:pPr>
            <w:r>
              <w:rPr>
                <w:sz w:val="20"/>
                <w:lang w:eastAsia="zh-CN"/>
              </w:rPr>
              <w:t>536</w:t>
            </w:r>
          </w:p>
        </w:tc>
        <w:tc>
          <w:tcPr>
            <w:tcW w:w="1561" w:type="dxa"/>
            <w:tcBorders>
              <w:left w:val="single" w:sz="4" w:space="0" w:color="auto"/>
              <w:right w:val="single" w:sz="4" w:space="0" w:color="auto"/>
            </w:tcBorders>
            <w:vAlign w:val="bottom"/>
          </w:tcPr>
          <w:p w14:paraId="2C104A9D" w14:textId="77777777" w:rsidR="00761B6C" w:rsidRPr="00236418" w:rsidRDefault="00761B6C" w:rsidP="008543D4">
            <w:pPr>
              <w:pStyle w:val="Tabletext"/>
              <w:keepNext/>
              <w:keepLines/>
              <w:spacing w:before="20" w:after="20"/>
              <w:jc w:val="right"/>
              <w:rPr>
                <w:sz w:val="20"/>
                <w:lang w:eastAsia="zh-CN"/>
              </w:rPr>
            </w:pPr>
            <w:r w:rsidRPr="00236418">
              <w:rPr>
                <w:rFonts w:cs="Calibri"/>
                <w:color w:val="000000"/>
                <w:sz w:val="20"/>
                <w:lang w:eastAsia="zh-CN"/>
              </w:rPr>
              <w:t>29</w:t>
            </w:r>
          </w:p>
        </w:tc>
      </w:tr>
      <w:tr w:rsidR="00761B6C" w:rsidRPr="00236418" w14:paraId="0D19571C" w14:textId="77777777" w:rsidTr="00761B6C">
        <w:trPr>
          <w:trHeight w:val="20"/>
          <w:jc w:val="center"/>
        </w:trPr>
        <w:tc>
          <w:tcPr>
            <w:tcW w:w="6574" w:type="dxa"/>
            <w:tcBorders>
              <w:left w:val="single" w:sz="4" w:space="0" w:color="auto"/>
              <w:right w:val="single" w:sz="4" w:space="0" w:color="auto"/>
            </w:tcBorders>
            <w:shd w:val="clear" w:color="auto" w:fill="auto"/>
            <w:noWrap/>
            <w:vAlign w:val="center"/>
          </w:tcPr>
          <w:p w14:paraId="2E17F657" w14:textId="77777777" w:rsidR="00761B6C" w:rsidRPr="00236418" w:rsidRDefault="00761B6C" w:rsidP="008543D4">
            <w:pPr>
              <w:pStyle w:val="Tabletext"/>
              <w:keepNext/>
              <w:keepLines/>
              <w:spacing w:before="20" w:after="20"/>
              <w:rPr>
                <w:szCs w:val="22"/>
                <w:lang w:eastAsia="zh-CN"/>
              </w:rPr>
            </w:pPr>
            <w:r w:rsidRPr="00236418">
              <w:rPr>
                <w:szCs w:val="22"/>
                <w:lang w:eastAsia="zh-CN"/>
              </w:rPr>
              <w:t>Ajustement provisions et autres charges</w:t>
            </w:r>
          </w:p>
        </w:tc>
        <w:tc>
          <w:tcPr>
            <w:tcW w:w="1561" w:type="dxa"/>
            <w:tcBorders>
              <w:left w:val="single" w:sz="4" w:space="0" w:color="auto"/>
              <w:right w:val="single" w:sz="4" w:space="0" w:color="auto"/>
            </w:tcBorders>
            <w:shd w:val="clear" w:color="auto" w:fill="auto"/>
            <w:noWrap/>
            <w:vAlign w:val="bottom"/>
          </w:tcPr>
          <w:p w14:paraId="6852312F" w14:textId="77777777" w:rsidR="00761B6C" w:rsidRPr="00236418" w:rsidRDefault="00761B6C" w:rsidP="008543D4">
            <w:pPr>
              <w:pStyle w:val="Tabletext"/>
              <w:keepNext/>
              <w:keepLines/>
              <w:spacing w:before="20" w:after="20"/>
              <w:jc w:val="right"/>
              <w:rPr>
                <w:sz w:val="20"/>
                <w:lang w:eastAsia="zh-CN"/>
              </w:rPr>
            </w:pPr>
            <w:r>
              <w:rPr>
                <w:sz w:val="20"/>
                <w:lang w:eastAsia="zh-CN"/>
              </w:rPr>
              <w:t>7 289</w:t>
            </w:r>
          </w:p>
        </w:tc>
        <w:tc>
          <w:tcPr>
            <w:tcW w:w="1561" w:type="dxa"/>
            <w:tcBorders>
              <w:left w:val="single" w:sz="4" w:space="0" w:color="auto"/>
              <w:right w:val="single" w:sz="4" w:space="0" w:color="auto"/>
            </w:tcBorders>
            <w:vAlign w:val="bottom"/>
          </w:tcPr>
          <w:p w14:paraId="3435C027" w14:textId="77777777" w:rsidR="00761B6C" w:rsidRPr="00236418" w:rsidRDefault="00761B6C" w:rsidP="008543D4">
            <w:pPr>
              <w:pStyle w:val="Tabletext"/>
              <w:keepNext/>
              <w:keepLines/>
              <w:spacing w:before="20" w:after="20"/>
              <w:jc w:val="right"/>
              <w:rPr>
                <w:sz w:val="20"/>
                <w:lang w:eastAsia="zh-CN"/>
              </w:rPr>
            </w:pPr>
            <w:r w:rsidRPr="00236418">
              <w:rPr>
                <w:rFonts w:cs="Calibri"/>
                <w:color w:val="000000"/>
                <w:sz w:val="20"/>
                <w:lang w:eastAsia="zh-CN"/>
              </w:rPr>
              <w:t>–390</w:t>
            </w:r>
          </w:p>
        </w:tc>
      </w:tr>
      <w:tr w:rsidR="00761B6C" w:rsidRPr="00236418" w14:paraId="34AB2ADD" w14:textId="77777777" w:rsidTr="00761B6C">
        <w:trPr>
          <w:trHeight w:val="20"/>
          <w:jc w:val="center"/>
        </w:trPr>
        <w:tc>
          <w:tcPr>
            <w:tcW w:w="65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F96D4" w14:textId="77777777" w:rsidR="00761B6C" w:rsidRPr="00236418" w:rsidRDefault="00761B6C" w:rsidP="008543D4">
            <w:pPr>
              <w:pStyle w:val="Tabletext"/>
              <w:keepNext/>
              <w:keepLines/>
              <w:spacing w:before="20" w:after="20"/>
              <w:rPr>
                <w:b/>
                <w:bCs/>
                <w:szCs w:val="22"/>
                <w:lang w:eastAsia="zh-CN"/>
              </w:rPr>
            </w:pPr>
            <w:r w:rsidRPr="00236418">
              <w:rPr>
                <w:b/>
                <w:bCs/>
                <w:szCs w:val="22"/>
                <w:lang w:eastAsia="zh-CN"/>
              </w:rPr>
              <w:t>Autres charges</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A0BB2" w14:textId="77777777" w:rsidR="00761B6C" w:rsidRPr="00236418" w:rsidRDefault="00761B6C" w:rsidP="008543D4">
            <w:pPr>
              <w:pStyle w:val="Tabletext"/>
              <w:keepNext/>
              <w:keepLines/>
              <w:spacing w:before="20" w:after="20"/>
              <w:jc w:val="right"/>
              <w:rPr>
                <w:b/>
                <w:bCs/>
                <w:sz w:val="20"/>
                <w:lang w:eastAsia="zh-CN"/>
              </w:rPr>
            </w:pPr>
            <w:r>
              <w:rPr>
                <w:b/>
                <w:bCs/>
                <w:sz w:val="20"/>
                <w:lang w:eastAsia="zh-CN"/>
              </w:rPr>
              <w:t>8 306</w:t>
            </w:r>
          </w:p>
        </w:tc>
        <w:tc>
          <w:tcPr>
            <w:tcW w:w="1561" w:type="dxa"/>
            <w:tcBorders>
              <w:top w:val="single" w:sz="4" w:space="0" w:color="auto"/>
              <w:left w:val="single" w:sz="4" w:space="0" w:color="auto"/>
              <w:bottom w:val="single" w:sz="4" w:space="0" w:color="auto"/>
              <w:right w:val="single" w:sz="4" w:space="0" w:color="auto"/>
            </w:tcBorders>
            <w:vAlign w:val="bottom"/>
          </w:tcPr>
          <w:p w14:paraId="685F8CD8" w14:textId="77777777" w:rsidR="00761B6C" w:rsidRPr="00236418" w:rsidRDefault="00761B6C" w:rsidP="008543D4">
            <w:pPr>
              <w:pStyle w:val="Tabletext"/>
              <w:keepNext/>
              <w:keepLines/>
              <w:spacing w:before="20" w:after="20"/>
              <w:jc w:val="right"/>
              <w:rPr>
                <w:b/>
                <w:bCs/>
                <w:sz w:val="20"/>
                <w:lang w:eastAsia="zh-CN"/>
              </w:rPr>
            </w:pPr>
            <w:r w:rsidRPr="00236418">
              <w:rPr>
                <w:b/>
                <w:bCs/>
                <w:sz w:val="20"/>
                <w:lang w:eastAsia="zh-CN"/>
              </w:rPr>
              <w:t>411</w:t>
            </w:r>
          </w:p>
        </w:tc>
      </w:tr>
    </w:tbl>
    <w:p w14:paraId="25982572" w14:textId="77777777" w:rsidR="00761B6C" w:rsidRPr="00236418" w:rsidRDefault="00761B6C" w:rsidP="00761B6C">
      <w:pPr>
        <w:spacing w:before="240"/>
      </w:pPr>
      <w:r w:rsidRPr="00236418">
        <w:t>Ces charges ont trait à la vérification extérieure annuelle statutaire des livres et comptes de l</w:t>
      </w:r>
      <w:r>
        <w:t>'</w:t>
      </w:r>
      <w:r w:rsidRPr="00236418">
        <w:t>UIT effectuée par la Cour des Comptes de la République italienne, ainsi qu</w:t>
      </w:r>
      <w:r>
        <w:t>'</w:t>
      </w:r>
      <w:r w:rsidRPr="00236418">
        <w:t>à la participation de l</w:t>
      </w:r>
      <w:r>
        <w:t>'</w:t>
      </w:r>
      <w:r w:rsidRPr="00236418">
        <w:t>Union aux comités et services interorganisations des Nations Unies, tels que le Corps commun d</w:t>
      </w:r>
      <w:r>
        <w:t>'</w:t>
      </w:r>
      <w:r w:rsidRPr="00236418">
        <w:t>inspection, le Comité de haut niveau des Nations Unies sur la gestion et le Bureau interorganisations pour les systèmes informatiques.</w:t>
      </w:r>
      <w:bookmarkStart w:id="2337" w:name="_MON_1395816223"/>
      <w:bookmarkStart w:id="2338" w:name="_MON_1388238516"/>
      <w:bookmarkEnd w:id="2337"/>
      <w:bookmarkEnd w:id="2338"/>
    </w:p>
    <w:p w14:paraId="58E152FD" w14:textId="77777777" w:rsidR="00761B6C" w:rsidRPr="00236418" w:rsidRDefault="00761B6C" w:rsidP="00761B6C">
      <w:r w:rsidRPr="00236418">
        <w:t>Les coûts juridiques comprennent les coûts estimés de la résolution des litiges en cours ainsi que le coût moyen des frais administratifs encourus pour chaque affaire portée devant le tribunal.</w:t>
      </w:r>
    </w:p>
    <w:p w14:paraId="5739A62D" w14:textId="77777777" w:rsidR="00761B6C" w:rsidRDefault="00761B6C" w:rsidP="00761B6C">
      <w:pPr>
        <w:rPr>
          <w:bCs/>
        </w:rPr>
      </w:pPr>
      <w:r w:rsidRPr="00236418">
        <w:rPr>
          <w:bCs/>
        </w:rPr>
        <w:t>"L</w:t>
      </w:r>
      <w:r>
        <w:rPr>
          <w:bCs/>
        </w:rPr>
        <w:t>'</w:t>
      </w:r>
      <w:r w:rsidRPr="00236418">
        <w:rPr>
          <w:bCs/>
        </w:rPr>
        <w:t>ajustement provisions et autres charges" s</w:t>
      </w:r>
      <w:r>
        <w:rPr>
          <w:bCs/>
        </w:rPr>
        <w:t>'</w:t>
      </w:r>
      <w:r w:rsidRPr="00236418">
        <w:rPr>
          <w:bCs/>
        </w:rPr>
        <w:t>explique principalement par la dissolution de la provision pour créances douteuses en raison du paiement de créances en retard.</w:t>
      </w:r>
    </w:p>
    <w:p w14:paraId="59A8E643" w14:textId="77777777" w:rsidR="00761B6C" w:rsidRPr="00432794" w:rsidRDefault="00761B6C" w:rsidP="00761B6C">
      <w:pPr>
        <w:tabs>
          <w:tab w:val="clear" w:pos="1134"/>
          <w:tab w:val="left" w:pos="0"/>
        </w:tabs>
        <w:rPr>
          <w:bCs/>
        </w:rPr>
      </w:pPr>
      <w:r w:rsidRPr="00EA1A43">
        <w:rPr>
          <w:bCs/>
        </w:rPr>
        <w:t xml:space="preserve">En 2020, un montant de 3,9 millions CHF a été affecté </w:t>
      </w:r>
      <w:r>
        <w:rPr>
          <w:bCs/>
        </w:rPr>
        <w:t>au financement de projets liés aux initiatives régionales. En outre, l'UIT a effectué le premier versement annuel lié à l'UNSMIS (1,6 million CHF), et afin d'éviter toute incidence négative en 2021, il a été décidé de constituer une provision pour le versement de 2021 (1,5 million CHF). Ces trois éléments expliquent l'augmentation des autres charges en 2020</w:t>
      </w:r>
      <w:r w:rsidRPr="00432794">
        <w:rPr>
          <w:bCs/>
        </w:rPr>
        <w:t>.</w:t>
      </w:r>
    </w:p>
    <w:p w14:paraId="3F9670FB" w14:textId="77777777" w:rsidR="00761B6C" w:rsidRPr="00236418" w:rsidRDefault="00761B6C" w:rsidP="003A1E34">
      <w:pPr>
        <w:pStyle w:val="Headingb"/>
        <w:spacing w:after="120"/>
      </w:pPr>
      <w:bookmarkStart w:id="2339" w:name="_Toc329202604"/>
      <w:bookmarkStart w:id="2340" w:name="_Toc329205036"/>
      <w:bookmarkStart w:id="2341" w:name="_Toc329206873"/>
      <w:bookmarkStart w:id="2342" w:name="_Toc358379954"/>
      <w:bookmarkStart w:id="2343" w:name="_Toc358380497"/>
      <w:bookmarkStart w:id="2344" w:name="_Toc387166665"/>
      <w:bookmarkStart w:id="2345" w:name="_Toc387167496"/>
      <w:bookmarkStart w:id="2346" w:name="_Toc395260950"/>
      <w:bookmarkStart w:id="2347" w:name="_Toc395511737"/>
      <w:bookmarkStart w:id="2348" w:name="_Toc452138639"/>
      <w:bookmarkStart w:id="2349" w:name="_Toc452139088"/>
      <w:bookmarkStart w:id="2350" w:name="_Toc452139452"/>
      <w:bookmarkStart w:id="2351" w:name="_Toc452139858"/>
      <w:bookmarkStart w:id="2352" w:name="_Toc452140732"/>
      <w:bookmarkStart w:id="2353" w:name="_Toc482801520"/>
      <w:bookmarkStart w:id="2354" w:name="_Toc482888784"/>
      <w:bookmarkStart w:id="2355" w:name="_Toc511649499"/>
      <w:bookmarkStart w:id="2356" w:name="_Toc511649862"/>
      <w:bookmarkStart w:id="2357" w:name="_Toc511649985"/>
      <w:bookmarkStart w:id="2358" w:name="_Toc511650105"/>
      <w:bookmarkStart w:id="2359" w:name="_Toc511650599"/>
      <w:bookmarkStart w:id="2360" w:name="_Toc511651245"/>
      <w:bookmarkStart w:id="2361" w:name="_Toc511724108"/>
      <w:bookmarkStart w:id="2362" w:name="_Toc511739097"/>
      <w:bookmarkStart w:id="2363" w:name="_Toc511741268"/>
      <w:bookmarkStart w:id="2364" w:name="_Toc9605754"/>
      <w:bookmarkStart w:id="2365" w:name="_Toc10450781"/>
      <w:bookmarkStart w:id="2366" w:name="_Toc41566367"/>
      <w:bookmarkStart w:id="2367" w:name="_Toc41814971"/>
      <w:bookmarkStart w:id="2368" w:name="_Toc73354468"/>
      <w:bookmarkStart w:id="2369" w:name="_Toc73356451"/>
      <w:r w:rsidRPr="00236418">
        <w:t xml:space="preserve">Charges </w:t>
      </w:r>
      <w:r w:rsidRPr="003A1E34">
        <w:t>financières</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tbl>
      <w:tblPr>
        <w:tblW w:w="9551" w:type="dxa"/>
        <w:jc w:val="center"/>
        <w:tblLayout w:type="fixed"/>
        <w:tblLook w:val="04A0" w:firstRow="1" w:lastRow="0" w:firstColumn="1" w:lastColumn="0" w:noHBand="0" w:noVBand="1"/>
        <w:tblCaption w:val="E"/>
      </w:tblPr>
      <w:tblGrid>
        <w:gridCol w:w="6505"/>
        <w:gridCol w:w="1523"/>
        <w:gridCol w:w="1523"/>
      </w:tblGrid>
      <w:tr w:rsidR="00761B6C" w:rsidRPr="00236418" w14:paraId="54CA9259" w14:textId="77777777" w:rsidTr="00761B6C">
        <w:trPr>
          <w:trHeight w:val="499"/>
          <w:jc w:val="center"/>
        </w:trPr>
        <w:tc>
          <w:tcPr>
            <w:tcW w:w="6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92275" w14:textId="77777777" w:rsidR="00761B6C" w:rsidRPr="00236418" w:rsidRDefault="00761B6C" w:rsidP="006F75A4">
            <w:pPr>
              <w:pStyle w:val="Tablehead"/>
              <w:keepNext/>
              <w:keepLines/>
              <w:spacing w:before="20" w:after="20"/>
              <w:jc w:val="left"/>
              <w:rPr>
                <w:szCs w:val="22"/>
                <w:lang w:eastAsia="zh-CN"/>
              </w:rPr>
            </w:pPr>
            <w:r w:rsidRPr="00236418">
              <w:rPr>
                <w:szCs w:val="22"/>
                <w:lang w:eastAsia="zh-CN"/>
              </w:rPr>
              <w:t>En milliers</w:t>
            </w:r>
            <w:r>
              <w:rPr>
                <w:szCs w:val="22"/>
                <w:lang w:eastAsia="zh-CN"/>
              </w:rPr>
              <w:t xml:space="preserve"> </w:t>
            </w:r>
            <w:r w:rsidRPr="00236418">
              <w:rPr>
                <w:szCs w:val="22"/>
                <w:lang w:eastAsia="zh-CN"/>
              </w:rPr>
              <w:t>CHF</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072B8ABF" w14:textId="77777777" w:rsidR="00761B6C" w:rsidRPr="00236418" w:rsidRDefault="00761B6C" w:rsidP="006F75A4">
            <w:pPr>
              <w:pStyle w:val="Tablehead"/>
              <w:keepNext/>
              <w:keepLines/>
              <w:spacing w:before="20" w:after="20"/>
              <w:rPr>
                <w:szCs w:val="22"/>
                <w:lang w:eastAsia="zh-CN"/>
              </w:rPr>
            </w:pPr>
            <w:r>
              <w:rPr>
                <w:szCs w:val="22"/>
                <w:lang w:eastAsia="zh-CN"/>
              </w:rPr>
              <w:t>2020</w:t>
            </w:r>
          </w:p>
        </w:tc>
        <w:tc>
          <w:tcPr>
            <w:tcW w:w="1523" w:type="dxa"/>
            <w:tcBorders>
              <w:top w:val="single" w:sz="4" w:space="0" w:color="auto"/>
              <w:left w:val="single" w:sz="4" w:space="0" w:color="auto"/>
              <w:bottom w:val="single" w:sz="4" w:space="0" w:color="auto"/>
              <w:right w:val="single" w:sz="4" w:space="0" w:color="auto"/>
            </w:tcBorders>
            <w:vAlign w:val="center"/>
          </w:tcPr>
          <w:p w14:paraId="2C766341" w14:textId="77777777" w:rsidR="00761B6C" w:rsidRPr="00236418" w:rsidRDefault="00761B6C" w:rsidP="006F75A4">
            <w:pPr>
              <w:pStyle w:val="Tablehead"/>
              <w:keepNext/>
              <w:keepLines/>
              <w:spacing w:before="20" w:after="20"/>
              <w:rPr>
                <w:szCs w:val="22"/>
                <w:lang w:eastAsia="zh-CN"/>
              </w:rPr>
            </w:pPr>
            <w:r w:rsidRPr="00236418">
              <w:rPr>
                <w:szCs w:val="22"/>
                <w:lang w:eastAsia="zh-CN"/>
              </w:rPr>
              <w:t>2019</w:t>
            </w:r>
          </w:p>
        </w:tc>
      </w:tr>
      <w:tr w:rsidR="00761B6C" w:rsidRPr="00236418" w14:paraId="1A31E676" w14:textId="77777777" w:rsidTr="00761B6C">
        <w:trPr>
          <w:trHeight w:val="20"/>
          <w:jc w:val="center"/>
        </w:trPr>
        <w:tc>
          <w:tcPr>
            <w:tcW w:w="6505" w:type="dxa"/>
            <w:tcBorders>
              <w:top w:val="single" w:sz="4" w:space="0" w:color="auto"/>
              <w:left w:val="single" w:sz="4" w:space="0" w:color="auto"/>
              <w:right w:val="single" w:sz="4" w:space="0" w:color="auto"/>
            </w:tcBorders>
            <w:shd w:val="clear" w:color="auto" w:fill="auto"/>
            <w:noWrap/>
            <w:vAlign w:val="center"/>
          </w:tcPr>
          <w:p w14:paraId="7A5D4316" w14:textId="77777777" w:rsidR="00761B6C" w:rsidRPr="00236418" w:rsidRDefault="00761B6C" w:rsidP="006F75A4">
            <w:pPr>
              <w:pStyle w:val="Tabletext"/>
              <w:keepNext/>
              <w:keepLines/>
              <w:spacing w:before="20" w:after="20"/>
              <w:rPr>
                <w:szCs w:val="22"/>
                <w:lang w:eastAsia="zh-CN"/>
              </w:rPr>
            </w:pPr>
            <w:r w:rsidRPr="00236418">
              <w:rPr>
                <w:szCs w:val="22"/>
                <w:lang w:eastAsia="zh-CN"/>
              </w:rPr>
              <w:t>Frais bancaires</w:t>
            </w:r>
          </w:p>
        </w:tc>
        <w:tc>
          <w:tcPr>
            <w:tcW w:w="1523" w:type="dxa"/>
            <w:tcBorders>
              <w:top w:val="single" w:sz="4" w:space="0" w:color="auto"/>
              <w:left w:val="single" w:sz="4" w:space="0" w:color="auto"/>
              <w:right w:val="single" w:sz="4" w:space="0" w:color="auto"/>
            </w:tcBorders>
            <w:shd w:val="clear" w:color="auto" w:fill="auto"/>
            <w:noWrap/>
            <w:vAlign w:val="bottom"/>
          </w:tcPr>
          <w:p w14:paraId="66E38C44" w14:textId="77777777" w:rsidR="00761B6C" w:rsidRPr="00236418" w:rsidRDefault="00761B6C" w:rsidP="006F75A4">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Pr>
                <w:rFonts w:cs="Calibri"/>
                <w:color w:val="000000"/>
                <w:sz w:val="20"/>
                <w:lang w:eastAsia="zh-CN"/>
              </w:rPr>
              <w:t>143</w:t>
            </w:r>
          </w:p>
        </w:tc>
        <w:tc>
          <w:tcPr>
            <w:tcW w:w="1523" w:type="dxa"/>
            <w:tcBorders>
              <w:top w:val="single" w:sz="4" w:space="0" w:color="auto"/>
              <w:left w:val="single" w:sz="4" w:space="0" w:color="auto"/>
              <w:right w:val="single" w:sz="4" w:space="0" w:color="auto"/>
            </w:tcBorders>
            <w:vAlign w:val="bottom"/>
          </w:tcPr>
          <w:p w14:paraId="4288EE7C" w14:textId="77777777" w:rsidR="00761B6C" w:rsidRPr="00236418" w:rsidRDefault="00761B6C" w:rsidP="006F75A4">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sidRPr="00236418">
              <w:rPr>
                <w:rFonts w:cs="Calibri"/>
                <w:color w:val="000000"/>
                <w:sz w:val="20"/>
                <w:lang w:eastAsia="zh-CN"/>
              </w:rPr>
              <w:t>225</w:t>
            </w:r>
          </w:p>
        </w:tc>
      </w:tr>
      <w:tr w:rsidR="00761B6C" w:rsidRPr="00236418" w14:paraId="77392BD8" w14:textId="77777777" w:rsidTr="00761B6C">
        <w:trPr>
          <w:trHeight w:val="20"/>
          <w:jc w:val="center"/>
        </w:trPr>
        <w:tc>
          <w:tcPr>
            <w:tcW w:w="6505" w:type="dxa"/>
            <w:tcBorders>
              <w:left w:val="single" w:sz="4" w:space="0" w:color="auto"/>
              <w:right w:val="single" w:sz="4" w:space="0" w:color="auto"/>
            </w:tcBorders>
            <w:shd w:val="clear" w:color="auto" w:fill="auto"/>
            <w:noWrap/>
            <w:vAlign w:val="center"/>
          </w:tcPr>
          <w:p w14:paraId="0763076D" w14:textId="77777777" w:rsidR="00761B6C" w:rsidRPr="00236418" w:rsidRDefault="00761B6C" w:rsidP="006F75A4">
            <w:pPr>
              <w:pStyle w:val="Tabletext"/>
              <w:keepNext/>
              <w:keepLines/>
              <w:spacing w:before="20" w:after="20"/>
              <w:rPr>
                <w:szCs w:val="22"/>
                <w:lang w:eastAsia="zh-CN"/>
              </w:rPr>
            </w:pPr>
            <w:r w:rsidRPr="00236418">
              <w:rPr>
                <w:szCs w:val="22"/>
                <w:lang w:eastAsia="zh-CN"/>
              </w:rPr>
              <w:t>Pertes de change réalisées</w:t>
            </w:r>
          </w:p>
        </w:tc>
        <w:tc>
          <w:tcPr>
            <w:tcW w:w="1523" w:type="dxa"/>
            <w:tcBorders>
              <w:left w:val="single" w:sz="4" w:space="0" w:color="auto"/>
              <w:right w:val="single" w:sz="4" w:space="0" w:color="auto"/>
            </w:tcBorders>
            <w:shd w:val="clear" w:color="auto" w:fill="auto"/>
            <w:noWrap/>
            <w:vAlign w:val="bottom"/>
          </w:tcPr>
          <w:p w14:paraId="7D2089CE" w14:textId="77777777" w:rsidR="00761B6C" w:rsidRPr="00236418" w:rsidRDefault="00761B6C" w:rsidP="006F75A4">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Pr>
                <w:rFonts w:cs="Calibri"/>
                <w:color w:val="000000"/>
                <w:sz w:val="20"/>
                <w:lang w:eastAsia="zh-CN"/>
              </w:rPr>
              <w:t>210</w:t>
            </w:r>
          </w:p>
        </w:tc>
        <w:tc>
          <w:tcPr>
            <w:tcW w:w="1523" w:type="dxa"/>
            <w:tcBorders>
              <w:left w:val="single" w:sz="4" w:space="0" w:color="auto"/>
              <w:right w:val="single" w:sz="4" w:space="0" w:color="auto"/>
            </w:tcBorders>
            <w:vAlign w:val="bottom"/>
          </w:tcPr>
          <w:p w14:paraId="6453A04A" w14:textId="77777777" w:rsidR="00761B6C" w:rsidRPr="00236418" w:rsidRDefault="00761B6C" w:rsidP="006F75A4">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sidRPr="00236418">
              <w:rPr>
                <w:rFonts w:cs="Calibri"/>
                <w:color w:val="000000"/>
                <w:sz w:val="20"/>
                <w:lang w:eastAsia="zh-CN"/>
              </w:rPr>
              <w:t>65</w:t>
            </w:r>
          </w:p>
        </w:tc>
      </w:tr>
      <w:tr w:rsidR="00761B6C" w:rsidRPr="00236418" w14:paraId="16B5F050" w14:textId="77777777" w:rsidTr="00761B6C">
        <w:trPr>
          <w:trHeight w:val="20"/>
          <w:jc w:val="center"/>
        </w:trPr>
        <w:tc>
          <w:tcPr>
            <w:tcW w:w="6505" w:type="dxa"/>
            <w:tcBorders>
              <w:left w:val="single" w:sz="4" w:space="0" w:color="auto"/>
              <w:right w:val="single" w:sz="4" w:space="0" w:color="auto"/>
            </w:tcBorders>
            <w:shd w:val="clear" w:color="auto" w:fill="auto"/>
            <w:noWrap/>
            <w:vAlign w:val="center"/>
          </w:tcPr>
          <w:p w14:paraId="6753EC10" w14:textId="77777777" w:rsidR="00761B6C" w:rsidRPr="00236418" w:rsidRDefault="00761B6C" w:rsidP="006F75A4">
            <w:pPr>
              <w:pStyle w:val="Tabletext"/>
              <w:keepNext/>
              <w:keepLines/>
              <w:spacing w:before="20" w:after="20"/>
              <w:rPr>
                <w:szCs w:val="22"/>
                <w:lang w:eastAsia="zh-CN"/>
              </w:rPr>
            </w:pPr>
            <w:r w:rsidRPr="00236418">
              <w:rPr>
                <w:szCs w:val="22"/>
                <w:lang w:eastAsia="zh-CN"/>
              </w:rPr>
              <w:t>Pertes de change non réalisées</w:t>
            </w:r>
          </w:p>
        </w:tc>
        <w:tc>
          <w:tcPr>
            <w:tcW w:w="1523" w:type="dxa"/>
            <w:tcBorders>
              <w:left w:val="single" w:sz="4" w:space="0" w:color="auto"/>
              <w:right w:val="single" w:sz="4" w:space="0" w:color="auto"/>
            </w:tcBorders>
            <w:shd w:val="clear" w:color="auto" w:fill="auto"/>
            <w:noWrap/>
            <w:vAlign w:val="bottom"/>
          </w:tcPr>
          <w:p w14:paraId="1993FF8D" w14:textId="77777777" w:rsidR="00761B6C" w:rsidRPr="00236418" w:rsidRDefault="00761B6C" w:rsidP="006F75A4">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Pr>
                <w:rFonts w:cs="Calibri"/>
                <w:color w:val="000000"/>
                <w:sz w:val="20"/>
                <w:lang w:eastAsia="zh-CN"/>
              </w:rPr>
              <w:t>14 716</w:t>
            </w:r>
          </w:p>
        </w:tc>
        <w:tc>
          <w:tcPr>
            <w:tcW w:w="1523" w:type="dxa"/>
            <w:tcBorders>
              <w:left w:val="single" w:sz="4" w:space="0" w:color="auto"/>
              <w:right w:val="single" w:sz="4" w:space="0" w:color="auto"/>
            </w:tcBorders>
            <w:vAlign w:val="bottom"/>
          </w:tcPr>
          <w:p w14:paraId="5DBF809D" w14:textId="77777777" w:rsidR="00761B6C" w:rsidRPr="00236418" w:rsidRDefault="00761B6C" w:rsidP="006F75A4">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0"/>
                <w:lang w:eastAsia="zh-CN"/>
              </w:rPr>
            </w:pPr>
            <w:r w:rsidRPr="00236418">
              <w:rPr>
                <w:rFonts w:cs="Calibri"/>
                <w:color w:val="000000"/>
                <w:sz w:val="20"/>
                <w:lang w:eastAsia="zh-CN"/>
              </w:rPr>
              <w:t>3 389</w:t>
            </w:r>
          </w:p>
        </w:tc>
      </w:tr>
      <w:tr w:rsidR="00761B6C" w:rsidRPr="00236418" w14:paraId="39B85396" w14:textId="77777777" w:rsidTr="00761B6C">
        <w:trPr>
          <w:trHeight w:val="20"/>
          <w:jc w:val="center"/>
        </w:trPr>
        <w:tc>
          <w:tcPr>
            <w:tcW w:w="6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0E867" w14:textId="77777777" w:rsidR="00761B6C" w:rsidRPr="00236418" w:rsidRDefault="00761B6C" w:rsidP="006F75A4">
            <w:pPr>
              <w:pStyle w:val="Tabletext"/>
              <w:keepNext/>
              <w:keepLines/>
              <w:spacing w:before="20" w:after="20"/>
              <w:rPr>
                <w:b/>
                <w:bCs/>
                <w:szCs w:val="22"/>
                <w:lang w:eastAsia="zh-CN"/>
              </w:rPr>
            </w:pPr>
            <w:r w:rsidRPr="00236418">
              <w:rPr>
                <w:b/>
                <w:bCs/>
                <w:szCs w:val="22"/>
                <w:lang w:eastAsia="zh-CN"/>
              </w:rPr>
              <w:t>Charges financières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0B239" w14:textId="77777777" w:rsidR="00761B6C" w:rsidRPr="00236418" w:rsidRDefault="00761B6C" w:rsidP="006F75A4">
            <w:pPr>
              <w:pStyle w:val="Tabletext"/>
              <w:keepNext/>
              <w:keepLines/>
              <w:spacing w:before="20" w:after="20"/>
              <w:jc w:val="right"/>
              <w:rPr>
                <w:b/>
                <w:bCs/>
                <w:sz w:val="20"/>
                <w:lang w:eastAsia="zh-CN"/>
              </w:rPr>
            </w:pPr>
            <w:r>
              <w:rPr>
                <w:b/>
                <w:bCs/>
                <w:sz w:val="20"/>
                <w:lang w:eastAsia="zh-CN"/>
              </w:rPr>
              <w:t>15 069</w:t>
            </w:r>
          </w:p>
        </w:tc>
        <w:tc>
          <w:tcPr>
            <w:tcW w:w="1523" w:type="dxa"/>
            <w:tcBorders>
              <w:top w:val="single" w:sz="4" w:space="0" w:color="auto"/>
              <w:left w:val="single" w:sz="4" w:space="0" w:color="auto"/>
              <w:bottom w:val="single" w:sz="4" w:space="0" w:color="auto"/>
              <w:right w:val="single" w:sz="4" w:space="0" w:color="auto"/>
            </w:tcBorders>
            <w:vAlign w:val="center"/>
          </w:tcPr>
          <w:p w14:paraId="5F7229BE" w14:textId="77777777" w:rsidR="00761B6C" w:rsidRPr="00236418" w:rsidRDefault="00761B6C" w:rsidP="006F75A4">
            <w:pPr>
              <w:pStyle w:val="Tabletext"/>
              <w:keepNext/>
              <w:keepLines/>
              <w:spacing w:before="20" w:after="20"/>
              <w:jc w:val="right"/>
              <w:rPr>
                <w:b/>
                <w:bCs/>
                <w:sz w:val="20"/>
                <w:lang w:eastAsia="zh-CN"/>
              </w:rPr>
            </w:pPr>
            <w:r w:rsidRPr="00236418">
              <w:rPr>
                <w:b/>
                <w:bCs/>
                <w:sz w:val="20"/>
                <w:lang w:eastAsia="zh-CN"/>
              </w:rPr>
              <w:t>3 679</w:t>
            </w:r>
          </w:p>
        </w:tc>
      </w:tr>
    </w:tbl>
    <w:p w14:paraId="6F6B7B1B" w14:textId="77777777" w:rsidR="00761B6C" w:rsidRPr="00236418" w:rsidRDefault="00761B6C" w:rsidP="00761B6C">
      <w:pPr>
        <w:pStyle w:val="Normalaftertitle"/>
        <w:rPr>
          <w:lang w:eastAsia="zh-CN"/>
        </w:rPr>
      </w:pPr>
      <w:bookmarkStart w:id="2370" w:name="_Toc329178805"/>
      <w:bookmarkStart w:id="2371" w:name="_Toc329181778"/>
      <w:r w:rsidRPr="00236418">
        <w:rPr>
          <w:lang w:eastAsia="zh-CN"/>
        </w:rPr>
        <w:t>Les pertes de change réalisées et non réalisées proviennent pour l</w:t>
      </w:r>
      <w:r>
        <w:rPr>
          <w:lang w:eastAsia="zh-CN"/>
        </w:rPr>
        <w:t>'</w:t>
      </w:r>
      <w:r w:rsidRPr="00236418">
        <w:rPr>
          <w:lang w:eastAsia="zh-CN"/>
        </w:rPr>
        <w:t>essentiel de la réévaluation des postes ouverts en devises au moment de la clôture annuelle.</w:t>
      </w:r>
      <w:bookmarkEnd w:id="2370"/>
      <w:bookmarkEnd w:id="2371"/>
      <w:r w:rsidRPr="00236418">
        <w:rPr>
          <w:lang w:eastAsia="zh-CN"/>
        </w:rPr>
        <w:t xml:space="preserve"> Cette réévaluation est </w:t>
      </w:r>
      <w:r w:rsidRPr="00236418">
        <w:t>annulée à compter du 1er janvier de l</w:t>
      </w:r>
      <w:r>
        <w:t>'</w:t>
      </w:r>
      <w:r w:rsidRPr="00236418">
        <w:t xml:space="preserve">année suivante. </w:t>
      </w:r>
    </w:p>
    <w:p w14:paraId="095E9DF1" w14:textId="77777777" w:rsidR="00761B6C" w:rsidRPr="00236418" w:rsidRDefault="00761B6C" w:rsidP="00761B6C"/>
    <w:p w14:paraId="0DDDE605" w14:textId="77777777" w:rsidR="00761B6C" w:rsidRPr="00236418" w:rsidRDefault="00761B6C" w:rsidP="00761B6C">
      <w:pPr>
        <w:sectPr w:rsidR="00761B6C" w:rsidRPr="00236418" w:rsidSect="00761B6C">
          <w:headerReference w:type="even" r:id="rId42"/>
          <w:headerReference w:type="default" r:id="rId43"/>
          <w:footerReference w:type="even" r:id="rId44"/>
          <w:footerReference w:type="default" r:id="rId45"/>
          <w:headerReference w:type="first" r:id="rId46"/>
          <w:footerReference w:type="first" r:id="rId47"/>
          <w:pgSz w:w="11907" w:h="16840" w:code="9"/>
          <w:pgMar w:top="1418" w:right="1134" w:bottom="1418" w:left="1134" w:header="720" w:footer="720" w:gutter="0"/>
          <w:paperSrc w:first="261" w:other="261"/>
          <w:cols w:space="720"/>
          <w:titlePg/>
        </w:sectPr>
      </w:pPr>
    </w:p>
    <w:p w14:paraId="14CDFB87" w14:textId="77777777" w:rsidR="00761B6C" w:rsidRPr="00236418" w:rsidRDefault="00761B6C" w:rsidP="003A1E34">
      <w:pPr>
        <w:pStyle w:val="Headingb"/>
        <w:spacing w:before="0" w:after="120"/>
      </w:pPr>
      <w:bookmarkStart w:id="2372" w:name="_Toc452138640"/>
      <w:bookmarkStart w:id="2373" w:name="_Toc452139089"/>
      <w:bookmarkStart w:id="2374" w:name="_Toc452139453"/>
      <w:bookmarkStart w:id="2375" w:name="_Toc452139859"/>
      <w:bookmarkStart w:id="2376" w:name="_Toc452140733"/>
      <w:bookmarkStart w:id="2377" w:name="_Toc482801521"/>
      <w:bookmarkStart w:id="2378" w:name="_Toc511649500"/>
      <w:bookmarkStart w:id="2379" w:name="_Toc511649863"/>
      <w:bookmarkStart w:id="2380" w:name="_Toc511649986"/>
      <w:bookmarkStart w:id="2381" w:name="_Toc511651246"/>
      <w:bookmarkStart w:id="2382" w:name="_Toc511724109"/>
      <w:bookmarkStart w:id="2383" w:name="_Toc511739098"/>
      <w:bookmarkStart w:id="2384" w:name="_Toc511741269"/>
      <w:bookmarkStart w:id="2385" w:name="_Toc10450782"/>
      <w:bookmarkStart w:id="2386" w:name="_Toc41566368"/>
      <w:bookmarkStart w:id="2387" w:name="_Toc41567380"/>
      <w:bookmarkStart w:id="2388" w:name="_Toc41567876"/>
      <w:bookmarkStart w:id="2389" w:name="_Toc41814972"/>
      <w:bookmarkStart w:id="2390" w:name="_Toc73354469"/>
      <w:bookmarkStart w:id="2391" w:name="_Toc73356452"/>
      <w:bookmarkStart w:id="2392" w:name="_Toc329178806"/>
      <w:bookmarkStart w:id="2393" w:name="_Toc329181779"/>
      <w:bookmarkStart w:id="2394" w:name="_Toc329202605"/>
      <w:bookmarkStart w:id="2395" w:name="_Toc329205037"/>
      <w:bookmarkStart w:id="2396" w:name="_Toc329206874"/>
      <w:bookmarkStart w:id="2397" w:name="_Toc358379955"/>
      <w:bookmarkStart w:id="2398" w:name="_Toc358380498"/>
      <w:bookmarkStart w:id="2399" w:name="_Toc387166666"/>
      <w:bookmarkStart w:id="2400" w:name="_Toc395260951"/>
      <w:bookmarkStart w:id="2401" w:name="_Toc395511738"/>
      <w:r w:rsidRPr="00236418">
        <w:lastRenderedPageBreak/>
        <w:t>Note 24</w:t>
      </w:r>
      <w:r w:rsidRPr="00236418">
        <w:tab/>
        <w:t xml:space="preserve">Informations sectorielles – État de la performance financière </w:t>
      </w:r>
      <w:bookmarkEnd w:id="2372"/>
      <w:bookmarkEnd w:id="2373"/>
      <w:bookmarkEnd w:id="2374"/>
      <w:bookmarkEnd w:id="2375"/>
      <w:bookmarkEnd w:id="2376"/>
      <w:bookmarkEnd w:id="2377"/>
      <w:r w:rsidRPr="00236418">
        <w:t>20</w:t>
      </w:r>
      <w:bookmarkEnd w:id="2378"/>
      <w:bookmarkEnd w:id="2379"/>
      <w:bookmarkEnd w:id="2380"/>
      <w:bookmarkEnd w:id="2381"/>
      <w:bookmarkEnd w:id="2382"/>
      <w:bookmarkEnd w:id="2383"/>
      <w:bookmarkEnd w:id="2384"/>
      <w:bookmarkEnd w:id="2385"/>
      <w:bookmarkEnd w:id="2386"/>
      <w:bookmarkEnd w:id="2387"/>
      <w:bookmarkEnd w:id="2388"/>
      <w:bookmarkEnd w:id="2389"/>
      <w:r>
        <w:t>20</w:t>
      </w:r>
      <w:bookmarkEnd w:id="2390"/>
      <w:bookmarkEnd w:id="2391"/>
    </w:p>
    <w:tbl>
      <w:tblPr>
        <w:tblW w:w="5825" w:type="pct"/>
        <w:jc w:val="center"/>
        <w:tblLayout w:type="fixed"/>
        <w:tblLook w:val="04A0" w:firstRow="1" w:lastRow="0" w:firstColumn="1" w:lastColumn="0" w:noHBand="0" w:noVBand="1"/>
        <w:tblCaption w:val="E"/>
      </w:tblPr>
      <w:tblGrid>
        <w:gridCol w:w="1563"/>
        <w:gridCol w:w="998"/>
        <w:gridCol w:w="994"/>
        <w:gridCol w:w="1135"/>
        <w:gridCol w:w="1131"/>
        <w:gridCol w:w="991"/>
        <w:gridCol w:w="991"/>
        <w:gridCol w:w="854"/>
        <w:gridCol w:w="799"/>
        <w:gridCol w:w="812"/>
        <w:gridCol w:w="1050"/>
        <w:gridCol w:w="740"/>
        <w:gridCol w:w="711"/>
        <w:gridCol w:w="567"/>
        <w:gridCol w:w="851"/>
        <w:gridCol w:w="1135"/>
        <w:gridCol w:w="981"/>
      </w:tblGrid>
      <w:tr w:rsidR="00761B6C" w:rsidRPr="00236418" w14:paraId="758C92AF" w14:textId="77777777" w:rsidTr="00B93AE4">
        <w:trPr>
          <w:trHeight w:val="255"/>
          <w:jc w:val="center"/>
        </w:trPr>
        <w:tc>
          <w:tcPr>
            <w:tcW w:w="479" w:type="pct"/>
            <w:tcBorders>
              <w:top w:val="single" w:sz="4" w:space="0" w:color="auto"/>
              <w:left w:val="single" w:sz="4" w:space="0" w:color="auto"/>
              <w:bottom w:val="single" w:sz="4" w:space="0" w:color="auto"/>
              <w:right w:val="nil"/>
            </w:tcBorders>
            <w:shd w:val="clear" w:color="auto" w:fill="auto"/>
            <w:hideMark/>
          </w:tcPr>
          <w:p w14:paraId="3D3715E0"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En milliers de CHF</w:t>
            </w:r>
          </w:p>
        </w:tc>
        <w:tc>
          <w:tcPr>
            <w:tcW w:w="306" w:type="pct"/>
            <w:tcBorders>
              <w:top w:val="single" w:sz="4" w:space="0" w:color="auto"/>
              <w:left w:val="single" w:sz="4" w:space="0" w:color="auto"/>
              <w:bottom w:val="single" w:sz="4" w:space="0" w:color="auto"/>
              <w:right w:val="single" w:sz="4" w:space="0" w:color="auto"/>
            </w:tcBorders>
            <w:shd w:val="clear" w:color="auto" w:fill="auto"/>
            <w:hideMark/>
          </w:tcPr>
          <w:p w14:paraId="054F162F"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Secrétariat</w:t>
            </w:r>
          </w:p>
          <w:p w14:paraId="4612BA74"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général</w:t>
            </w:r>
          </w:p>
        </w:tc>
        <w:tc>
          <w:tcPr>
            <w:tcW w:w="305" w:type="pct"/>
            <w:tcBorders>
              <w:top w:val="single" w:sz="4" w:space="0" w:color="auto"/>
              <w:left w:val="nil"/>
              <w:bottom w:val="single" w:sz="4" w:space="0" w:color="auto"/>
              <w:right w:val="single" w:sz="4" w:space="0" w:color="auto"/>
            </w:tcBorders>
            <w:shd w:val="clear" w:color="auto" w:fill="auto"/>
            <w:noWrap/>
            <w:hideMark/>
          </w:tcPr>
          <w:p w14:paraId="5787C284" w14:textId="200DDE08"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Secteur des </w:t>
            </w:r>
            <w:proofErr w:type="spellStart"/>
            <w:r w:rsidRPr="00236418">
              <w:rPr>
                <w:rFonts w:asciiTheme="minorHAnsi" w:hAnsiTheme="minorHAnsi"/>
                <w:sz w:val="14"/>
                <w:szCs w:val="14"/>
              </w:rPr>
              <w:t>radiocom</w:t>
            </w:r>
            <w:proofErr w:type="spellEnd"/>
            <w:r w:rsidR="00B93AE4">
              <w:rPr>
                <w:rFonts w:asciiTheme="minorHAnsi" w:hAnsiTheme="minorHAnsi"/>
                <w:sz w:val="14"/>
                <w:szCs w:val="14"/>
              </w:rPr>
              <w:t>-</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48" w:type="pct"/>
            <w:tcBorders>
              <w:top w:val="single" w:sz="4" w:space="0" w:color="auto"/>
              <w:left w:val="nil"/>
              <w:bottom w:val="single" w:sz="4" w:space="0" w:color="auto"/>
              <w:right w:val="single" w:sz="4" w:space="0" w:color="auto"/>
            </w:tcBorders>
            <w:shd w:val="clear" w:color="auto" w:fill="auto"/>
            <w:noWrap/>
            <w:hideMark/>
          </w:tcPr>
          <w:p w14:paraId="0E3E1BA5" w14:textId="1B86BB8C"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Secteur de la</w:t>
            </w:r>
            <w:r w:rsidRPr="00236418">
              <w:rPr>
                <w:rFonts w:asciiTheme="minorHAnsi" w:hAnsiTheme="minorHAnsi"/>
                <w:sz w:val="14"/>
                <w:szCs w:val="14"/>
              </w:rPr>
              <w:br/>
              <w:t>normalisation des télécom</w:t>
            </w:r>
            <w:r w:rsidR="00B93AE4">
              <w:rPr>
                <w:rFonts w:asciiTheme="minorHAnsi" w:hAnsiTheme="minorHAnsi"/>
                <w:sz w:val="14"/>
                <w:szCs w:val="14"/>
              </w:rPr>
              <w:t>-</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47" w:type="pct"/>
            <w:tcBorders>
              <w:top w:val="single" w:sz="4" w:space="0" w:color="auto"/>
              <w:left w:val="nil"/>
              <w:bottom w:val="single" w:sz="4" w:space="0" w:color="auto"/>
              <w:right w:val="single" w:sz="4" w:space="0" w:color="auto"/>
            </w:tcBorders>
            <w:shd w:val="clear" w:color="auto" w:fill="auto"/>
            <w:noWrap/>
            <w:hideMark/>
          </w:tcPr>
          <w:p w14:paraId="7FB74CAC"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Secteur du </w:t>
            </w:r>
            <w:proofErr w:type="spellStart"/>
            <w:r w:rsidRPr="00236418">
              <w:rPr>
                <w:rFonts w:asciiTheme="minorHAnsi" w:hAnsiTheme="minorHAnsi"/>
                <w:sz w:val="14"/>
                <w:szCs w:val="14"/>
              </w:rPr>
              <w:t>dével</w:t>
            </w:r>
            <w:proofErr w:type="spellEnd"/>
            <w:r w:rsidRPr="00236418">
              <w:rPr>
                <w:rFonts w:asciiTheme="minorHAnsi" w:hAnsiTheme="minorHAnsi"/>
                <w:sz w:val="14"/>
                <w:szCs w:val="14"/>
              </w:rPr>
              <w:t>. des télécom-</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04" w:type="pct"/>
            <w:tcBorders>
              <w:top w:val="single" w:sz="4" w:space="0" w:color="auto"/>
              <w:left w:val="nil"/>
              <w:bottom w:val="single" w:sz="4" w:space="0" w:color="auto"/>
              <w:right w:val="nil"/>
            </w:tcBorders>
            <w:shd w:val="clear" w:color="auto" w:fill="auto"/>
            <w:noWrap/>
            <w:hideMark/>
          </w:tcPr>
          <w:p w14:paraId="36056A7B"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Non attribuable à un segment</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14:paraId="08D2BE3D"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Total Fonds 1000+</w:t>
            </w:r>
            <w:r w:rsidRPr="00236418">
              <w:rPr>
                <w:rFonts w:asciiTheme="minorHAnsi" w:hAnsiTheme="minorHAnsi"/>
                <w:sz w:val="14"/>
                <w:szCs w:val="14"/>
              </w:rPr>
              <w:br/>
              <w:t>1010</w:t>
            </w:r>
          </w:p>
        </w:tc>
        <w:tc>
          <w:tcPr>
            <w:tcW w:w="262" w:type="pct"/>
            <w:tcBorders>
              <w:top w:val="single" w:sz="4" w:space="0" w:color="auto"/>
              <w:left w:val="nil"/>
              <w:bottom w:val="single" w:sz="4" w:space="0" w:color="auto"/>
              <w:right w:val="single" w:sz="4" w:space="0" w:color="auto"/>
            </w:tcBorders>
            <w:shd w:val="clear" w:color="auto" w:fill="auto"/>
            <w:noWrap/>
            <w:hideMark/>
          </w:tcPr>
          <w:p w14:paraId="17D8DD90"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Fonds pour le nouveau bâtiment</w:t>
            </w:r>
          </w:p>
        </w:tc>
        <w:tc>
          <w:tcPr>
            <w:tcW w:w="245" w:type="pct"/>
            <w:tcBorders>
              <w:top w:val="single" w:sz="4" w:space="0" w:color="auto"/>
              <w:left w:val="nil"/>
              <w:bottom w:val="single" w:sz="4" w:space="0" w:color="auto"/>
              <w:right w:val="single" w:sz="4" w:space="0" w:color="auto"/>
            </w:tcBorders>
          </w:tcPr>
          <w:p w14:paraId="75B8A803"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Fonds de réserve pour le nouveau bâtiment</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14:paraId="48127EF7"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Caisse assurance </w:t>
            </w:r>
          </w:p>
        </w:tc>
        <w:tc>
          <w:tcPr>
            <w:tcW w:w="322" w:type="pct"/>
            <w:tcBorders>
              <w:top w:val="single" w:sz="4" w:space="0" w:color="auto"/>
              <w:left w:val="nil"/>
              <w:bottom w:val="single" w:sz="4" w:space="0" w:color="auto"/>
              <w:right w:val="single" w:sz="4" w:space="0" w:color="auto"/>
            </w:tcBorders>
            <w:shd w:val="clear" w:color="auto" w:fill="auto"/>
            <w:noWrap/>
            <w:hideMark/>
          </w:tcPr>
          <w:p w14:paraId="089D9796"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Contributions volontaires </w:t>
            </w:r>
          </w:p>
        </w:tc>
        <w:tc>
          <w:tcPr>
            <w:tcW w:w="227" w:type="pct"/>
            <w:tcBorders>
              <w:top w:val="single" w:sz="4" w:space="0" w:color="auto"/>
              <w:left w:val="nil"/>
              <w:bottom w:val="single" w:sz="4" w:space="0" w:color="auto"/>
              <w:right w:val="single" w:sz="4" w:space="0" w:color="auto"/>
            </w:tcBorders>
            <w:shd w:val="clear" w:color="auto" w:fill="auto"/>
            <w:noWrap/>
            <w:hideMark/>
          </w:tcPr>
          <w:p w14:paraId="20CCFE68"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FIT</w:t>
            </w:r>
          </w:p>
        </w:tc>
        <w:tc>
          <w:tcPr>
            <w:tcW w:w="218" w:type="pct"/>
            <w:tcBorders>
              <w:top w:val="single" w:sz="4" w:space="0" w:color="auto"/>
              <w:left w:val="nil"/>
              <w:bottom w:val="single" w:sz="4" w:space="0" w:color="auto"/>
              <w:right w:val="single" w:sz="4" w:space="0" w:color="auto"/>
            </w:tcBorders>
            <w:shd w:val="clear" w:color="auto" w:fill="auto"/>
            <w:noWrap/>
            <w:hideMark/>
          </w:tcPr>
          <w:p w14:paraId="734895FF"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FDTIC</w:t>
            </w:r>
          </w:p>
        </w:tc>
        <w:tc>
          <w:tcPr>
            <w:tcW w:w="174" w:type="pct"/>
            <w:tcBorders>
              <w:top w:val="single" w:sz="4" w:space="0" w:color="auto"/>
              <w:left w:val="nil"/>
              <w:bottom w:val="single" w:sz="4" w:space="0" w:color="auto"/>
              <w:right w:val="single" w:sz="4" w:space="0" w:color="auto"/>
            </w:tcBorders>
            <w:shd w:val="clear" w:color="auto" w:fill="auto"/>
            <w:noWrap/>
            <w:hideMark/>
          </w:tcPr>
          <w:p w14:paraId="42AF5D02"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PNUD </w:t>
            </w:r>
          </w:p>
        </w:tc>
        <w:tc>
          <w:tcPr>
            <w:tcW w:w="261" w:type="pct"/>
            <w:tcBorders>
              <w:top w:val="single" w:sz="4" w:space="0" w:color="auto"/>
              <w:left w:val="nil"/>
              <w:bottom w:val="single" w:sz="4" w:space="0" w:color="auto"/>
              <w:right w:val="single" w:sz="4" w:space="0" w:color="auto"/>
            </w:tcBorders>
            <w:shd w:val="clear" w:color="auto" w:fill="auto"/>
            <w:noWrap/>
            <w:hideMark/>
          </w:tcPr>
          <w:p w14:paraId="5C8FFBDA"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TELECOM </w:t>
            </w:r>
          </w:p>
        </w:tc>
        <w:tc>
          <w:tcPr>
            <w:tcW w:w="348" w:type="pct"/>
            <w:tcBorders>
              <w:top w:val="single" w:sz="4" w:space="0" w:color="auto"/>
              <w:left w:val="nil"/>
              <w:bottom w:val="single" w:sz="4" w:space="0" w:color="auto"/>
              <w:right w:val="single" w:sz="4" w:space="0" w:color="auto"/>
            </w:tcBorders>
            <w:shd w:val="clear" w:color="auto" w:fill="auto"/>
            <w:noWrap/>
            <w:hideMark/>
          </w:tcPr>
          <w:p w14:paraId="1ABDCA24"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Ajustements de consolidation</w:t>
            </w:r>
          </w:p>
        </w:tc>
        <w:tc>
          <w:tcPr>
            <w:tcW w:w="301" w:type="pct"/>
            <w:tcBorders>
              <w:top w:val="single" w:sz="4" w:space="0" w:color="auto"/>
              <w:left w:val="nil"/>
              <w:bottom w:val="single" w:sz="4" w:space="0" w:color="auto"/>
              <w:right w:val="single" w:sz="4" w:space="0" w:color="auto"/>
            </w:tcBorders>
            <w:shd w:val="clear" w:color="auto" w:fill="auto"/>
            <w:noWrap/>
            <w:hideMark/>
          </w:tcPr>
          <w:p w14:paraId="7E0088C9"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Total</w:t>
            </w:r>
          </w:p>
        </w:tc>
      </w:tr>
      <w:tr w:rsidR="00761B6C" w:rsidRPr="00236418" w14:paraId="569B14B3"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2CE43398" w14:textId="77777777" w:rsidR="00761B6C" w:rsidRPr="00236418" w:rsidRDefault="00761B6C" w:rsidP="00761B6C">
            <w:pPr>
              <w:pStyle w:val="Tabletext"/>
              <w:spacing w:before="0" w:after="0"/>
              <w:rPr>
                <w:b/>
                <w:bCs/>
                <w:sz w:val="14"/>
                <w:szCs w:val="14"/>
                <w:lang w:eastAsia="zh-CN"/>
              </w:rPr>
            </w:pPr>
            <w:r w:rsidRPr="00236418">
              <w:rPr>
                <w:b/>
                <w:bCs/>
                <w:sz w:val="14"/>
                <w:szCs w:val="14"/>
                <w:lang w:eastAsia="zh-CN"/>
              </w:rPr>
              <w:t>PRODUITS</w:t>
            </w:r>
          </w:p>
        </w:tc>
        <w:tc>
          <w:tcPr>
            <w:tcW w:w="306" w:type="pct"/>
            <w:tcBorders>
              <w:top w:val="nil"/>
              <w:left w:val="single" w:sz="4" w:space="0" w:color="auto"/>
              <w:bottom w:val="nil"/>
              <w:right w:val="single" w:sz="4" w:space="0" w:color="auto"/>
            </w:tcBorders>
            <w:shd w:val="clear" w:color="auto" w:fill="auto"/>
            <w:noWrap/>
            <w:vAlign w:val="center"/>
          </w:tcPr>
          <w:p w14:paraId="499C16F9" w14:textId="77777777" w:rsidR="00761B6C" w:rsidRPr="00236418" w:rsidRDefault="00761B6C" w:rsidP="00761B6C">
            <w:pPr>
              <w:pStyle w:val="Tabletext"/>
              <w:spacing w:before="0" w:after="0"/>
              <w:jc w:val="right"/>
              <w:rPr>
                <w:sz w:val="14"/>
                <w:szCs w:val="14"/>
                <w:lang w:eastAsia="zh-CN"/>
              </w:rPr>
            </w:pPr>
          </w:p>
        </w:tc>
        <w:tc>
          <w:tcPr>
            <w:tcW w:w="305" w:type="pct"/>
            <w:tcBorders>
              <w:top w:val="nil"/>
              <w:left w:val="nil"/>
              <w:bottom w:val="nil"/>
              <w:right w:val="single" w:sz="4" w:space="0" w:color="auto"/>
            </w:tcBorders>
            <w:shd w:val="clear" w:color="auto" w:fill="auto"/>
            <w:noWrap/>
            <w:vAlign w:val="center"/>
          </w:tcPr>
          <w:p w14:paraId="042A369D" w14:textId="77777777" w:rsidR="00761B6C" w:rsidRPr="00236418" w:rsidRDefault="00761B6C" w:rsidP="00761B6C">
            <w:pPr>
              <w:pStyle w:val="Tabletext"/>
              <w:spacing w:before="0" w:after="0"/>
              <w:jc w:val="right"/>
              <w:rPr>
                <w:sz w:val="14"/>
                <w:szCs w:val="14"/>
                <w:lang w:eastAsia="zh-CN"/>
              </w:rPr>
            </w:pPr>
          </w:p>
        </w:tc>
        <w:tc>
          <w:tcPr>
            <w:tcW w:w="348" w:type="pct"/>
            <w:tcBorders>
              <w:top w:val="nil"/>
              <w:left w:val="nil"/>
              <w:bottom w:val="nil"/>
              <w:right w:val="single" w:sz="4" w:space="0" w:color="auto"/>
            </w:tcBorders>
            <w:shd w:val="clear" w:color="auto" w:fill="auto"/>
            <w:noWrap/>
            <w:vAlign w:val="center"/>
          </w:tcPr>
          <w:p w14:paraId="627DC494" w14:textId="77777777" w:rsidR="00761B6C" w:rsidRPr="00236418" w:rsidRDefault="00761B6C" w:rsidP="00761B6C">
            <w:pPr>
              <w:pStyle w:val="Tabletext"/>
              <w:spacing w:before="0" w:after="0"/>
              <w:jc w:val="right"/>
              <w:rPr>
                <w:sz w:val="14"/>
                <w:szCs w:val="14"/>
                <w:lang w:eastAsia="zh-CN"/>
              </w:rPr>
            </w:pPr>
          </w:p>
        </w:tc>
        <w:tc>
          <w:tcPr>
            <w:tcW w:w="347" w:type="pct"/>
            <w:tcBorders>
              <w:top w:val="nil"/>
              <w:left w:val="nil"/>
              <w:bottom w:val="nil"/>
              <w:right w:val="single" w:sz="4" w:space="0" w:color="auto"/>
            </w:tcBorders>
            <w:shd w:val="clear" w:color="auto" w:fill="auto"/>
            <w:noWrap/>
            <w:vAlign w:val="center"/>
          </w:tcPr>
          <w:p w14:paraId="0DEB4DAA" w14:textId="77777777" w:rsidR="00761B6C" w:rsidRPr="00236418" w:rsidRDefault="00761B6C" w:rsidP="00761B6C">
            <w:pPr>
              <w:pStyle w:val="Tabletext"/>
              <w:spacing w:before="0" w:after="0"/>
              <w:jc w:val="right"/>
              <w:rPr>
                <w:sz w:val="14"/>
                <w:szCs w:val="14"/>
                <w:lang w:eastAsia="zh-CN"/>
              </w:rPr>
            </w:pPr>
          </w:p>
        </w:tc>
        <w:tc>
          <w:tcPr>
            <w:tcW w:w="304" w:type="pct"/>
            <w:tcBorders>
              <w:top w:val="nil"/>
              <w:left w:val="nil"/>
              <w:bottom w:val="nil"/>
              <w:right w:val="nil"/>
            </w:tcBorders>
            <w:shd w:val="clear" w:color="auto" w:fill="auto"/>
            <w:noWrap/>
            <w:vAlign w:val="center"/>
          </w:tcPr>
          <w:p w14:paraId="170F3BD1" w14:textId="77777777" w:rsidR="00761B6C" w:rsidRPr="00236418" w:rsidRDefault="00761B6C" w:rsidP="00761B6C">
            <w:pPr>
              <w:pStyle w:val="Tabletext"/>
              <w:spacing w:before="0" w:after="0"/>
              <w:jc w:val="right"/>
              <w:rPr>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center"/>
          </w:tcPr>
          <w:p w14:paraId="3E767839" w14:textId="77777777" w:rsidR="00761B6C" w:rsidRPr="00236418" w:rsidRDefault="00761B6C" w:rsidP="00761B6C">
            <w:pPr>
              <w:pStyle w:val="Tabletext"/>
              <w:spacing w:before="0" w:after="0"/>
              <w:jc w:val="right"/>
              <w:rPr>
                <w:sz w:val="14"/>
                <w:szCs w:val="14"/>
                <w:lang w:eastAsia="zh-CN"/>
              </w:rPr>
            </w:pPr>
          </w:p>
        </w:tc>
        <w:tc>
          <w:tcPr>
            <w:tcW w:w="262" w:type="pct"/>
            <w:tcBorders>
              <w:top w:val="nil"/>
              <w:left w:val="nil"/>
              <w:bottom w:val="nil"/>
              <w:right w:val="single" w:sz="4" w:space="0" w:color="auto"/>
            </w:tcBorders>
            <w:shd w:val="clear" w:color="auto" w:fill="auto"/>
            <w:noWrap/>
            <w:vAlign w:val="center"/>
            <w:hideMark/>
          </w:tcPr>
          <w:p w14:paraId="61EEFE7E"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245" w:type="pct"/>
            <w:tcBorders>
              <w:top w:val="nil"/>
              <w:left w:val="nil"/>
              <w:bottom w:val="nil"/>
              <w:right w:val="single" w:sz="4" w:space="0" w:color="auto"/>
            </w:tcBorders>
          </w:tcPr>
          <w:p w14:paraId="28A6152C" w14:textId="77777777" w:rsidR="00761B6C" w:rsidRPr="00236418" w:rsidRDefault="00761B6C" w:rsidP="00761B6C">
            <w:pPr>
              <w:pStyle w:val="Tabletext"/>
              <w:spacing w:before="0" w:after="0"/>
              <w:jc w:val="right"/>
              <w:rPr>
                <w:sz w:val="14"/>
                <w:szCs w:val="14"/>
                <w:lang w:eastAsia="zh-CN"/>
              </w:rPr>
            </w:pPr>
          </w:p>
        </w:tc>
        <w:tc>
          <w:tcPr>
            <w:tcW w:w="249" w:type="pct"/>
            <w:tcBorders>
              <w:top w:val="nil"/>
              <w:left w:val="single" w:sz="4" w:space="0" w:color="auto"/>
              <w:bottom w:val="nil"/>
              <w:right w:val="single" w:sz="4" w:space="0" w:color="auto"/>
            </w:tcBorders>
            <w:shd w:val="clear" w:color="auto" w:fill="auto"/>
            <w:noWrap/>
            <w:vAlign w:val="center"/>
            <w:hideMark/>
          </w:tcPr>
          <w:p w14:paraId="0686F3F5"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322" w:type="pct"/>
            <w:tcBorders>
              <w:top w:val="nil"/>
              <w:left w:val="nil"/>
              <w:bottom w:val="nil"/>
              <w:right w:val="single" w:sz="4" w:space="0" w:color="auto"/>
            </w:tcBorders>
            <w:shd w:val="clear" w:color="auto" w:fill="auto"/>
            <w:noWrap/>
            <w:vAlign w:val="center"/>
            <w:hideMark/>
          </w:tcPr>
          <w:p w14:paraId="0249AF9C"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227" w:type="pct"/>
            <w:tcBorders>
              <w:top w:val="nil"/>
              <w:left w:val="nil"/>
              <w:bottom w:val="nil"/>
              <w:right w:val="single" w:sz="4" w:space="0" w:color="auto"/>
            </w:tcBorders>
            <w:shd w:val="clear" w:color="auto" w:fill="auto"/>
            <w:noWrap/>
            <w:vAlign w:val="center"/>
            <w:hideMark/>
          </w:tcPr>
          <w:p w14:paraId="5FE2B096"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218" w:type="pct"/>
            <w:tcBorders>
              <w:top w:val="nil"/>
              <w:left w:val="nil"/>
              <w:bottom w:val="nil"/>
              <w:right w:val="single" w:sz="4" w:space="0" w:color="auto"/>
            </w:tcBorders>
            <w:shd w:val="clear" w:color="auto" w:fill="auto"/>
            <w:noWrap/>
            <w:vAlign w:val="center"/>
            <w:hideMark/>
          </w:tcPr>
          <w:p w14:paraId="169D5E30"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174" w:type="pct"/>
            <w:tcBorders>
              <w:top w:val="nil"/>
              <w:left w:val="nil"/>
              <w:bottom w:val="nil"/>
              <w:right w:val="single" w:sz="4" w:space="0" w:color="auto"/>
            </w:tcBorders>
            <w:shd w:val="clear" w:color="auto" w:fill="auto"/>
            <w:noWrap/>
            <w:vAlign w:val="center"/>
            <w:hideMark/>
          </w:tcPr>
          <w:p w14:paraId="2E330CF0"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261" w:type="pct"/>
            <w:tcBorders>
              <w:top w:val="nil"/>
              <w:left w:val="nil"/>
              <w:bottom w:val="nil"/>
              <w:right w:val="single" w:sz="4" w:space="0" w:color="auto"/>
            </w:tcBorders>
            <w:shd w:val="clear" w:color="auto" w:fill="auto"/>
            <w:noWrap/>
            <w:vAlign w:val="center"/>
            <w:hideMark/>
          </w:tcPr>
          <w:p w14:paraId="7784212F"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348" w:type="pct"/>
            <w:tcBorders>
              <w:top w:val="nil"/>
              <w:left w:val="nil"/>
              <w:bottom w:val="nil"/>
              <w:right w:val="single" w:sz="4" w:space="0" w:color="auto"/>
            </w:tcBorders>
            <w:shd w:val="clear" w:color="auto" w:fill="auto"/>
            <w:noWrap/>
            <w:vAlign w:val="center"/>
            <w:hideMark/>
          </w:tcPr>
          <w:p w14:paraId="22FA0BA7"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301" w:type="pct"/>
            <w:tcBorders>
              <w:top w:val="nil"/>
              <w:left w:val="nil"/>
              <w:bottom w:val="nil"/>
              <w:right w:val="single" w:sz="4" w:space="0" w:color="auto"/>
            </w:tcBorders>
            <w:shd w:val="clear" w:color="auto" w:fill="auto"/>
            <w:noWrap/>
            <w:vAlign w:val="center"/>
            <w:hideMark/>
          </w:tcPr>
          <w:p w14:paraId="6D9DB7A5"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r>
      <w:tr w:rsidR="00761B6C" w:rsidRPr="00236418" w14:paraId="48A3D43F"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1675F644" w14:textId="77777777" w:rsidR="00761B6C" w:rsidRPr="00236418" w:rsidRDefault="00761B6C" w:rsidP="00761B6C">
            <w:pPr>
              <w:pStyle w:val="Tabletext"/>
              <w:spacing w:before="0" w:after="0"/>
              <w:rPr>
                <w:sz w:val="14"/>
                <w:szCs w:val="14"/>
                <w:lang w:eastAsia="zh-CN"/>
              </w:rPr>
            </w:pPr>
            <w:r w:rsidRPr="00236418">
              <w:rPr>
                <w:sz w:val="14"/>
                <w:szCs w:val="14"/>
              </w:rPr>
              <w:t>Contributions mise en recouvrement</w:t>
            </w:r>
          </w:p>
        </w:tc>
        <w:tc>
          <w:tcPr>
            <w:tcW w:w="306" w:type="pct"/>
            <w:tcBorders>
              <w:top w:val="nil"/>
              <w:left w:val="single" w:sz="4" w:space="0" w:color="auto"/>
              <w:bottom w:val="nil"/>
              <w:right w:val="single" w:sz="4" w:space="0" w:color="auto"/>
            </w:tcBorders>
            <w:shd w:val="clear" w:color="auto" w:fill="auto"/>
            <w:noWrap/>
            <w:vAlign w:val="bottom"/>
          </w:tcPr>
          <w:p w14:paraId="46753D02"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9848A4">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1AB2594F"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6</w:t>
            </w:r>
            <w:r>
              <w:rPr>
                <w:sz w:val="14"/>
                <w:szCs w:val="14"/>
                <w:lang w:eastAsia="en-GB"/>
              </w:rPr>
              <w:t xml:space="preserve"> </w:t>
            </w:r>
            <w:r w:rsidRPr="00D34298">
              <w:rPr>
                <w:sz w:val="14"/>
                <w:szCs w:val="14"/>
                <w:lang w:eastAsia="en-GB"/>
              </w:rPr>
              <w:t>544</w:t>
            </w:r>
          </w:p>
        </w:tc>
        <w:tc>
          <w:tcPr>
            <w:tcW w:w="348" w:type="pct"/>
            <w:tcBorders>
              <w:top w:val="nil"/>
              <w:left w:val="nil"/>
              <w:bottom w:val="nil"/>
              <w:right w:val="single" w:sz="4" w:space="0" w:color="auto"/>
            </w:tcBorders>
            <w:shd w:val="clear" w:color="auto" w:fill="auto"/>
            <w:noWrap/>
            <w:vAlign w:val="bottom"/>
          </w:tcPr>
          <w:p w14:paraId="4718EE89"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8</w:t>
            </w:r>
            <w:r>
              <w:rPr>
                <w:sz w:val="14"/>
                <w:szCs w:val="14"/>
                <w:lang w:eastAsia="en-GB"/>
              </w:rPr>
              <w:t xml:space="preserve"> </w:t>
            </w:r>
            <w:r w:rsidRPr="00D34298">
              <w:rPr>
                <w:sz w:val="14"/>
                <w:szCs w:val="14"/>
                <w:lang w:eastAsia="en-GB"/>
              </w:rPr>
              <w:t>099</w:t>
            </w:r>
          </w:p>
        </w:tc>
        <w:tc>
          <w:tcPr>
            <w:tcW w:w="347" w:type="pct"/>
            <w:tcBorders>
              <w:top w:val="nil"/>
              <w:left w:val="nil"/>
              <w:bottom w:val="nil"/>
              <w:right w:val="single" w:sz="4" w:space="0" w:color="auto"/>
            </w:tcBorders>
            <w:shd w:val="clear" w:color="auto" w:fill="auto"/>
            <w:noWrap/>
            <w:vAlign w:val="bottom"/>
          </w:tcPr>
          <w:p w14:paraId="2283D883"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1</w:t>
            </w:r>
            <w:r>
              <w:rPr>
                <w:sz w:val="14"/>
                <w:szCs w:val="14"/>
                <w:lang w:eastAsia="en-GB"/>
              </w:rPr>
              <w:t xml:space="preserve"> </w:t>
            </w:r>
            <w:r w:rsidRPr="00D34298">
              <w:rPr>
                <w:sz w:val="14"/>
                <w:szCs w:val="14"/>
                <w:lang w:eastAsia="en-GB"/>
              </w:rPr>
              <w:t xml:space="preserve">407 </w:t>
            </w:r>
          </w:p>
        </w:tc>
        <w:tc>
          <w:tcPr>
            <w:tcW w:w="304" w:type="pct"/>
            <w:tcBorders>
              <w:top w:val="nil"/>
              <w:left w:val="nil"/>
              <w:bottom w:val="nil"/>
              <w:right w:val="nil"/>
            </w:tcBorders>
            <w:shd w:val="clear" w:color="auto" w:fill="auto"/>
            <w:noWrap/>
            <w:vAlign w:val="bottom"/>
          </w:tcPr>
          <w:p w14:paraId="3715CBCB"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109</w:t>
            </w:r>
            <w:r>
              <w:rPr>
                <w:sz w:val="14"/>
                <w:szCs w:val="14"/>
                <w:lang w:eastAsia="en-GB"/>
              </w:rPr>
              <w:t xml:space="preserve"> </w:t>
            </w:r>
            <w:r w:rsidRPr="00D34298">
              <w:rPr>
                <w:sz w:val="14"/>
                <w:szCs w:val="14"/>
                <w:lang w:eastAsia="en-GB"/>
              </w:rPr>
              <w:t>691</w:t>
            </w:r>
          </w:p>
        </w:tc>
        <w:tc>
          <w:tcPr>
            <w:tcW w:w="304" w:type="pct"/>
            <w:tcBorders>
              <w:top w:val="nil"/>
              <w:left w:val="single" w:sz="4" w:space="0" w:color="auto"/>
              <w:bottom w:val="nil"/>
              <w:right w:val="single" w:sz="4" w:space="0" w:color="auto"/>
            </w:tcBorders>
            <w:shd w:val="clear" w:color="auto" w:fill="auto"/>
            <w:noWrap/>
            <w:vAlign w:val="bottom"/>
          </w:tcPr>
          <w:p w14:paraId="5A37F90B"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25</w:t>
            </w:r>
            <w:r>
              <w:rPr>
                <w:b/>
                <w:bCs/>
                <w:sz w:val="14"/>
                <w:szCs w:val="14"/>
                <w:lang w:eastAsia="en-GB"/>
              </w:rPr>
              <w:t xml:space="preserve"> </w:t>
            </w:r>
            <w:r w:rsidRPr="00D34298">
              <w:rPr>
                <w:b/>
                <w:bCs/>
                <w:sz w:val="14"/>
                <w:szCs w:val="14"/>
                <w:lang w:eastAsia="en-GB"/>
              </w:rPr>
              <w:t>741</w:t>
            </w:r>
          </w:p>
        </w:tc>
        <w:tc>
          <w:tcPr>
            <w:tcW w:w="262" w:type="pct"/>
            <w:tcBorders>
              <w:top w:val="nil"/>
              <w:left w:val="nil"/>
              <w:bottom w:val="nil"/>
              <w:right w:val="single" w:sz="4" w:space="0" w:color="auto"/>
            </w:tcBorders>
            <w:shd w:val="clear" w:color="auto" w:fill="auto"/>
            <w:noWrap/>
            <w:vAlign w:val="bottom"/>
          </w:tcPr>
          <w:p w14:paraId="305A1415"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xml:space="preserve"> </w:t>
            </w:r>
            <w:r>
              <w:rPr>
                <w:sz w:val="14"/>
                <w:szCs w:val="14"/>
                <w:lang w:eastAsia="en-GB"/>
              </w:rPr>
              <w:t>–</w:t>
            </w:r>
          </w:p>
        </w:tc>
        <w:tc>
          <w:tcPr>
            <w:tcW w:w="245" w:type="pct"/>
            <w:tcBorders>
              <w:top w:val="nil"/>
              <w:left w:val="nil"/>
              <w:bottom w:val="nil"/>
              <w:right w:val="single" w:sz="4" w:space="0" w:color="auto"/>
            </w:tcBorders>
            <w:shd w:val="clear" w:color="auto" w:fill="auto"/>
            <w:vAlign w:val="bottom"/>
          </w:tcPr>
          <w:p w14:paraId="0AC1317D"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3094434E"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xml:space="preserve"> </w:t>
            </w:r>
            <w:r>
              <w:rPr>
                <w:sz w:val="14"/>
                <w:szCs w:val="14"/>
                <w:lang w:eastAsia="en-GB"/>
              </w:rPr>
              <w:t>–</w:t>
            </w:r>
          </w:p>
        </w:tc>
        <w:tc>
          <w:tcPr>
            <w:tcW w:w="322" w:type="pct"/>
            <w:tcBorders>
              <w:top w:val="nil"/>
              <w:left w:val="nil"/>
              <w:bottom w:val="nil"/>
              <w:right w:val="nil"/>
            </w:tcBorders>
            <w:shd w:val="clear" w:color="auto" w:fill="auto"/>
            <w:noWrap/>
            <w:vAlign w:val="bottom"/>
          </w:tcPr>
          <w:p w14:paraId="42E6D855"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27" w:type="pct"/>
            <w:tcBorders>
              <w:top w:val="nil"/>
              <w:left w:val="single" w:sz="4" w:space="0" w:color="auto"/>
              <w:bottom w:val="nil"/>
              <w:right w:val="nil"/>
            </w:tcBorders>
            <w:shd w:val="clear" w:color="auto" w:fill="auto"/>
            <w:noWrap/>
            <w:vAlign w:val="bottom"/>
          </w:tcPr>
          <w:p w14:paraId="2D061C48"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18" w:type="pct"/>
            <w:tcBorders>
              <w:top w:val="nil"/>
              <w:left w:val="single" w:sz="4" w:space="0" w:color="auto"/>
              <w:bottom w:val="nil"/>
              <w:right w:val="nil"/>
            </w:tcBorders>
            <w:shd w:val="clear" w:color="auto" w:fill="auto"/>
            <w:noWrap/>
            <w:vAlign w:val="bottom"/>
          </w:tcPr>
          <w:p w14:paraId="5E77C31B"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174" w:type="pct"/>
            <w:tcBorders>
              <w:top w:val="nil"/>
              <w:left w:val="single" w:sz="4" w:space="0" w:color="auto"/>
              <w:bottom w:val="nil"/>
              <w:right w:val="single" w:sz="4" w:space="0" w:color="auto"/>
            </w:tcBorders>
            <w:shd w:val="clear" w:color="auto" w:fill="auto"/>
            <w:noWrap/>
            <w:vAlign w:val="bottom"/>
          </w:tcPr>
          <w:p w14:paraId="3384D18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0967F9E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48" w:type="pct"/>
            <w:tcBorders>
              <w:top w:val="nil"/>
              <w:left w:val="nil"/>
              <w:bottom w:val="nil"/>
              <w:right w:val="nil"/>
            </w:tcBorders>
            <w:shd w:val="clear" w:color="auto" w:fill="auto"/>
            <w:noWrap/>
            <w:vAlign w:val="bottom"/>
          </w:tcPr>
          <w:p w14:paraId="74EAA0B4"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p>
        </w:tc>
        <w:tc>
          <w:tcPr>
            <w:tcW w:w="301" w:type="pct"/>
            <w:tcBorders>
              <w:top w:val="nil"/>
              <w:left w:val="single" w:sz="4" w:space="0" w:color="auto"/>
              <w:bottom w:val="nil"/>
              <w:right w:val="single" w:sz="4" w:space="0" w:color="auto"/>
            </w:tcBorders>
            <w:shd w:val="clear" w:color="auto" w:fill="auto"/>
            <w:noWrap/>
            <w:vAlign w:val="bottom"/>
          </w:tcPr>
          <w:p w14:paraId="68240369"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125</w:t>
            </w:r>
            <w:r>
              <w:rPr>
                <w:b/>
                <w:bCs/>
                <w:sz w:val="14"/>
                <w:szCs w:val="14"/>
                <w:lang w:eastAsia="en-GB"/>
              </w:rPr>
              <w:t xml:space="preserve"> </w:t>
            </w:r>
            <w:r w:rsidRPr="00D34298">
              <w:rPr>
                <w:b/>
                <w:bCs/>
                <w:sz w:val="14"/>
                <w:szCs w:val="14"/>
                <w:lang w:eastAsia="en-GB"/>
              </w:rPr>
              <w:t>741</w:t>
            </w:r>
          </w:p>
        </w:tc>
      </w:tr>
      <w:tr w:rsidR="00761B6C" w:rsidRPr="00236418" w14:paraId="3F2AB3CD"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50124D74" w14:textId="77777777" w:rsidR="00761B6C" w:rsidRPr="00236418" w:rsidRDefault="00761B6C" w:rsidP="00761B6C">
            <w:pPr>
              <w:pStyle w:val="Tabletext"/>
              <w:spacing w:before="0" w:after="0"/>
              <w:rPr>
                <w:sz w:val="14"/>
                <w:szCs w:val="14"/>
                <w:lang w:eastAsia="zh-CN"/>
              </w:rPr>
            </w:pPr>
            <w:r w:rsidRPr="00236418">
              <w:rPr>
                <w:sz w:val="14"/>
                <w:szCs w:val="14"/>
              </w:rPr>
              <w:t>Contributions volontaires</w:t>
            </w:r>
          </w:p>
        </w:tc>
        <w:tc>
          <w:tcPr>
            <w:tcW w:w="306" w:type="pct"/>
            <w:tcBorders>
              <w:top w:val="nil"/>
              <w:left w:val="single" w:sz="4" w:space="0" w:color="auto"/>
              <w:bottom w:val="nil"/>
              <w:right w:val="single" w:sz="4" w:space="0" w:color="auto"/>
            </w:tcBorders>
            <w:shd w:val="clear" w:color="auto" w:fill="auto"/>
            <w:noWrap/>
            <w:vAlign w:val="bottom"/>
          </w:tcPr>
          <w:p w14:paraId="69322970"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p>
        </w:tc>
        <w:tc>
          <w:tcPr>
            <w:tcW w:w="305" w:type="pct"/>
            <w:tcBorders>
              <w:top w:val="nil"/>
              <w:left w:val="nil"/>
              <w:bottom w:val="nil"/>
              <w:right w:val="single" w:sz="4" w:space="0" w:color="auto"/>
            </w:tcBorders>
            <w:shd w:val="clear" w:color="auto" w:fill="auto"/>
            <w:noWrap/>
            <w:vAlign w:val="bottom"/>
          </w:tcPr>
          <w:p w14:paraId="446CA6C6"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p>
        </w:tc>
        <w:tc>
          <w:tcPr>
            <w:tcW w:w="348" w:type="pct"/>
            <w:tcBorders>
              <w:top w:val="nil"/>
              <w:left w:val="nil"/>
              <w:bottom w:val="nil"/>
              <w:right w:val="single" w:sz="4" w:space="0" w:color="auto"/>
            </w:tcBorders>
            <w:shd w:val="clear" w:color="auto" w:fill="auto"/>
            <w:noWrap/>
            <w:vAlign w:val="bottom"/>
          </w:tcPr>
          <w:p w14:paraId="1746C1CA"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p>
        </w:tc>
        <w:tc>
          <w:tcPr>
            <w:tcW w:w="347" w:type="pct"/>
            <w:tcBorders>
              <w:top w:val="nil"/>
              <w:left w:val="nil"/>
              <w:bottom w:val="nil"/>
              <w:right w:val="single" w:sz="4" w:space="0" w:color="auto"/>
            </w:tcBorders>
            <w:shd w:val="clear" w:color="auto" w:fill="auto"/>
            <w:noWrap/>
            <w:vAlign w:val="bottom"/>
          </w:tcPr>
          <w:p w14:paraId="10851D48"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p>
        </w:tc>
        <w:tc>
          <w:tcPr>
            <w:tcW w:w="304" w:type="pct"/>
            <w:tcBorders>
              <w:top w:val="nil"/>
              <w:left w:val="nil"/>
              <w:bottom w:val="nil"/>
              <w:right w:val="nil"/>
            </w:tcBorders>
            <w:shd w:val="clear" w:color="auto" w:fill="auto"/>
            <w:noWrap/>
            <w:vAlign w:val="bottom"/>
          </w:tcPr>
          <w:p w14:paraId="5DC0FDCA"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p>
        </w:tc>
        <w:tc>
          <w:tcPr>
            <w:tcW w:w="304" w:type="pct"/>
            <w:tcBorders>
              <w:top w:val="nil"/>
              <w:left w:val="single" w:sz="4" w:space="0" w:color="auto"/>
              <w:bottom w:val="nil"/>
              <w:right w:val="single" w:sz="4" w:space="0" w:color="auto"/>
            </w:tcBorders>
            <w:shd w:val="clear" w:color="auto" w:fill="auto"/>
            <w:noWrap/>
            <w:vAlign w:val="bottom"/>
          </w:tcPr>
          <w:p w14:paraId="4FD515C9"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Pr>
                <w:b/>
                <w:bCs/>
                <w:sz w:val="14"/>
                <w:szCs w:val="14"/>
                <w:lang w:eastAsia="en-GB"/>
              </w:rPr>
              <w:t>–</w:t>
            </w:r>
          </w:p>
        </w:tc>
        <w:tc>
          <w:tcPr>
            <w:tcW w:w="262" w:type="pct"/>
            <w:tcBorders>
              <w:top w:val="nil"/>
              <w:left w:val="nil"/>
              <w:bottom w:val="nil"/>
              <w:right w:val="single" w:sz="4" w:space="0" w:color="auto"/>
            </w:tcBorders>
            <w:shd w:val="clear" w:color="auto" w:fill="auto"/>
            <w:noWrap/>
            <w:vAlign w:val="bottom"/>
          </w:tcPr>
          <w:p w14:paraId="3CB18CF9"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p>
        </w:tc>
        <w:tc>
          <w:tcPr>
            <w:tcW w:w="245" w:type="pct"/>
            <w:tcBorders>
              <w:top w:val="nil"/>
              <w:left w:val="nil"/>
              <w:bottom w:val="nil"/>
              <w:right w:val="single" w:sz="4" w:space="0" w:color="auto"/>
            </w:tcBorders>
            <w:shd w:val="clear" w:color="auto" w:fill="auto"/>
            <w:vAlign w:val="bottom"/>
          </w:tcPr>
          <w:p w14:paraId="0279F4D8"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1BB2A16B"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xml:space="preserve"> </w:t>
            </w:r>
            <w:r>
              <w:rPr>
                <w:sz w:val="14"/>
                <w:szCs w:val="14"/>
                <w:lang w:eastAsia="en-GB"/>
              </w:rPr>
              <w:t>–</w:t>
            </w:r>
          </w:p>
        </w:tc>
        <w:tc>
          <w:tcPr>
            <w:tcW w:w="322" w:type="pct"/>
            <w:tcBorders>
              <w:top w:val="nil"/>
              <w:left w:val="nil"/>
              <w:bottom w:val="nil"/>
              <w:right w:val="single" w:sz="4" w:space="0" w:color="auto"/>
            </w:tcBorders>
            <w:shd w:val="clear" w:color="auto" w:fill="auto"/>
            <w:noWrap/>
            <w:vAlign w:val="bottom"/>
          </w:tcPr>
          <w:p w14:paraId="2EE73A0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3</w:t>
            </w:r>
            <w:r>
              <w:rPr>
                <w:color w:val="000000"/>
                <w:sz w:val="14"/>
                <w:szCs w:val="14"/>
                <w:lang w:eastAsia="en-GB"/>
              </w:rPr>
              <w:t xml:space="preserve"> </w:t>
            </w:r>
            <w:r w:rsidRPr="00D34298">
              <w:rPr>
                <w:color w:val="000000"/>
                <w:sz w:val="14"/>
                <w:szCs w:val="14"/>
                <w:lang w:eastAsia="en-GB"/>
              </w:rPr>
              <w:t>002</w:t>
            </w:r>
          </w:p>
        </w:tc>
        <w:tc>
          <w:tcPr>
            <w:tcW w:w="227" w:type="pct"/>
            <w:tcBorders>
              <w:top w:val="nil"/>
              <w:left w:val="nil"/>
              <w:bottom w:val="nil"/>
              <w:right w:val="single" w:sz="4" w:space="0" w:color="auto"/>
            </w:tcBorders>
            <w:shd w:val="clear" w:color="auto" w:fill="auto"/>
            <w:noWrap/>
            <w:vAlign w:val="bottom"/>
          </w:tcPr>
          <w:p w14:paraId="77A9D2D7"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5</w:t>
            </w:r>
            <w:r>
              <w:rPr>
                <w:color w:val="000000"/>
                <w:sz w:val="14"/>
                <w:szCs w:val="14"/>
                <w:lang w:eastAsia="en-GB"/>
              </w:rPr>
              <w:t xml:space="preserve"> </w:t>
            </w:r>
            <w:r w:rsidRPr="00D34298">
              <w:rPr>
                <w:color w:val="000000"/>
                <w:sz w:val="14"/>
                <w:szCs w:val="14"/>
                <w:lang w:eastAsia="en-GB"/>
              </w:rPr>
              <w:t>236</w:t>
            </w:r>
          </w:p>
        </w:tc>
        <w:tc>
          <w:tcPr>
            <w:tcW w:w="218" w:type="pct"/>
            <w:tcBorders>
              <w:top w:val="nil"/>
              <w:left w:val="nil"/>
              <w:bottom w:val="nil"/>
              <w:right w:val="single" w:sz="4" w:space="0" w:color="auto"/>
            </w:tcBorders>
            <w:shd w:val="clear" w:color="auto" w:fill="auto"/>
            <w:noWrap/>
            <w:vAlign w:val="bottom"/>
          </w:tcPr>
          <w:p w14:paraId="490A7A1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r w:rsidRPr="00D34298">
              <w:rPr>
                <w:color w:val="000000"/>
                <w:sz w:val="14"/>
                <w:szCs w:val="14"/>
                <w:lang w:eastAsia="en-GB"/>
              </w:rPr>
              <w:t>5</w:t>
            </w:r>
          </w:p>
        </w:tc>
        <w:tc>
          <w:tcPr>
            <w:tcW w:w="174" w:type="pct"/>
            <w:tcBorders>
              <w:top w:val="nil"/>
              <w:left w:val="nil"/>
              <w:bottom w:val="nil"/>
              <w:right w:val="single" w:sz="4" w:space="0" w:color="auto"/>
            </w:tcBorders>
            <w:shd w:val="clear" w:color="auto" w:fill="auto"/>
            <w:noWrap/>
            <w:vAlign w:val="bottom"/>
          </w:tcPr>
          <w:p w14:paraId="31F9B0A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66</w:t>
            </w:r>
          </w:p>
        </w:tc>
        <w:tc>
          <w:tcPr>
            <w:tcW w:w="261" w:type="pct"/>
            <w:tcBorders>
              <w:top w:val="nil"/>
              <w:left w:val="nil"/>
              <w:bottom w:val="nil"/>
              <w:right w:val="single" w:sz="4" w:space="0" w:color="auto"/>
            </w:tcBorders>
            <w:shd w:val="clear" w:color="auto" w:fill="auto"/>
            <w:noWrap/>
            <w:vAlign w:val="bottom"/>
          </w:tcPr>
          <w:p w14:paraId="52FB8FC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48" w:type="pct"/>
            <w:tcBorders>
              <w:top w:val="nil"/>
              <w:left w:val="nil"/>
              <w:bottom w:val="nil"/>
              <w:right w:val="single" w:sz="4" w:space="0" w:color="auto"/>
            </w:tcBorders>
            <w:shd w:val="clear" w:color="auto" w:fill="auto"/>
            <w:noWrap/>
            <w:vAlign w:val="bottom"/>
          </w:tcPr>
          <w:p w14:paraId="17C872BB"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p>
        </w:tc>
        <w:tc>
          <w:tcPr>
            <w:tcW w:w="301" w:type="pct"/>
            <w:tcBorders>
              <w:top w:val="nil"/>
              <w:left w:val="nil"/>
              <w:bottom w:val="nil"/>
              <w:right w:val="single" w:sz="4" w:space="0" w:color="auto"/>
            </w:tcBorders>
            <w:shd w:val="clear" w:color="auto" w:fill="auto"/>
            <w:noWrap/>
            <w:vAlign w:val="bottom"/>
          </w:tcPr>
          <w:p w14:paraId="7FE63FCE"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8</w:t>
            </w:r>
            <w:r>
              <w:rPr>
                <w:b/>
                <w:bCs/>
                <w:sz w:val="14"/>
                <w:szCs w:val="14"/>
                <w:lang w:eastAsia="en-GB"/>
              </w:rPr>
              <w:t xml:space="preserve"> </w:t>
            </w:r>
            <w:r w:rsidRPr="00D34298">
              <w:rPr>
                <w:b/>
                <w:bCs/>
                <w:sz w:val="14"/>
                <w:szCs w:val="14"/>
                <w:lang w:eastAsia="en-GB"/>
              </w:rPr>
              <w:t>300</w:t>
            </w:r>
          </w:p>
        </w:tc>
      </w:tr>
      <w:tr w:rsidR="00761B6C" w:rsidRPr="00236418" w14:paraId="7CFC9734"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6440A3F3" w14:textId="77777777" w:rsidR="00761B6C" w:rsidRPr="00236418" w:rsidRDefault="00761B6C" w:rsidP="00761B6C">
            <w:pPr>
              <w:pStyle w:val="Tabletext"/>
              <w:spacing w:before="0" w:after="0"/>
              <w:rPr>
                <w:sz w:val="14"/>
                <w:szCs w:val="14"/>
                <w:lang w:eastAsia="zh-CN"/>
              </w:rPr>
            </w:pPr>
            <w:r w:rsidRPr="00236418">
              <w:rPr>
                <w:sz w:val="14"/>
                <w:szCs w:val="14"/>
              </w:rPr>
              <w:t>Publications</w:t>
            </w:r>
          </w:p>
        </w:tc>
        <w:tc>
          <w:tcPr>
            <w:tcW w:w="306" w:type="pct"/>
            <w:tcBorders>
              <w:top w:val="nil"/>
              <w:left w:val="single" w:sz="4" w:space="0" w:color="auto"/>
              <w:bottom w:val="nil"/>
              <w:right w:val="single" w:sz="4" w:space="0" w:color="auto"/>
            </w:tcBorders>
            <w:shd w:val="clear" w:color="auto" w:fill="auto"/>
            <w:noWrap/>
            <w:vAlign w:val="bottom"/>
          </w:tcPr>
          <w:p w14:paraId="1EDE915F"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5</w:t>
            </w:r>
          </w:p>
        </w:tc>
        <w:tc>
          <w:tcPr>
            <w:tcW w:w="305" w:type="pct"/>
            <w:tcBorders>
              <w:top w:val="nil"/>
              <w:left w:val="nil"/>
              <w:bottom w:val="nil"/>
              <w:right w:val="single" w:sz="4" w:space="0" w:color="auto"/>
            </w:tcBorders>
            <w:shd w:val="clear" w:color="auto" w:fill="auto"/>
            <w:noWrap/>
            <w:vAlign w:val="bottom"/>
          </w:tcPr>
          <w:p w14:paraId="5B7BB929"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16</w:t>
            </w:r>
            <w:r>
              <w:rPr>
                <w:sz w:val="14"/>
                <w:szCs w:val="14"/>
                <w:lang w:eastAsia="en-GB"/>
              </w:rPr>
              <w:t xml:space="preserve"> </w:t>
            </w:r>
            <w:r w:rsidRPr="00D34298">
              <w:rPr>
                <w:sz w:val="14"/>
                <w:szCs w:val="14"/>
                <w:lang w:eastAsia="en-GB"/>
              </w:rPr>
              <w:t>995</w:t>
            </w:r>
          </w:p>
        </w:tc>
        <w:tc>
          <w:tcPr>
            <w:tcW w:w="348" w:type="pct"/>
            <w:tcBorders>
              <w:top w:val="nil"/>
              <w:left w:val="nil"/>
              <w:bottom w:val="nil"/>
              <w:right w:val="single" w:sz="4" w:space="0" w:color="auto"/>
            </w:tcBorders>
            <w:shd w:val="clear" w:color="auto" w:fill="auto"/>
            <w:noWrap/>
            <w:vAlign w:val="bottom"/>
          </w:tcPr>
          <w:p w14:paraId="347B36F5"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17</w:t>
            </w:r>
          </w:p>
        </w:tc>
        <w:tc>
          <w:tcPr>
            <w:tcW w:w="347" w:type="pct"/>
            <w:tcBorders>
              <w:top w:val="nil"/>
              <w:left w:val="nil"/>
              <w:bottom w:val="nil"/>
              <w:right w:val="single" w:sz="4" w:space="0" w:color="auto"/>
            </w:tcBorders>
            <w:shd w:val="clear" w:color="auto" w:fill="auto"/>
            <w:noWrap/>
            <w:vAlign w:val="bottom"/>
          </w:tcPr>
          <w:p w14:paraId="75F81F68"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72</w:t>
            </w:r>
          </w:p>
        </w:tc>
        <w:tc>
          <w:tcPr>
            <w:tcW w:w="304" w:type="pct"/>
            <w:tcBorders>
              <w:top w:val="nil"/>
              <w:left w:val="nil"/>
              <w:bottom w:val="nil"/>
              <w:right w:val="nil"/>
            </w:tcBorders>
            <w:shd w:val="clear" w:color="auto" w:fill="auto"/>
            <w:noWrap/>
            <w:vAlign w:val="bottom"/>
          </w:tcPr>
          <w:p w14:paraId="4AD9C0C8"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27</w:t>
            </w:r>
          </w:p>
        </w:tc>
        <w:tc>
          <w:tcPr>
            <w:tcW w:w="304" w:type="pct"/>
            <w:tcBorders>
              <w:top w:val="nil"/>
              <w:left w:val="single" w:sz="4" w:space="0" w:color="auto"/>
              <w:bottom w:val="nil"/>
              <w:right w:val="single" w:sz="4" w:space="0" w:color="auto"/>
            </w:tcBorders>
            <w:shd w:val="clear" w:color="auto" w:fill="auto"/>
            <w:noWrap/>
            <w:vAlign w:val="bottom"/>
          </w:tcPr>
          <w:p w14:paraId="1EC596FE"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17</w:t>
            </w:r>
            <w:r>
              <w:rPr>
                <w:b/>
                <w:bCs/>
                <w:sz w:val="14"/>
                <w:szCs w:val="14"/>
                <w:lang w:eastAsia="en-GB"/>
              </w:rPr>
              <w:t xml:space="preserve"> </w:t>
            </w:r>
            <w:r w:rsidRPr="00D34298">
              <w:rPr>
                <w:b/>
                <w:bCs/>
                <w:sz w:val="14"/>
                <w:szCs w:val="14"/>
                <w:lang w:eastAsia="en-GB"/>
              </w:rPr>
              <w:t>116</w:t>
            </w:r>
          </w:p>
        </w:tc>
        <w:tc>
          <w:tcPr>
            <w:tcW w:w="262" w:type="pct"/>
            <w:tcBorders>
              <w:top w:val="nil"/>
              <w:left w:val="nil"/>
              <w:bottom w:val="nil"/>
              <w:right w:val="single" w:sz="4" w:space="0" w:color="auto"/>
            </w:tcBorders>
            <w:shd w:val="clear" w:color="auto" w:fill="auto"/>
            <w:noWrap/>
            <w:vAlign w:val="bottom"/>
          </w:tcPr>
          <w:p w14:paraId="1D3E5C0D"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p>
        </w:tc>
        <w:tc>
          <w:tcPr>
            <w:tcW w:w="245" w:type="pct"/>
            <w:tcBorders>
              <w:top w:val="nil"/>
              <w:left w:val="nil"/>
              <w:bottom w:val="nil"/>
              <w:right w:val="single" w:sz="4" w:space="0" w:color="auto"/>
            </w:tcBorders>
            <w:shd w:val="clear" w:color="auto" w:fill="auto"/>
            <w:vAlign w:val="bottom"/>
          </w:tcPr>
          <w:p w14:paraId="7C5E2706"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430C1C3F"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42A47B85"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27" w:type="pct"/>
            <w:tcBorders>
              <w:top w:val="nil"/>
              <w:left w:val="nil"/>
              <w:bottom w:val="nil"/>
              <w:right w:val="single" w:sz="4" w:space="0" w:color="auto"/>
            </w:tcBorders>
            <w:shd w:val="clear" w:color="auto" w:fill="auto"/>
            <w:noWrap/>
            <w:vAlign w:val="bottom"/>
          </w:tcPr>
          <w:p w14:paraId="3B2386F7"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p>
        </w:tc>
        <w:tc>
          <w:tcPr>
            <w:tcW w:w="218" w:type="pct"/>
            <w:tcBorders>
              <w:top w:val="nil"/>
              <w:left w:val="nil"/>
              <w:bottom w:val="nil"/>
              <w:right w:val="single" w:sz="4" w:space="0" w:color="auto"/>
            </w:tcBorders>
            <w:shd w:val="clear" w:color="auto" w:fill="auto"/>
            <w:noWrap/>
            <w:vAlign w:val="bottom"/>
          </w:tcPr>
          <w:p w14:paraId="5CFD8FE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bottom"/>
          </w:tcPr>
          <w:p w14:paraId="0686EA37"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bottom"/>
          </w:tcPr>
          <w:p w14:paraId="00D3EA2B"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48" w:type="pct"/>
            <w:tcBorders>
              <w:top w:val="nil"/>
              <w:left w:val="nil"/>
              <w:bottom w:val="nil"/>
              <w:right w:val="single" w:sz="4" w:space="0" w:color="auto"/>
            </w:tcBorders>
            <w:shd w:val="clear" w:color="auto" w:fill="auto"/>
            <w:noWrap/>
            <w:vAlign w:val="bottom"/>
          </w:tcPr>
          <w:p w14:paraId="5CCB3136"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xml:space="preserve"> </w:t>
            </w:r>
            <w:r>
              <w:rPr>
                <w:sz w:val="14"/>
                <w:szCs w:val="14"/>
                <w:lang w:eastAsia="en-GB"/>
              </w:rPr>
              <w:t>–</w:t>
            </w:r>
          </w:p>
        </w:tc>
        <w:tc>
          <w:tcPr>
            <w:tcW w:w="301" w:type="pct"/>
            <w:tcBorders>
              <w:top w:val="nil"/>
              <w:left w:val="nil"/>
              <w:bottom w:val="nil"/>
              <w:right w:val="single" w:sz="4" w:space="0" w:color="auto"/>
            </w:tcBorders>
            <w:shd w:val="clear" w:color="auto" w:fill="auto"/>
            <w:noWrap/>
            <w:vAlign w:val="bottom"/>
          </w:tcPr>
          <w:p w14:paraId="7A2BCA4B"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17</w:t>
            </w:r>
            <w:r>
              <w:rPr>
                <w:b/>
                <w:bCs/>
                <w:sz w:val="14"/>
                <w:szCs w:val="14"/>
                <w:lang w:eastAsia="en-GB"/>
              </w:rPr>
              <w:t xml:space="preserve"> </w:t>
            </w:r>
            <w:r w:rsidRPr="00D34298">
              <w:rPr>
                <w:b/>
                <w:bCs/>
                <w:sz w:val="14"/>
                <w:szCs w:val="14"/>
                <w:lang w:eastAsia="en-GB"/>
              </w:rPr>
              <w:t>116</w:t>
            </w:r>
          </w:p>
        </w:tc>
      </w:tr>
      <w:tr w:rsidR="00761B6C" w:rsidRPr="00236418" w14:paraId="3DC9BA55"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01419EC1" w14:textId="77777777" w:rsidR="00761B6C" w:rsidRPr="00236418" w:rsidRDefault="00761B6C" w:rsidP="00761B6C">
            <w:pPr>
              <w:pStyle w:val="Tabletext"/>
              <w:spacing w:before="0" w:after="0"/>
              <w:rPr>
                <w:sz w:val="14"/>
                <w:szCs w:val="14"/>
                <w:lang w:eastAsia="zh-CN"/>
              </w:rPr>
            </w:pPr>
            <w:r w:rsidRPr="00236418">
              <w:rPr>
                <w:sz w:val="14"/>
                <w:szCs w:val="14"/>
              </w:rPr>
              <w:t>Recouvrement des coûts</w:t>
            </w:r>
          </w:p>
        </w:tc>
        <w:tc>
          <w:tcPr>
            <w:tcW w:w="306" w:type="pct"/>
            <w:tcBorders>
              <w:top w:val="nil"/>
              <w:left w:val="single" w:sz="4" w:space="0" w:color="auto"/>
              <w:bottom w:val="nil"/>
              <w:right w:val="single" w:sz="4" w:space="0" w:color="auto"/>
            </w:tcBorders>
            <w:shd w:val="clear" w:color="auto" w:fill="auto"/>
            <w:noWrap/>
            <w:vAlign w:val="bottom"/>
          </w:tcPr>
          <w:p w14:paraId="4D740524"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19</w:t>
            </w:r>
          </w:p>
        </w:tc>
        <w:tc>
          <w:tcPr>
            <w:tcW w:w="305" w:type="pct"/>
            <w:tcBorders>
              <w:top w:val="nil"/>
              <w:left w:val="nil"/>
              <w:bottom w:val="nil"/>
              <w:right w:val="single" w:sz="4" w:space="0" w:color="auto"/>
            </w:tcBorders>
            <w:shd w:val="clear" w:color="auto" w:fill="auto"/>
            <w:noWrap/>
            <w:vAlign w:val="bottom"/>
          </w:tcPr>
          <w:p w14:paraId="76F6044D"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13</w:t>
            </w:r>
            <w:r>
              <w:rPr>
                <w:sz w:val="14"/>
                <w:szCs w:val="14"/>
                <w:lang w:eastAsia="en-GB"/>
              </w:rPr>
              <w:t xml:space="preserve"> </w:t>
            </w:r>
            <w:r w:rsidRPr="00D34298">
              <w:rPr>
                <w:sz w:val="14"/>
                <w:szCs w:val="14"/>
                <w:lang w:eastAsia="en-GB"/>
              </w:rPr>
              <w:t>631</w:t>
            </w:r>
          </w:p>
        </w:tc>
        <w:tc>
          <w:tcPr>
            <w:tcW w:w="348" w:type="pct"/>
            <w:tcBorders>
              <w:top w:val="nil"/>
              <w:left w:val="nil"/>
              <w:bottom w:val="nil"/>
              <w:right w:val="single" w:sz="4" w:space="0" w:color="auto"/>
            </w:tcBorders>
            <w:shd w:val="clear" w:color="auto" w:fill="auto"/>
            <w:noWrap/>
            <w:vAlign w:val="bottom"/>
          </w:tcPr>
          <w:p w14:paraId="570FFB8D"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264</w:t>
            </w:r>
          </w:p>
        </w:tc>
        <w:tc>
          <w:tcPr>
            <w:tcW w:w="347" w:type="pct"/>
            <w:tcBorders>
              <w:top w:val="nil"/>
              <w:left w:val="nil"/>
              <w:bottom w:val="nil"/>
              <w:right w:val="single" w:sz="4" w:space="0" w:color="auto"/>
            </w:tcBorders>
            <w:shd w:val="clear" w:color="auto" w:fill="auto"/>
            <w:noWrap/>
            <w:vAlign w:val="bottom"/>
          </w:tcPr>
          <w:p w14:paraId="1B323A8C"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236</w:t>
            </w:r>
          </w:p>
        </w:tc>
        <w:tc>
          <w:tcPr>
            <w:tcW w:w="304" w:type="pct"/>
            <w:tcBorders>
              <w:top w:val="nil"/>
              <w:left w:val="nil"/>
              <w:bottom w:val="nil"/>
              <w:right w:val="nil"/>
            </w:tcBorders>
            <w:shd w:val="clear" w:color="auto" w:fill="auto"/>
            <w:noWrap/>
            <w:vAlign w:val="bottom"/>
          </w:tcPr>
          <w:p w14:paraId="70FCDD08"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1</w:t>
            </w:r>
            <w:r>
              <w:rPr>
                <w:sz w:val="14"/>
                <w:szCs w:val="14"/>
                <w:lang w:eastAsia="en-GB"/>
              </w:rPr>
              <w:t xml:space="preserve"> </w:t>
            </w:r>
            <w:r w:rsidRPr="00D34298">
              <w:rPr>
                <w:sz w:val="14"/>
                <w:szCs w:val="14"/>
                <w:lang w:eastAsia="en-GB"/>
              </w:rPr>
              <w:t>383</w:t>
            </w:r>
          </w:p>
        </w:tc>
        <w:tc>
          <w:tcPr>
            <w:tcW w:w="304" w:type="pct"/>
            <w:tcBorders>
              <w:top w:val="nil"/>
              <w:left w:val="single" w:sz="4" w:space="0" w:color="auto"/>
              <w:bottom w:val="nil"/>
              <w:right w:val="single" w:sz="4" w:space="0" w:color="auto"/>
            </w:tcBorders>
            <w:shd w:val="clear" w:color="auto" w:fill="auto"/>
            <w:noWrap/>
            <w:vAlign w:val="bottom"/>
          </w:tcPr>
          <w:p w14:paraId="2FB86362"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15</w:t>
            </w:r>
            <w:r>
              <w:rPr>
                <w:b/>
                <w:bCs/>
                <w:sz w:val="14"/>
                <w:szCs w:val="14"/>
                <w:lang w:eastAsia="en-GB"/>
              </w:rPr>
              <w:t xml:space="preserve"> </w:t>
            </w:r>
            <w:r w:rsidRPr="00D34298">
              <w:rPr>
                <w:b/>
                <w:bCs/>
                <w:sz w:val="14"/>
                <w:szCs w:val="14"/>
                <w:lang w:eastAsia="en-GB"/>
              </w:rPr>
              <w:t>534</w:t>
            </w:r>
          </w:p>
        </w:tc>
        <w:tc>
          <w:tcPr>
            <w:tcW w:w="262" w:type="pct"/>
            <w:tcBorders>
              <w:top w:val="nil"/>
              <w:left w:val="nil"/>
              <w:bottom w:val="nil"/>
              <w:right w:val="single" w:sz="4" w:space="0" w:color="auto"/>
            </w:tcBorders>
            <w:shd w:val="clear" w:color="auto" w:fill="auto"/>
            <w:noWrap/>
            <w:vAlign w:val="bottom"/>
          </w:tcPr>
          <w:p w14:paraId="4FC97A98"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p>
        </w:tc>
        <w:tc>
          <w:tcPr>
            <w:tcW w:w="245" w:type="pct"/>
            <w:tcBorders>
              <w:top w:val="nil"/>
              <w:left w:val="nil"/>
              <w:bottom w:val="nil"/>
              <w:right w:val="single" w:sz="4" w:space="0" w:color="auto"/>
            </w:tcBorders>
            <w:shd w:val="clear" w:color="auto" w:fill="auto"/>
            <w:vAlign w:val="bottom"/>
          </w:tcPr>
          <w:p w14:paraId="7F710ACE"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2EB88F20"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p>
        </w:tc>
        <w:tc>
          <w:tcPr>
            <w:tcW w:w="322" w:type="pct"/>
            <w:tcBorders>
              <w:top w:val="nil"/>
              <w:left w:val="nil"/>
              <w:bottom w:val="nil"/>
              <w:right w:val="single" w:sz="4" w:space="0" w:color="auto"/>
            </w:tcBorders>
            <w:shd w:val="clear" w:color="auto" w:fill="auto"/>
            <w:noWrap/>
            <w:vAlign w:val="bottom"/>
          </w:tcPr>
          <w:p w14:paraId="7957961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27" w:type="pct"/>
            <w:tcBorders>
              <w:top w:val="nil"/>
              <w:left w:val="nil"/>
              <w:bottom w:val="nil"/>
              <w:right w:val="single" w:sz="4" w:space="0" w:color="auto"/>
            </w:tcBorders>
            <w:shd w:val="clear" w:color="auto" w:fill="auto"/>
            <w:noWrap/>
            <w:vAlign w:val="bottom"/>
          </w:tcPr>
          <w:p w14:paraId="3024E30B"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p>
        </w:tc>
        <w:tc>
          <w:tcPr>
            <w:tcW w:w="218" w:type="pct"/>
            <w:tcBorders>
              <w:top w:val="nil"/>
              <w:left w:val="nil"/>
              <w:bottom w:val="nil"/>
              <w:right w:val="single" w:sz="4" w:space="0" w:color="auto"/>
            </w:tcBorders>
            <w:shd w:val="clear" w:color="auto" w:fill="auto"/>
            <w:noWrap/>
            <w:vAlign w:val="bottom"/>
          </w:tcPr>
          <w:p w14:paraId="1226E0F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bottom"/>
          </w:tcPr>
          <w:p w14:paraId="7890E72D"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bottom"/>
          </w:tcPr>
          <w:p w14:paraId="6A0190D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48" w:type="pct"/>
            <w:tcBorders>
              <w:top w:val="nil"/>
              <w:left w:val="nil"/>
              <w:bottom w:val="nil"/>
              <w:right w:val="single" w:sz="4" w:space="0" w:color="auto"/>
            </w:tcBorders>
            <w:shd w:val="clear" w:color="auto" w:fill="auto"/>
            <w:noWrap/>
            <w:vAlign w:val="bottom"/>
          </w:tcPr>
          <w:p w14:paraId="591DC2A5"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301" w:type="pct"/>
            <w:tcBorders>
              <w:top w:val="nil"/>
              <w:left w:val="nil"/>
              <w:bottom w:val="nil"/>
              <w:right w:val="single" w:sz="4" w:space="0" w:color="auto"/>
            </w:tcBorders>
            <w:shd w:val="clear" w:color="auto" w:fill="auto"/>
            <w:noWrap/>
            <w:vAlign w:val="bottom"/>
          </w:tcPr>
          <w:p w14:paraId="65C12588"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15</w:t>
            </w:r>
            <w:r>
              <w:rPr>
                <w:b/>
                <w:bCs/>
                <w:sz w:val="14"/>
                <w:szCs w:val="14"/>
                <w:lang w:eastAsia="en-GB"/>
              </w:rPr>
              <w:t xml:space="preserve"> </w:t>
            </w:r>
            <w:r w:rsidRPr="00D34298">
              <w:rPr>
                <w:b/>
                <w:bCs/>
                <w:sz w:val="14"/>
                <w:szCs w:val="14"/>
                <w:lang w:eastAsia="en-GB"/>
              </w:rPr>
              <w:t>534</w:t>
            </w:r>
          </w:p>
        </w:tc>
      </w:tr>
      <w:tr w:rsidR="00761B6C" w:rsidRPr="00236418" w14:paraId="20359996"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7EFE263E" w14:textId="77777777" w:rsidR="00761B6C" w:rsidRPr="00236418" w:rsidRDefault="00761B6C" w:rsidP="00761B6C">
            <w:pPr>
              <w:pStyle w:val="Tabletext"/>
              <w:spacing w:before="0" w:after="0"/>
              <w:rPr>
                <w:sz w:val="14"/>
                <w:szCs w:val="14"/>
                <w:lang w:eastAsia="zh-CN"/>
              </w:rPr>
            </w:pPr>
            <w:r w:rsidRPr="00236418">
              <w:rPr>
                <w:sz w:val="14"/>
                <w:szCs w:val="14"/>
              </w:rPr>
              <w:t>Autres produits</w:t>
            </w:r>
          </w:p>
        </w:tc>
        <w:tc>
          <w:tcPr>
            <w:tcW w:w="306" w:type="pct"/>
            <w:tcBorders>
              <w:top w:val="nil"/>
              <w:left w:val="single" w:sz="4" w:space="0" w:color="auto"/>
              <w:bottom w:val="nil"/>
              <w:right w:val="single" w:sz="4" w:space="0" w:color="auto"/>
            </w:tcBorders>
            <w:shd w:val="clear" w:color="auto" w:fill="auto"/>
            <w:noWrap/>
            <w:vAlign w:val="bottom"/>
          </w:tcPr>
          <w:p w14:paraId="770E10C8"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9</w:t>
            </w:r>
          </w:p>
        </w:tc>
        <w:tc>
          <w:tcPr>
            <w:tcW w:w="305" w:type="pct"/>
            <w:tcBorders>
              <w:top w:val="nil"/>
              <w:left w:val="nil"/>
              <w:bottom w:val="nil"/>
              <w:right w:val="single" w:sz="4" w:space="0" w:color="auto"/>
            </w:tcBorders>
            <w:shd w:val="clear" w:color="auto" w:fill="auto"/>
            <w:noWrap/>
            <w:vAlign w:val="bottom"/>
          </w:tcPr>
          <w:p w14:paraId="71A6B706"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218</w:t>
            </w:r>
          </w:p>
        </w:tc>
        <w:tc>
          <w:tcPr>
            <w:tcW w:w="348" w:type="pct"/>
            <w:tcBorders>
              <w:top w:val="nil"/>
              <w:left w:val="nil"/>
              <w:bottom w:val="nil"/>
              <w:right w:val="single" w:sz="4" w:space="0" w:color="auto"/>
            </w:tcBorders>
            <w:shd w:val="clear" w:color="auto" w:fill="auto"/>
            <w:noWrap/>
            <w:vAlign w:val="bottom"/>
          </w:tcPr>
          <w:p w14:paraId="23C85073"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0</w:t>
            </w:r>
          </w:p>
        </w:tc>
        <w:tc>
          <w:tcPr>
            <w:tcW w:w="347" w:type="pct"/>
            <w:tcBorders>
              <w:top w:val="nil"/>
              <w:left w:val="nil"/>
              <w:bottom w:val="nil"/>
              <w:right w:val="single" w:sz="4" w:space="0" w:color="auto"/>
            </w:tcBorders>
            <w:shd w:val="clear" w:color="auto" w:fill="auto"/>
            <w:noWrap/>
            <w:vAlign w:val="bottom"/>
          </w:tcPr>
          <w:p w14:paraId="56C31B93"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xml:space="preserve"> 3</w:t>
            </w:r>
          </w:p>
        </w:tc>
        <w:tc>
          <w:tcPr>
            <w:tcW w:w="304" w:type="pct"/>
            <w:tcBorders>
              <w:top w:val="nil"/>
              <w:left w:val="nil"/>
              <w:bottom w:val="nil"/>
              <w:right w:val="nil"/>
            </w:tcBorders>
            <w:shd w:val="clear" w:color="auto" w:fill="auto"/>
            <w:noWrap/>
            <w:vAlign w:val="bottom"/>
          </w:tcPr>
          <w:p w14:paraId="1605C167"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r w:rsidRPr="00D34298">
              <w:rPr>
                <w:sz w:val="14"/>
                <w:szCs w:val="14"/>
                <w:lang w:eastAsia="en-GB"/>
              </w:rPr>
              <w:t>1</w:t>
            </w:r>
            <w:r>
              <w:rPr>
                <w:sz w:val="14"/>
                <w:szCs w:val="14"/>
                <w:lang w:eastAsia="en-GB"/>
              </w:rPr>
              <w:t xml:space="preserve"> </w:t>
            </w:r>
            <w:r w:rsidRPr="00D34298">
              <w:rPr>
                <w:sz w:val="14"/>
                <w:szCs w:val="14"/>
                <w:lang w:eastAsia="en-GB"/>
              </w:rPr>
              <w:t>126</w:t>
            </w:r>
          </w:p>
        </w:tc>
        <w:tc>
          <w:tcPr>
            <w:tcW w:w="304" w:type="pct"/>
            <w:tcBorders>
              <w:top w:val="nil"/>
              <w:left w:val="single" w:sz="4" w:space="0" w:color="auto"/>
              <w:bottom w:val="nil"/>
              <w:right w:val="single" w:sz="4" w:space="0" w:color="auto"/>
            </w:tcBorders>
            <w:shd w:val="clear" w:color="auto" w:fill="auto"/>
            <w:noWrap/>
            <w:vAlign w:val="bottom"/>
          </w:tcPr>
          <w:p w14:paraId="75D94E94"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Pr>
                <w:b/>
                <w:bCs/>
                <w:sz w:val="14"/>
                <w:szCs w:val="14"/>
                <w:lang w:eastAsia="en-GB"/>
              </w:rPr>
              <w:t>–</w:t>
            </w:r>
            <w:r w:rsidRPr="00D34298">
              <w:rPr>
                <w:b/>
                <w:bCs/>
                <w:sz w:val="14"/>
                <w:szCs w:val="14"/>
                <w:lang w:eastAsia="en-GB"/>
              </w:rPr>
              <w:t>896</w:t>
            </w:r>
          </w:p>
        </w:tc>
        <w:tc>
          <w:tcPr>
            <w:tcW w:w="262" w:type="pct"/>
            <w:tcBorders>
              <w:top w:val="nil"/>
              <w:left w:val="nil"/>
              <w:bottom w:val="nil"/>
              <w:right w:val="single" w:sz="4" w:space="0" w:color="auto"/>
            </w:tcBorders>
            <w:shd w:val="clear" w:color="auto" w:fill="auto"/>
            <w:noWrap/>
            <w:vAlign w:val="bottom"/>
          </w:tcPr>
          <w:p w14:paraId="2CA86C84"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xml:space="preserve"> </w:t>
            </w:r>
            <w:r>
              <w:rPr>
                <w:sz w:val="14"/>
                <w:szCs w:val="14"/>
                <w:lang w:eastAsia="en-GB"/>
              </w:rPr>
              <w:t>–</w:t>
            </w:r>
          </w:p>
        </w:tc>
        <w:tc>
          <w:tcPr>
            <w:tcW w:w="245" w:type="pct"/>
            <w:tcBorders>
              <w:top w:val="nil"/>
              <w:left w:val="nil"/>
              <w:bottom w:val="nil"/>
              <w:right w:val="single" w:sz="4" w:space="0" w:color="auto"/>
            </w:tcBorders>
            <w:shd w:val="clear" w:color="auto" w:fill="auto"/>
            <w:vAlign w:val="bottom"/>
          </w:tcPr>
          <w:p w14:paraId="5457DB65"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10</w:t>
            </w:r>
            <w:r>
              <w:rPr>
                <w:sz w:val="14"/>
                <w:szCs w:val="14"/>
                <w:lang w:eastAsia="en-GB"/>
              </w:rPr>
              <w:t xml:space="preserve"> </w:t>
            </w:r>
            <w:r w:rsidRPr="00D34298">
              <w:rPr>
                <w:sz w:val="14"/>
                <w:szCs w:val="14"/>
                <w:lang w:eastAsia="en-GB"/>
              </w:rPr>
              <w:t>000</w:t>
            </w:r>
          </w:p>
        </w:tc>
        <w:tc>
          <w:tcPr>
            <w:tcW w:w="249" w:type="pct"/>
            <w:tcBorders>
              <w:top w:val="nil"/>
              <w:left w:val="nil"/>
              <w:bottom w:val="nil"/>
              <w:right w:val="single" w:sz="4" w:space="0" w:color="auto"/>
            </w:tcBorders>
            <w:shd w:val="clear" w:color="auto" w:fill="auto"/>
            <w:noWrap/>
            <w:vAlign w:val="bottom"/>
          </w:tcPr>
          <w:p w14:paraId="49888A8E"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xml:space="preserve"> </w:t>
            </w:r>
            <w:r>
              <w:rPr>
                <w:sz w:val="14"/>
                <w:szCs w:val="14"/>
                <w:lang w:eastAsia="en-GB"/>
              </w:rPr>
              <w:t>–</w:t>
            </w:r>
          </w:p>
        </w:tc>
        <w:tc>
          <w:tcPr>
            <w:tcW w:w="322" w:type="pct"/>
            <w:tcBorders>
              <w:top w:val="nil"/>
              <w:left w:val="nil"/>
              <w:bottom w:val="nil"/>
              <w:right w:val="single" w:sz="4" w:space="0" w:color="auto"/>
            </w:tcBorders>
            <w:shd w:val="clear" w:color="auto" w:fill="auto"/>
            <w:noWrap/>
            <w:vAlign w:val="bottom"/>
          </w:tcPr>
          <w:p w14:paraId="163853C3"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r w:rsidRPr="00D34298">
              <w:rPr>
                <w:color w:val="000000"/>
                <w:sz w:val="14"/>
                <w:szCs w:val="14"/>
                <w:lang w:eastAsia="en-GB"/>
              </w:rPr>
              <w:t xml:space="preserve"> </w:t>
            </w:r>
          </w:p>
        </w:tc>
        <w:tc>
          <w:tcPr>
            <w:tcW w:w="227" w:type="pct"/>
            <w:tcBorders>
              <w:top w:val="nil"/>
              <w:left w:val="nil"/>
              <w:bottom w:val="nil"/>
              <w:right w:val="single" w:sz="4" w:space="0" w:color="auto"/>
            </w:tcBorders>
            <w:shd w:val="clear" w:color="auto" w:fill="auto"/>
            <w:noWrap/>
            <w:vAlign w:val="bottom"/>
          </w:tcPr>
          <w:p w14:paraId="09F22215"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21</w:t>
            </w:r>
          </w:p>
        </w:tc>
        <w:tc>
          <w:tcPr>
            <w:tcW w:w="218" w:type="pct"/>
            <w:tcBorders>
              <w:top w:val="nil"/>
              <w:left w:val="nil"/>
              <w:bottom w:val="nil"/>
              <w:right w:val="single" w:sz="4" w:space="0" w:color="auto"/>
            </w:tcBorders>
            <w:shd w:val="clear" w:color="auto" w:fill="auto"/>
            <w:noWrap/>
            <w:vAlign w:val="bottom"/>
          </w:tcPr>
          <w:p w14:paraId="2912229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bottom"/>
          </w:tcPr>
          <w:p w14:paraId="37C700E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bottom"/>
          </w:tcPr>
          <w:p w14:paraId="687B9C2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54</w:t>
            </w:r>
          </w:p>
        </w:tc>
        <w:tc>
          <w:tcPr>
            <w:tcW w:w="348" w:type="pct"/>
            <w:tcBorders>
              <w:top w:val="nil"/>
              <w:left w:val="nil"/>
              <w:bottom w:val="nil"/>
              <w:right w:val="single" w:sz="4" w:space="0" w:color="auto"/>
            </w:tcBorders>
            <w:shd w:val="clear" w:color="auto" w:fill="auto"/>
            <w:noWrap/>
            <w:vAlign w:val="bottom"/>
          </w:tcPr>
          <w:p w14:paraId="69216684"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r w:rsidRPr="00D34298">
              <w:rPr>
                <w:sz w:val="14"/>
                <w:szCs w:val="14"/>
                <w:lang w:eastAsia="en-GB"/>
              </w:rPr>
              <w:t>1</w:t>
            </w:r>
            <w:r>
              <w:rPr>
                <w:sz w:val="14"/>
                <w:szCs w:val="14"/>
                <w:lang w:eastAsia="en-GB"/>
              </w:rPr>
              <w:t xml:space="preserve"> </w:t>
            </w:r>
            <w:r w:rsidRPr="00D34298">
              <w:rPr>
                <w:sz w:val="14"/>
                <w:szCs w:val="14"/>
                <w:lang w:eastAsia="en-GB"/>
              </w:rPr>
              <w:t>614</w:t>
            </w:r>
          </w:p>
        </w:tc>
        <w:tc>
          <w:tcPr>
            <w:tcW w:w="301" w:type="pct"/>
            <w:tcBorders>
              <w:top w:val="nil"/>
              <w:left w:val="nil"/>
              <w:bottom w:val="nil"/>
              <w:right w:val="single" w:sz="4" w:space="0" w:color="auto"/>
            </w:tcBorders>
            <w:shd w:val="clear" w:color="auto" w:fill="auto"/>
            <w:noWrap/>
            <w:vAlign w:val="bottom"/>
          </w:tcPr>
          <w:p w14:paraId="4166CF90"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7</w:t>
            </w:r>
            <w:r>
              <w:rPr>
                <w:b/>
                <w:bCs/>
                <w:sz w:val="14"/>
                <w:szCs w:val="14"/>
                <w:lang w:eastAsia="en-GB"/>
              </w:rPr>
              <w:t xml:space="preserve"> </w:t>
            </w:r>
            <w:r w:rsidRPr="00D34298">
              <w:rPr>
                <w:b/>
                <w:bCs/>
                <w:sz w:val="14"/>
                <w:szCs w:val="14"/>
                <w:lang w:eastAsia="en-GB"/>
              </w:rPr>
              <w:t>564</w:t>
            </w:r>
          </w:p>
        </w:tc>
      </w:tr>
      <w:tr w:rsidR="00761B6C" w:rsidRPr="00236418" w14:paraId="4BF121EC"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4351D3E7" w14:textId="77777777" w:rsidR="00761B6C" w:rsidRPr="00236418" w:rsidRDefault="00761B6C" w:rsidP="00761B6C">
            <w:pPr>
              <w:pStyle w:val="Tabletext"/>
              <w:spacing w:before="0" w:after="0"/>
              <w:rPr>
                <w:sz w:val="14"/>
                <w:szCs w:val="14"/>
                <w:lang w:eastAsia="zh-CN"/>
              </w:rPr>
            </w:pPr>
            <w:r w:rsidRPr="00236418">
              <w:rPr>
                <w:sz w:val="14"/>
                <w:szCs w:val="14"/>
              </w:rPr>
              <w:t>Produits financiers</w:t>
            </w:r>
          </w:p>
        </w:tc>
        <w:tc>
          <w:tcPr>
            <w:tcW w:w="306" w:type="pct"/>
            <w:tcBorders>
              <w:top w:val="nil"/>
              <w:left w:val="single" w:sz="4" w:space="0" w:color="auto"/>
              <w:bottom w:val="nil"/>
              <w:right w:val="single" w:sz="4" w:space="0" w:color="auto"/>
            </w:tcBorders>
            <w:shd w:val="clear" w:color="auto" w:fill="auto"/>
            <w:noWrap/>
            <w:vAlign w:val="bottom"/>
          </w:tcPr>
          <w:p w14:paraId="353B188A"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0</w:t>
            </w:r>
          </w:p>
        </w:tc>
        <w:tc>
          <w:tcPr>
            <w:tcW w:w="305" w:type="pct"/>
            <w:tcBorders>
              <w:top w:val="nil"/>
              <w:left w:val="nil"/>
              <w:bottom w:val="nil"/>
              <w:right w:val="single" w:sz="4" w:space="0" w:color="auto"/>
            </w:tcBorders>
            <w:shd w:val="clear" w:color="auto" w:fill="auto"/>
            <w:noWrap/>
            <w:vAlign w:val="bottom"/>
          </w:tcPr>
          <w:p w14:paraId="372934E2"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0</w:t>
            </w:r>
          </w:p>
        </w:tc>
        <w:tc>
          <w:tcPr>
            <w:tcW w:w="348" w:type="pct"/>
            <w:tcBorders>
              <w:top w:val="nil"/>
              <w:left w:val="nil"/>
              <w:bottom w:val="nil"/>
              <w:right w:val="single" w:sz="4" w:space="0" w:color="auto"/>
            </w:tcBorders>
            <w:shd w:val="clear" w:color="auto" w:fill="auto"/>
            <w:noWrap/>
            <w:vAlign w:val="bottom"/>
          </w:tcPr>
          <w:p w14:paraId="42DE9845"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0</w:t>
            </w:r>
          </w:p>
        </w:tc>
        <w:tc>
          <w:tcPr>
            <w:tcW w:w="347" w:type="pct"/>
            <w:tcBorders>
              <w:top w:val="nil"/>
              <w:left w:val="nil"/>
              <w:bottom w:val="nil"/>
              <w:right w:val="single" w:sz="4" w:space="0" w:color="auto"/>
            </w:tcBorders>
            <w:shd w:val="clear" w:color="auto" w:fill="auto"/>
            <w:noWrap/>
            <w:vAlign w:val="bottom"/>
          </w:tcPr>
          <w:p w14:paraId="7084648F"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xml:space="preserve"> 2</w:t>
            </w:r>
          </w:p>
        </w:tc>
        <w:tc>
          <w:tcPr>
            <w:tcW w:w="304" w:type="pct"/>
            <w:tcBorders>
              <w:top w:val="nil"/>
              <w:left w:val="nil"/>
              <w:bottom w:val="nil"/>
              <w:right w:val="nil"/>
            </w:tcBorders>
            <w:shd w:val="clear" w:color="auto" w:fill="auto"/>
            <w:noWrap/>
            <w:vAlign w:val="bottom"/>
          </w:tcPr>
          <w:p w14:paraId="2212A575" w14:textId="77777777" w:rsidR="00761B6C" w:rsidRPr="00D34298" w:rsidRDefault="00761B6C" w:rsidP="00761B6C">
            <w:pPr>
              <w:pStyle w:val="Tabletext"/>
              <w:spacing w:before="0"/>
              <w:jc w:val="right"/>
              <w:rPr>
                <w:rFonts w:asciiTheme="minorHAnsi" w:hAnsiTheme="minorHAnsi" w:cs="Arial"/>
                <w:sz w:val="14"/>
                <w:szCs w:val="14"/>
                <w:lang w:eastAsia="zh-CN"/>
              </w:rPr>
            </w:pPr>
            <w:r>
              <w:rPr>
                <w:sz w:val="14"/>
                <w:szCs w:val="14"/>
                <w:lang w:eastAsia="en-GB"/>
              </w:rPr>
              <w:t>–</w:t>
            </w:r>
            <w:r w:rsidRPr="00D34298">
              <w:rPr>
                <w:sz w:val="14"/>
                <w:szCs w:val="14"/>
                <w:lang w:eastAsia="en-GB"/>
              </w:rPr>
              <w:t>4</w:t>
            </w:r>
            <w:r>
              <w:rPr>
                <w:sz w:val="14"/>
                <w:szCs w:val="14"/>
                <w:lang w:eastAsia="en-GB"/>
              </w:rPr>
              <w:t xml:space="preserve"> </w:t>
            </w:r>
            <w:r w:rsidRPr="00D34298">
              <w:rPr>
                <w:sz w:val="14"/>
                <w:szCs w:val="14"/>
                <w:lang w:eastAsia="en-GB"/>
              </w:rPr>
              <w:t>790</w:t>
            </w:r>
          </w:p>
        </w:tc>
        <w:tc>
          <w:tcPr>
            <w:tcW w:w="304" w:type="pct"/>
            <w:tcBorders>
              <w:top w:val="nil"/>
              <w:left w:val="single" w:sz="4" w:space="0" w:color="auto"/>
              <w:bottom w:val="nil"/>
              <w:right w:val="single" w:sz="4" w:space="0" w:color="auto"/>
            </w:tcBorders>
            <w:shd w:val="clear" w:color="auto" w:fill="auto"/>
            <w:noWrap/>
            <w:vAlign w:val="bottom"/>
          </w:tcPr>
          <w:p w14:paraId="4062355F"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Pr>
                <w:b/>
                <w:bCs/>
                <w:sz w:val="14"/>
                <w:szCs w:val="14"/>
                <w:lang w:eastAsia="en-GB"/>
              </w:rPr>
              <w:t>–</w:t>
            </w:r>
            <w:r w:rsidRPr="00D34298">
              <w:rPr>
                <w:b/>
                <w:bCs/>
                <w:sz w:val="14"/>
                <w:szCs w:val="14"/>
                <w:lang w:eastAsia="en-GB"/>
              </w:rPr>
              <w:t>4</w:t>
            </w:r>
            <w:r>
              <w:rPr>
                <w:b/>
                <w:bCs/>
                <w:sz w:val="14"/>
                <w:szCs w:val="14"/>
                <w:lang w:eastAsia="en-GB"/>
              </w:rPr>
              <w:t xml:space="preserve"> </w:t>
            </w:r>
            <w:r w:rsidRPr="00D34298">
              <w:rPr>
                <w:b/>
                <w:bCs/>
                <w:sz w:val="14"/>
                <w:szCs w:val="14"/>
                <w:lang w:eastAsia="en-GB"/>
              </w:rPr>
              <w:t>789</w:t>
            </w:r>
          </w:p>
        </w:tc>
        <w:tc>
          <w:tcPr>
            <w:tcW w:w="262" w:type="pct"/>
            <w:tcBorders>
              <w:top w:val="nil"/>
              <w:left w:val="nil"/>
              <w:bottom w:val="nil"/>
              <w:right w:val="single" w:sz="4" w:space="0" w:color="auto"/>
            </w:tcBorders>
            <w:shd w:val="clear" w:color="auto" w:fill="auto"/>
            <w:noWrap/>
            <w:vAlign w:val="bottom"/>
          </w:tcPr>
          <w:p w14:paraId="12A65C60"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xml:space="preserve"> </w:t>
            </w:r>
            <w:r>
              <w:rPr>
                <w:sz w:val="14"/>
                <w:szCs w:val="14"/>
                <w:lang w:eastAsia="en-GB"/>
              </w:rPr>
              <w:t>–</w:t>
            </w:r>
          </w:p>
        </w:tc>
        <w:tc>
          <w:tcPr>
            <w:tcW w:w="245" w:type="pct"/>
            <w:tcBorders>
              <w:top w:val="nil"/>
              <w:left w:val="nil"/>
              <w:bottom w:val="nil"/>
              <w:right w:val="single" w:sz="4" w:space="0" w:color="auto"/>
            </w:tcBorders>
            <w:shd w:val="clear" w:color="auto" w:fill="auto"/>
            <w:vAlign w:val="bottom"/>
          </w:tcPr>
          <w:p w14:paraId="133280B5"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11</w:t>
            </w:r>
          </w:p>
        </w:tc>
        <w:tc>
          <w:tcPr>
            <w:tcW w:w="249" w:type="pct"/>
            <w:tcBorders>
              <w:top w:val="nil"/>
              <w:left w:val="nil"/>
              <w:bottom w:val="nil"/>
              <w:right w:val="single" w:sz="4" w:space="0" w:color="auto"/>
            </w:tcBorders>
            <w:shd w:val="clear" w:color="auto" w:fill="auto"/>
            <w:noWrap/>
            <w:vAlign w:val="bottom"/>
          </w:tcPr>
          <w:p w14:paraId="13804B37"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29</w:t>
            </w:r>
          </w:p>
        </w:tc>
        <w:tc>
          <w:tcPr>
            <w:tcW w:w="322" w:type="pct"/>
            <w:tcBorders>
              <w:top w:val="nil"/>
              <w:left w:val="nil"/>
              <w:bottom w:val="nil"/>
              <w:right w:val="single" w:sz="4" w:space="0" w:color="auto"/>
            </w:tcBorders>
            <w:shd w:val="clear" w:color="auto" w:fill="auto"/>
            <w:noWrap/>
            <w:vAlign w:val="bottom"/>
          </w:tcPr>
          <w:p w14:paraId="3BD23DF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62</w:t>
            </w:r>
          </w:p>
        </w:tc>
        <w:tc>
          <w:tcPr>
            <w:tcW w:w="227" w:type="pct"/>
            <w:tcBorders>
              <w:top w:val="nil"/>
              <w:left w:val="nil"/>
              <w:bottom w:val="nil"/>
              <w:right w:val="single" w:sz="4" w:space="0" w:color="auto"/>
            </w:tcBorders>
            <w:shd w:val="clear" w:color="auto" w:fill="auto"/>
            <w:noWrap/>
            <w:vAlign w:val="bottom"/>
          </w:tcPr>
          <w:p w14:paraId="0B9F32E7"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486</w:t>
            </w:r>
          </w:p>
        </w:tc>
        <w:tc>
          <w:tcPr>
            <w:tcW w:w="218" w:type="pct"/>
            <w:tcBorders>
              <w:top w:val="nil"/>
              <w:left w:val="nil"/>
              <w:bottom w:val="nil"/>
              <w:right w:val="single" w:sz="4" w:space="0" w:color="auto"/>
            </w:tcBorders>
            <w:shd w:val="clear" w:color="auto" w:fill="auto"/>
            <w:noWrap/>
            <w:vAlign w:val="bottom"/>
          </w:tcPr>
          <w:p w14:paraId="75706E0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156</w:t>
            </w:r>
          </w:p>
        </w:tc>
        <w:tc>
          <w:tcPr>
            <w:tcW w:w="174" w:type="pct"/>
            <w:tcBorders>
              <w:top w:val="nil"/>
              <w:left w:val="nil"/>
              <w:bottom w:val="nil"/>
              <w:right w:val="single" w:sz="4" w:space="0" w:color="auto"/>
            </w:tcBorders>
            <w:shd w:val="clear" w:color="auto" w:fill="auto"/>
            <w:noWrap/>
            <w:vAlign w:val="bottom"/>
          </w:tcPr>
          <w:p w14:paraId="753AFA6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176</w:t>
            </w:r>
          </w:p>
        </w:tc>
        <w:tc>
          <w:tcPr>
            <w:tcW w:w="261" w:type="pct"/>
            <w:tcBorders>
              <w:top w:val="nil"/>
              <w:left w:val="nil"/>
              <w:bottom w:val="nil"/>
              <w:right w:val="single" w:sz="4" w:space="0" w:color="auto"/>
            </w:tcBorders>
            <w:shd w:val="clear" w:color="auto" w:fill="auto"/>
            <w:noWrap/>
            <w:vAlign w:val="bottom"/>
          </w:tcPr>
          <w:p w14:paraId="72A45FA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r w:rsidRPr="00D34298">
              <w:rPr>
                <w:color w:val="000000"/>
                <w:sz w:val="14"/>
                <w:szCs w:val="14"/>
                <w:lang w:eastAsia="en-GB"/>
              </w:rPr>
              <w:t>12</w:t>
            </w:r>
          </w:p>
        </w:tc>
        <w:tc>
          <w:tcPr>
            <w:tcW w:w="348" w:type="pct"/>
            <w:tcBorders>
              <w:top w:val="nil"/>
              <w:left w:val="nil"/>
              <w:bottom w:val="nil"/>
              <w:right w:val="single" w:sz="4" w:space="0" w:color="auto"/>
            </w:tcBorders>
            <w:shd w:val="clear" w:color="auto" w:fill="auto"/>
            <w:noWrap/>
            <w:vAlign w:val="bottom"/>
          </w:tcPr>
          <w:p w14:paraId="26F5C88F" w14:textId="77777777" w:rsidR="00761B6C" w:rsidRPr="00D34298" w:rsidRDefault="00761B6C" w:rsidP="00761B6C">
            <w:pPr>
              <w:pStyle w:val="Tabletext"/>
              <w:spacing w:before="0"/>
              <w:jc w:val="right"/>
              <w:rPr>
                <w:rFonts w:asciiTheme="minorHAnsi" w:hAnsiTheme="minorHAnsi" w:cs="Arial"/>
                <w:sz w:val="14"/>
                <w:szCs w:val="14"/>
                <w:lang w:eastAsia="zh-CN"/>
              </w:rPr>
            </w:pPr>
          </w:p>
        </w:tc>
        <w:tc>
          <w:tcPr>
            <w:tcW w:w="301" w:type="pct"/>
            <w:tcBorders>
              <w:top w:val="nil"/>
              <w:left w:val="nil"/>
              <w:bottom w:val="nil"/>
              <w:right w:val="single" w:sz="4" w:space="0" w:color="auto"/>
            </w:tcBorders>
            <w:shd w:val="clear" w:color="auto" w:fill="auto"/>
            <w:noWrap/>
            <w:vAlign w:val="bottom"/>
          </w:tcPr>
          <w:p w14:paraId="3E1BCF6B"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Pr>
                <w:b/>
                <w:bCs/>
                <w:sz w:val="14"/>
                <w:szCs w:val="14"/>
                <w:lang w:eastAsia="en-GB"/>
              </w:rPr>
              <w:t>–</w:t>
            </w:r>
            <w:r w:rsidRPr="00D34298">
              <w:rPr>
                <w:b/>
                <w:bCs/>
                <w:sz w:val="14"/>
                <w:szCs w:val="14"/>
                <w:lang w:eastAsia="en-GB"/>
              </w:rPr>
              <w:t>3</w:t>
            </w:r>
            <w:r>
              <w:rPr>
                <w:b/>
                <w:bCs/>
                <w:sz w:val="14"/>
                <w:szCs w:val="14"/>
                <w:lang w:eastAsia="en-GB"/>
              </w:rPr>
              <w:t xml:space="preserve"> </w:t>
            </w:r>
            <w:r w:rsidRPr="00D34298">
              <w:rPr>
                <w:b/>
                <w:bCs/>
                <w:sz w:val="14"/>
                <w:szCs w:val="14"/>
                <w:lang w:eastAsia="en-GB"/>
              </w:rPr>
              <w:t>880</w:t>
            </w:r>
          </w:p>
        </w:tc>
      </w:tr>
      <w:tr w:rsidR="00761B6C" w:rsidRPr="00236418" w14:paraId="535A6C53"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7CAF43B5" w14:textId="77777777" w:rsidR="00761B6C" w:rsidRPr="00236418" w:rsidRDefault="00761B6C" w:rsidP="00761B6C">
            <w:pPr>
              <w:pStyle w:val="Tabletext"/>
              <w:spacing w:before="0" w:after="0"/>
              <w:rPr>
                <w:sz w:val="14"/>
                <w:szCs w:val="14"/>
                <w:lang w:eastAsia="zh-CN"/>
              </w:rPr>
            </w:pPr>
            <w:r w:rsidRPr="00236418">
              <w:rPr>
                <w:sz w:val="14"/>
                <w:szCs w:val="14"/>
                <w:lang w:eastAsia="zh-CN"/>
              </w:rPr>
              <w:t> </w:t>
            </w:r>
          </w:p>
        </w:tc>
        <w:tc>
          <w:tcPr>
            <w:tcW w:w="306" w:type="pct"/>
            <w:tcBorders>
              <w:top w:val="nil"/>
              <w:left w:val="single" w:sz="4" w:space="0" w:color="auto"/>
              <w:bottom w:val="nil"/>
              <w:right w:val="single" w:sz="4" w:space="0" w:color="auto"/>
            </w:tcBorders>
            <w:shd w:val="clear" w:color="auto" w:fill="auto"/>
            <w:noWrap/>
            <w:vAlign w:val="bottom"/>
          </w:tcPr>
          <w:p w14:paraId="6AC562F3"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305" w:type="pct"/>
            <w:tcBorders>
              <w:top w:val="nil"/>
              <w:left w:val="nil"/>
              <w:bottom w:val="nil"/>
              <w:right w:val="single" w:sz="4" w:space="0" w:color="auto"/>
            </w:tcBorders>
            <w:shd w:val="clear" w:color="auto" w:fill="auto"/>
            <w:noWrap/>
            <w:vAlign w:val="bottom"/>
          </w:tcPr>
          <w:p w14:paraId="3171E935"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7A0C6380"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347" w:type="pct"/>
            <w:tcBorders>
              <w:top w:val="nil"/>
              <w:left w:val="nil"/>
              <w:bottom w:val="nil"/>
              <w:right w:val="single" w:sz="4" w:space="0" w:color="auto"/>
            </w:tcBorders>
            <w:shd w:val="clear" w:color="auto" w:fill="auto"/>
            <w:noWrap/>
            <w:vAlign w:val="bottom"/>
          </w:tcPr>
          <w:p w14:paraId="4852301E"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304" w:type="pct"/>
            <w:tcBorders>
              <w:top w:val="nil"/>
              <w:left w:val="nil"/>
              <w:bottom w:val="nil"/>
              <w:right w:val="nil"/>
            </w:tcBorders>
            <w:shd w:val="clear" w:color="auto" w:fill="auto"/>
            <w:noWrap/>
            <w:vAlign w:val="bottom"/>
          </w:tcPr>
          <w:p w14:paraId="140CCA3D"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304" w:type="pct"/>
            <w:tcBorders>
              <w:top w:val="nil"/>
              <w:left w:val="single" w:sz="4" w:space="0" w:color="auto"/>
              <w:bottom w:val="nil"/>
              <w:right w:val="single" w:sz="4" w:space="0" w:color="auto"/>
            </w:tcBorders>
            <w:shd w:val="clear" w:color="auto" w:fill="auto"/>
            <w:noWrap/>
            <w:vAlign w:val="bottom"/>
          </w:tcPr>
          <w:p w14:paraId="49B749BF"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262" w:type="pct"/>
            <w:tcBorders>
              <w:top w:val="nil"/>
              <w:left w:val="nil"/>
              <w:bottom w:val="nil"/>
              <w:right w:val="single" w:sz="4" w:space="0" w:color="auto"/>
            </w:tcBorders>
            <w:shd w:val="clear" w:color="auto" w:fill="auto"/>
            <w:noWrap/>
            <w:vAlign w:val="bottom"/>
          </w:tcPr>
          <w:p w14:paraId="1794F816"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245" w:type="pct"/>
            <w:tcBorders>
              <w:top w:val="nil"/>
              <w:left w:val="nil"/>
              <w:bottom w:val="nil"/>
              <w:right w:val="single" w:sz="4" w:space="0" w:color="auto"/>
            </w:tcBorders>
            <w:shd w:val="clear" w:color="auto" w:fill="auto"/>
            <w:vAlign w:val="bottom"/>
          </w:tcPr>
          <w:p w14:paraId="48FE1359"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56390F61"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660FD21B"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27" w:type="pct"/>
            <w:tcBorders>
              <w:top w:val="nil"/>
              <w:left w:val="nil"/>
              <w:bottom w:val="nil"/>
              <w:right w:val="single" w:sz="4" w:space="0" w:color="auto"/>
            </w:tcBorders>
            <w:shd w:val="clear" w:color="auto" w:fill="auto"/>
            <w:noWrap/>
            <w:vAlign w:val="bottom"/>
          </w:tcPr>
          <w:p w14:paraId="07FC35C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18" w:type="pct"/>
            <w:tcBorders>
              <w:top w:val="nil"/>
              <w:left w:val="nil"/>
              <w:bottom w:val="nil"/>
              <w:right w:val="single" w:sz="4" w:space="0" w:color="auto"/>
            </w:tcBorders>
            <w:shd w:val="clear" w:color="auto" w:fill="auto"/>
            <w:noWrap/>
            <w:vAlign w:val="bottom"/>
          </w:tcPr>
          <w:p w14:paraId="71A87A5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174" w:type="pct"/>
            <w:tcBorders>
              <w:top w:val="nil"/>
              <w:left w:val="nil"/>
              <w:bottom w:val="nil"/>
              <w:right w:val="single" w:sz="4" w:space="0" w:color="auto"/>
            </w:tcBorders>
            <w:shd w:val="clear" w:color="auto" w:fill="auto"/>
            <w:noWrap/>
            <w:vAlign w:val="bottom"/>
          </w:tcPr>
          <w:p w14:paraId="676B6F3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1F978A8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13AADB5A"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c>
          <w:tcPr>
            <w:tcW w:w="301" w:type="pct"/>
            <w:tcBorders>
              <w:top w:val="nil"/>
              <w:left w:val="nil"/>
              <w:bottom w:val="nil"/>
              <w:right w:val="single" w:sz="4" w:space="0" w:color="auto"/>
            </w:tcBorders>
            <w:shd w:val="clear" w:color="auto" w:fill="auto"/>
            <w:noWrap/>
            <w:vAlign w:val="bottom"/>
          </w:tcPr>
          <w:p w14:paraId="1CADD1E8" w14:textId="77777777" w:rsidR="00761B6C" w:rsidRPr="00D34298" w:rsidRDefault="00761B6C" w:rsidP="00761B6C">
            <w:pPr>
              <w:pStyle w:val="Tabletext"/>
              <w:spacing w:before="0"/>
              <w:jc w:val="right"/>
              <w:rPr>
                <w:rFonts w:asciiTheme="minorHAnsi" w:hAnsiTheme="minorHAnsi" w:cs="Arial"/>
                <w:b/>
                <w:bCs/>
                <w:sz w:val="14"/>
                <w:szCs w:val="14"/>
                <w:lang w:eastAsia="zh-CN"/>
              </w:rPr>
            </w:pPr>
          </w:p>
        </w:tc>
      </w:tr>
      <w:tr w:rsidR="00761B6C" w:rsidRPr="00236418" w14:paraId="4BD1BFAC" w14:textId="77777777" w:rsidTr="00B93AE4">
        <w:trPr>
          <w:trHeight w:val="255"/>
          <w:jc w:val="center"/>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4EFA8B16" w14:textId="77777777" w:rsidR="00761B6C" w:rsidRPr="00236418" w:rsidRDefault="00761B6C" w:rsidP="00761B6C">
            <w:pPr>
              <w:pStyle w:val="Tabletext"/>
              <w:spacing w:before="0" w:after="0"/>
              <w:rPr>
                <w:b/>
                <w:bCs/>
                <w:sz w:val="14"/>
                <w:szCs w:val="14"/>
                <w:lang w:eastAsia="zh-CN"/>
              </w:rPr>
            </w:pPr>
            <w:r w:rsidRPr="00236418">
              <w:rPr>
                <w:b/>
                <w:bCs/>
                <w:sz w:val="14"/>
                <w:szCs w:val="14"/>
                <w:lang w:eastAsia="zh-CN"/>
              </w:rPr>
              <w:t>Total des produits</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6AA26"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33</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06AA67DF"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37</w:t>
            </w:r>
            <w:r>
              <w:rPr>
                <w:b/>
                <w:bCs/>
                <w:color w:val="000000"/>
                <w:sz w:val="14"/>
                <w:szCs w:val="14"/>
                <w:lang w:eastAsia="en-GB"/>
              </w:rPr>
              <w:t xml:space="preserve"> </w:t>
            </w:r>
            <w:r w:rsidRPr="00D34298">
              <w:rPr>
                <w:b/>
                <w:bCs/>
                <w:color w:val="000000"/>
                <w:sz w:val="14"/>
                <w:szCs w:val="14"/>
                <w:lang w:eastAsia="en-GB"/>
              </w:rPr>
              <w:t>389</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525F976C"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8</w:t>
            </w:r>
            <w:r>
              <w:rPr>
                <w:b/>
                <w:bCs/>
                <w:color w:val="000000"/>
                <w:sz w:val="14"/>
                <w:szCs w:val="14"/>
                <w:lang w:eastAsia="en-GB"/>
              </w:rPr>
              <w:t xml:space="preserve"> </w:t>
            </w:r>
            <w:r w:rsidRPr="00D34298">
              <w:rPr>
                <w:b/>
                <w:bCs/>
                <w:color w:val="000000"/>
                <w:sz w:val="14"/>
                <w:szCs w:val="14"/>
                <w:lang w:eastAsia="en-GB"/>
              </w:rPr>
              <w:t>380</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3840FA07"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720</w:t>
            </w:r>
          </w:p>
        </w:tc>
        <w:tc>
          <w:tcPr>
            <w:tcW w:w="304" w:type="pct"/>
            <w:tcBorders>
              <w:top w:val="single" w:sz="4" w:space="0" w:color="auto"/>
              <w:left w:val="nil"/>
              <w:bottom w:val="single" w:sz="4" w:space="0" w:color="auto"/>
              <w:right w:val="nil"/>
            </w:tcBorders>
            <w:shd w:val="clear" w:color="auto" w:fill="auto"/>
            <w:noWrap/>
            <w:vAlign w:val="center"/>
          </w:tcPr>
          <w:p w14:paraId="2FC4B8AF"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105</w:t>
            </w:r>
            <w:r>
              <w:rPr>
                <w:b/>
                <w:bCs/>
                <w:color w:val="000000"/>
                <w:sz w:val="14"/>
                <w:szCs w:val="14"/>
                <w:lang w:eastAsia="en-GB"/>
              </w:rPr>
              <w:t xml:space="preserve"> </w:t>
            </w:r>
            <w:r w:rsidRPr="00D34298">
              <w:rPr>
                <w:b/>
                <w:bCs/>
                <w:color w:val="000000"/>
                <w:sz w:val="14"/>
                <w:szCs w:val="14"/>
                <w:lang w:eastAsia="en-GB"/>
              </w:rPr>
              <w:t>184</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EDD8C2"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152</w:t>
            </w:r>
            <w:r>
              <w:rPr>
                <w:b/>
                <w:bCs/>
                <w:color w:val="000000"/>
                <w:sz w:val="14"/>
                <w:szCs w:val="14"/>
                <w:lang w:eastAsia="en-GB"/>
              </w:rPr>
              <w:t xml:space="preserve"> </w:t>
            </w:r>
            <w:r w:rsidRPr="00D34298">
              <w:rPr>
                <w:b/>
                <w:bCs/>
                <w:color w:val="000000"/>
                <w:sz w:val="14"/>
                <w:szCs w:val="14"/>
                <w:lang w:eastAsia="en-GB"/>
              </w:rPr>
              <w:t>705</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7A15362"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 xml:space="preserve"> </w:t>
            </w:r>
          </w:p>
        </w:tc>
        <w:tc>
          <w:tcPr>
            <w:tcW w:w="245" w:type="pct"/>
            <w:tcBorders>
              <w:top w:val="single" w:sz="4" w:space="0" w:color="auto"/>
              <w:left w:val="nil"/>
              <w:bottom w:val="single" w:sz="4" w:space="0" w:color="auto"/>
              <w:right w:val="single" w:sz="4" w:space="0" w:color="auto"/>
            </w:tcBorders>
            <w:shd w:val="clear" w:color="auto" w:fill="auto"/>
            <w:vAlign w:val="center"/>
          </w:tcPr>
          <w:p w14:paraId="1308A654"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10</w:t>
            </w:r>
            <w:r>
              <w:rPr>
                <w:b/>
                <w:bCs/>
                <w:color w:val="000000"/>
                <w:sz w:val="14"/>
                <w:szCs w:val="14"/>
                <w:lang w:eastAsia="en-GB"/>
              </w:rPr>
              <w:t xml:space="preserve"> </w:t>
            </w:r>
            <w:r w:rsidRPr="00D34298">
              <w:rPr>
                <w:b/>
                <w:bCs/>
                <w:color w:val="000000"/>
                <w:sz w:val="14"/>
                <w:szCs w:val="14"/>
                <w:lang w:eastAsia="en-GB"/>
              </w:rPr>
              <w:t>011</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4DE1A22E"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29</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6417AB5B"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3</w:t>
            </w:r>
            <w:r>
              <w:rPr>
                <w:b/>
                <w:bCs/>
                <w:color w:val="000000"/>
                <w:sz w:val="14"/>
                <w:szCs w:val="14"/>
                <w:lang w:eastAsia="en-GB"/>
              </w:rPr>
              <w:t xml:space="preserve"> </w:t>
            </w:r>
            <w:r w:rsidRPr="00D34298">
              <w:rPr>
                <w:b/>
                <w:bCs/>
                <w:color w:val="000000"/>
                <w:sz w:val="14"/>
                <w:szCs w:val="14"/>
                <w:lang w:eastAsia="en-GB"/>
              </w:rPr>
              <w:t>064</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7B15AA6E"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5</w:t>
            </w:r>
            <w:r>
              <w:rPr>
                <w:b/>
                <w:bCs/>
                <w:color w:val="000000"/>
                <w:sz w:val="14"/>
                <w:szCs w:val="14"/>
                <w:lang w:eastAsia="en-GB"/>
              </w:rPr>
              <w:t xml:space="preserve"> </w:t>
            </w:r>
            <w:r w:rsidRPr="00D34298">
              <w:rPr>
                <w:b/>
                <w:bCs/>
                <w:color w:val="000000"/>
                <w:sz w:val="14"/>
                <w:szCs w:val="14"/>
                <w:lang w:eastAsia="en-GB"/>
              </w:rPr>
              <w:t>743</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09383F24"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 xml:space="preserve">151 </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4DDB013F"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243</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65CBBE6D"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 xml:space="preserve"> 42</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5455550E"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614</w:t>
            </w:r>
          </w:p>
        </w:tc>
        <w:tc>
          <w:tcPr>
            <w:tcW w:w="301" w:type="pct"/>
            <w:tcBorders>
              <w:top w:val="single" w:sz="4" w:space="0" w:color="auto"/>
              <w:left w:val="nil"/>
              <w:bottom w:val="single" w:sz="4" w:space="0" w:color="auto"/>
              <w:right w:val="single" w:sz="4" w:space="0" w:color="auto"/>
            </w:tcBorders>
            <w:shd w:val="clear" w:color="auto" w:fill="auto"/>
            <w:noWrap/>
            <w:vAlign w:val="center"/>
          </w:tcPr>
          <w:p w14:paraId="68ACE4C8"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170</w:t>
            </w:r>
            <w:r>
              <w:rPr>
                <w:b/>
                <w:bCs/>
                <w:color w:val="000000"/>
                <w:sz w:val="14"/>
                <w:szCs w:val="14"/>
                <w:lang w:eastAsia="en-GB"/>
              </w:rPr>
              <w:t xml:space="preserve"> </w:t>
            </w:r>
            <w:r w:rsidRPr="00D34298">
              <w:rPr>
                <w:b/>
                <w:bCs/>
                <w:color w:val="000000"/>
                <w:sz w:val="14"/>
                <w:szCs w:val="14"/>
                <w:lang w:eastAsia="en-GB"/>
              </w:rPr>
              <w:t>373</w:t>
            </w:r>
          </w:p>
        </w:tc>
      </w:tr>
      <w:tr w:rsidR="00761B6C" w:rsidRPr="00236418" w14:paraId="56C5EC5D" w14:textId="77777777" w:rsidTr="00B93AE4">
        <w:trPr>
          <w:trHeight w:val="74"/>
          <w:jc w:val="center"/>
        </w:trPr>
        <w:tc>
          <w:tcPr>
            <w:tcW w:w="479" w:type="pct"/>
            <w:tcBorders>
              <w:top w:val="nil"/>
              <w:left w:val="single" w:sz="4" w:space="0" w:color="auto"/>
              <w:bottom w:val="nil"/>
              <w:right w:val="nil"/>
            </w:tcBorders>
            <w:shd w:val="clear" w:color="auto" w:fill="auto"/>
            <w:hideMark/>
          </w:tcPr>
          <w:p w14:paraId="48B2FC5B" w14:textId="77777777" w:rsidR="00761B6C" w:rsidRPr="00236418" w:rsidRDefault="00761B6C" w:rsidP="00761B6C">
            <w:pPr>
              <w:pStyle w:val="Tabletext"/>
              <w:spacing w:before="0" w:after="0"/>
              <w:rPr>
                <w:b/>
                <w:bCs/>
                <w:sz w:val="14"/>
                <w:szCs w:val="14"/>
                <w:lang w:eastAsia="zh-CN"/>
              </w:rPr>
            </w:pPr>
            <w:r w:rsidRPr="00236418">
              <w:rPr>
                <w:b/>
                <w:bCs/>
                <w:sz w:val="14"/>
                <w:szCs w:val="14"/>
                <w:lang w:eastAsia="zh-CN"/>
              </w:rPr>
              <w:t>CHARGES</w:t>
            </w:r>
          </w:p>
        </w:tc>
        <w:tc>
          <w:tcPr>
            <w:tcW w:w="306" w:type="pct"/>
            <w:tcBorders>
              <w:top w:val="nil"/>
              <w:left w:val="single" w:sz="4" w:space="0" w:color="auto"/>
              <w:bottom w:val="nil"/>
              <w:right w:val="single" w:sz="4" w:space="0" w:color="auto"/>
            </w:tcBorders>
            <w:shd w:val="clear" w:color="auto" w:fill="auto"/>
            <w:noWrap/>
            <w:vAlign w:val="bottom"/>
          </w:tcPr>
          <w:p w14:paraId="158804DB"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05" w:type="pct"/>
            <w:tcBorders>
              <w:top w:val="nil"/>
              <w:left w:val="nil"/>
              <w:bottom w:val="nil"/>
              <w:right w:val="single" w:sz="4" w:space="0" w:color="auto"/>
            </w:tcBorders>
            <w:shd w:val="clear" w:color="auto" w:fill="auto"/>
            <w:noWrap/>
            <w:vAlign w:val="bottom"/>
          </w:tcPr>
          <w:p w14:paraId="1E2EF83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0AF5015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47" w:type="pct"/>
            <w:tcBorders>
              <w:top w:val="nil"/>
              <w:left w:val="nil"/>
              <w:bottom w:val="nil"/>
              <w:right w:val="single" w:sz="4" w:space="0" w:color="auto"/>
            </w:tcBorders>
            <w:shd w:val="clear" w:color="auto" w:fill="auto"/>
            <w:noWrap/>
            <w:vAlign w:val="bottom"/>
          </w:tcPr>
          <w:p w14:paraId="74422D24"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04" w:type="pct"/>
            <w:tcBorders>
              <w:top w:val="nil"/>
              <w:left w:val="nil"/>
              <w:bottom w:val="nil"/>
              <w:right w:val="nil"/>
            </w:tcBorders>
            <w:shd w:val="clear" w:color="auto" w:fill="auto"/>
            <w:noWrap/>
            <w:vAlign w:val="bottom"/>
          </w:tcPr>
          <w:p w14:paraId="29CAAE8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04" w:type="pct"/>
            <w:tcBorders>
              <w:top w:val="nil"/>
              <w:left w:val="single" w:sz="4" w:space="0" w:color="auto"/>
              <w:bottom w:val="nil"/>
              <w:right w:val="single" w:sz="4" w:space="0" w:color="auto"/>
            </w:tcBorders>
            <w:shd w:val="clear" w:color="auto" w:fill="auto"/>
            <w:noWrap/>
            <w:vAlign w:val="bottom"/>
          </w:tcPr>
          <w:p w14:paraId="5F96FD0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62" w:type="pct"/>
            <w:tcBorders>
              <w:top w:val="nil"/>
              <w:left w:val="nil"/>
              <w:bottom w:val="nil"/>
              <w:right w:val="single" w:sz="4" w:space="0" w:color="auto"/>
            </w:tcBorders>
            <w:shd w:val="clear" w:color="auto" w:fill="auto"/>
            <w:noWrap/>
            <w:vAlign w:val="bottom"/>
          </w:tcPr>
          <w:p w14:paraId="3E771E3D"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5" w:type="pct"/>
            <w:tcBorders>
              <w:top w:val="nil"/>
              <w:left w:val="nil"/>
              <w:bottom w:val="nil"/>
              <w:right w:val="single" w:sz="4" w:space="0" w:color="auto"/>
            </w:tcBorders>
            <w:shd w:val="clear" w:color="auto" w:fill="auto"/>
            <w:vAlign w:val="bottom"/>
          </w:tcPr>
          <w:p w14:paraId="7ACFD25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11C4443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3178F2D4"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27" w:type="pct"/>
            <w:tcBorders>
              <w:top w:val="nil"/>
              <w:left w:val="nil"/>
              <w:bottom w:val="nil"/>
              <w:right w:val="single" w:sz="4" w:space="0" w:color="auto"/>
            </w:tcBorders>
            <w:shd w:val="clear" w:color="auto" w:fill="auto"/>
            <w:noWrap/>
            <w:vAlign w:val="bottom"/>
          </w:tcPr>
          <w:p w14:paraId="08087F7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18" w:type="pct"/>
            <w:tcBorders>
              <w:top w:val="nil"/>
              <w:left w:val="nil"/>
              <w:bottom w:val="nil"/>
              <w:right w:val="single" w:sz="4" w:space="0" w:color="auto"/>
            </w:tcBorders>
            <w:shd w:val="clear" w:color="auto" w:fill="auto"/>
            <w:noWrap/>
            <w:vAlign w:val="bottom"/>
          </w:tcPr>
          <w:p w14:paraId="490FBB65"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174" w:type="pct"/>
            <w:tcBorders>
              <w:top w:val="nil"/>
              <w:left w:val="nil"/>
              <w:bottom w:val="nil"/>
              <w:right w:val="single" w:sz="4" w:space="0" w:color="auto"/>
            </w:tcBorders>
            <w:shd w:val="clear" w:color="auto" w:fill="auto"/>
            <w:noWrap/>
            <w:vAlign w:val="bottom"/>
          </w:tcPr>
          <w:p w14:paraId="7B94FB7D"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1D80D68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72B2FD7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01" w:type="pct"/>
            <w:tcBorders>
              <w:top w:val="nil"/>
              <w:left w:val="nil"/>
              <w:bottom w:val="nil"/>
              <w:right w:val="single" w:sz="4" w:space="0" w:color="auto"/>
            </w:tcBorders>
            <w:shd w:val="clear" w:color="auto" w:fill="auto"/>
            <w:noWrap/>
            <w:vAlign w:val="bottom"/>
          </w:tcPr>
          <w:p w14:paraId="57B1B051" w14:textId="77777777" w:rsidR="00761B6C" w:rsidRPr="00D34298" w:rsidRDefault="00761B6C" w:rsidP="00761B6C">
            <w:pPr>
              <w:pStyle w:val="Tabletext"/>
              <w:spacing w:before="0"/>
              <w:jc w:val="right"/>
              <w:rPr>
                <w:rFonts w:asciiTheme="minorHAnsi" w:hAnsiTheme="minorHAnsi" w:cs="Arial"/>
                <w:sz w:val="14"/>
                <w:szCs w:val="14"/>
                <w:lang w:eastAsia="zh-CN"/>
              </w:rPr>
            </w:pPr>
            <w:r w:rsidRPr="00D34298">
              <w:rPr>
                <w:sz w:val="14"/>
                <w:szCs w:val="14"/>
                <w:lang w:eastAsia="en-GB"/>
              </w:rPr>
              <w:t> </w:t>
            </w:r>
          </w:p>
        </w:tc>
      </w:tr>
      <w:tr w:rsidR="00761B6C" w:rsidRPr="00236418" w14:paraId="04CF5EA5"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02099CEE" w14:textId="77777777" w:rsidR="00761B6C" w:rsidRPr="00236418" w:rsidRDefault="00761B6C" w:rsidP="00761B6C">
            <w:pPr>
              <w:pStyle w:val="Tabletext"/>
              <w:spacing w:before="0" w:after="0"/>
              <w:rPr>
                <w:sz w:val="14"/>
                <w:szCs w:val="14"/>
                <w:lang w:eastAsia="zh-CN"/>
              </w:rPr>
            </w:pPr>
            <w:r w:rsidRPr="00236418">
              <w:rPr>
                <w:sz w:val="14"/>
                <w:szCs w:val="14"/>
              </w:rPr>
              <w:t>Charges de personnel</w:t>
            </w:r>
          </w:p>
        </w:tc>
        <w:tc>
          <w:tcPr>
            <w:tcW w:w="306" w:type="pct"/>
            <w:tcBorders>
              <w:top w:val="nil"/>
              <w:left w:val="single" w:sz="4" w:space="0" w:color="auto"/>
              <w:bottom w:val="nil"/>
              <w:right w:val="single" w:sz="4" w:space="0" w:color="auto"/>
            </w:tcBorders>
            <w:shd w:val="clear" w:color="auto" w:fill="auto"/>
            <w:noWrap/>
            <w:vAlign w:val="bottom"/>
          </w:tcPr>
          <w:p w14:paraId="45D61494"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60</w:t>
            </w:r>
            <w:r>
              <w:rPr>
                <w:color w:val="000000"/>
                <w:sz w:val="14"/>
                <w:szCs w:val="14"/>
                <w:lang w:eastAsia="en-GB"/>
              </w:rPr>
              <w:t xml:space="preserve"> </w:t>
            </w:r>
            <w:r w:rsidRPr="00D34298">
              <w:rPr>
                <w:color w:val="000000"/>
                <w:sz w:val="14"/>
                <w:szCs w:val="14"/>
                <w:lang w:eastAsia="en-GB"/>
              </w:rPr>
              <w:t>672</w:t>
            </w:r>
          </w:p>
        </w:tc>
        <w:tc>
          <w:tcPr>
            <w:tcW w:w="305" w:type="pct"/>
            <w:tcBorders>
              <w:top w:val="nil"/>
              <w:left w:val="nil"/>
              <w:bottom w:val="nil"/>
              <w:right w:val="single" w:sz="4" w:space="0" w:color="auto"/>
            </w:tcBorders>
            <w:shd w:val="clear" w:color="auto" w:fill="auto"/>
            <w:noWrap/>
            <w:vAlign w:val="bottom"/>
          </w:tcPr>
          <w:p w14:paraId="40E03B7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25</w:t>
            </w:r>
            <w:r>
              <w:rPr>
                <w:color w:val="000000"/>
                <w:sz w:val="14"/>
                <w:szCs w:val="14"/>
                <w:lang w:eastAsia="en-GB"/>
              </w:rPr>
              <w:t xml:space="preserve"> </w:t>
            </w:r>
            <w:r w:rsidRPr="00D34298">
              <w:rPr>
                <w:color w:val="000000"/>
                <w:sz w:val="14"/>
                <w:szCs w:val="14"/>
                <w:lang w:eastAsia="en-GB"/>
              </w:rPr>
              <w:t>419</w:t>
            </w:r>
          </w:p>
        </w:tc>
        <w:tc>
          <w:tcPr>
            <w:tcW w:w="348" w:type="pct"/>
            <w:tcBorders>
              <w:top w:val="nil"/>
              <w:left w:val="nil"/>
              <w:bottom w:val="nil"/>
              <w:right w:val="single" w:sz="4" w:space="0" w:color="auto"/>
            </w:tcBorders>
            <w:shd w:val="clear" w:color="auto" w:fill="auto"/>
            <w:noWrap/>
            <w:vAlign w:val="bottom"/>
          </w:tcPr>
          <w:p w14:paraId="75575DC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11</w:t>
            </w:r>
            <w:r>
              <w:rPr>
                <w:color w:val="000000"/>
                <w:sz w:val="14"/>
                <w:szCs w:val="14"/>
                <w:lang w:eastAsia="en-GB"/>
              </w:rPr>
              <w:t xml:space="preserve"> </w:t>
            </w:r>
            <w:r w:rsidRPr="00D34298">
              <w:rPr>
                <w:color w:val="000000"/>
                <w:sz w:val="14"/>
                <w:szCs w:val="14"/>
                <w:lang w:eastAsia="en-GB"/>
              </w:rPr>
              <w:t>926</w:t>
            </w:r>
          </w:p>
        </w:tc>
        <w:tc>
          <w:tcPr>
            <w:tcW w:w="347" w:type="pct"/>
            <w:tcBorders>
              <w:top w:val="nil"/>
              <w:left w:val="nil"/>
              <w:bottom w:val="nil"/>
              <w:right w:val="single" w:sz="4" w:space="0" w:color="auto"/>
            </w:tcBorders>
            <w:shd w:val="clear" w:color="auto" w:fill="auto"/>
            <w:noWrap/>
            <w:vAlign w:val="bottom"/>
          </w:tcPr>
          <w:p w14:paraId="33B5E26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22</w:t>
            </w:r>
            <w:r>
              <w:rPr>
                <w:color w:val="000000"/>
                <w:sz w:val="14"/>
                <w:szCs w:val="14"/>
                <w:lang w:eastAsia="en-GB"/>
              </w:rPr>
              <w:t xml:space="preserve"> </w:t>
            </w:r>
            <w:r w:rsidRPr="00D34298">
              <w:rPr>
                <w:color w:val="000000"/>
                <w:sz w:val="14"/>
                <w:szCs w:val="14"/>
                <w:lang w:eastAsia="en-GB"/>
              </w:rPr>
              <w:t>426</w:t>
            </w:r>
          </w:p>
        </w:tc>
        <w:tc>
          <w:tcPr>
            <w:tcW w:w="304" w:type="pct"/>
            <w:tcBorders>
              <w:top w:val="nil"/>
              <w:left w:val="nil"/>
              <w:bottom w:val="nil"/>
              <w:right w:val="nil"/>
            </w:tcBorders>
            <w:shd w:val="clear" w:color="auto" w:fill="auto"/>
            <w:noWrap/>
            <w:vAlign w:val="bottom"/>
          </w:tcPr>
          <w:p w14:paraId="63BA6E8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28</w:t>
            </w:r>
            <w:r>
              <w:rPr>
                <w:color w:val="000000"/>
                <w:sz w:val="14"/>
                <w:szCs w:val="14"/>
                <w:lang w:eastAsia="en-GB"/>
              </w:rPr>
              <w:t xml:space="preserve"> </w:t>
            </w:r>
            <w:r w:rsidRPr="00D34298">
              <w:rPr>
                <w:color w:val="000000"/>
                <w:sz w:val="14"/>
                <w:szCs w:val="14"/>
                <w:lang w:eastAsia="en-GB"/>
              </w:rPr>
              <w:t>123</w:t>
            </w:r>
          </w:p>
        </w:tc>
        <w:tc>
          <w:tcPr>
            <w:tcW w:w="304" w:type="pct"/>
            <w:tcBorders>
              <w:top w:val="nil"/>
              <w:left w:val="single" w:sz="4" w:space="0" w:color="auto"/>
              <w:bottom w:val="nil"/>
              <w:right w:val="single" w:sz="4" w:space="0" w:color="auto"/>
            </w:tcBorders>
            <w:shd w:val="clear" w:color="auto" w:fill="auto"/>
            <w:noWrap/>
            <w:vAlign w:val="bottom"/>
          </w:tcPr>
          <w:p w14:paraId="022F9308"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148</w:t>
            </w:r>
            <w:r>
              <w:rPr>
                <w:b/>
                <w:bCs/>
                <w:color w:val="000000"/>
                <w:sz w:val="14"/>
                <w:szCs w:val="14"/>
                <w:lang w:eastAsia="en-GB"/>
              </w:rPr>
              <w:t xml:space="preserve"> </w:t>
            </w:r>
            <w:r w:rsidRPr="00D34298">
              <w:rPr>
                <w:b/>
                <w:bCs/>
                <w:color w:val="000000"/>
                <w:sz w:val="14"/>
                <w:szCs w:val="14"/>
                <w:lang w:eastAsia="en-GB"/>
              </w:rPr>
              <w:t>567</w:t>
            </w:r>
          </w:p>
        </w:tc>
        <w:tc>
          <w:tcPr>
            <w:tcW w:w="262" w:type="pct"/>
            <w:tcBorders>
              <w:top w:val="nil"/>
              <w:left w:val="nil"/>
              <w:bottom w:val="nil"/>
              <w:right w:val="single" w:sz="4" w:space="0" w:color="auto"/>
            </w:tcBorders>
            <w:shd w:val="clear" w:color="auto" w:fill="auto"/>
            <w:noWrap/>
            <w:vAlign w:val="bottom"/>
          </w:tcPr>
          <w:p w14:paraId="762846C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p>
        </w:tc>
        <w:tc>
          <w:tcPr>
            <w:tcW w:w="245" w:type="pct"/>
            <w:tcBorders>
              <w:top w:val="nil"/>
              <w:left w:val="nil"/>
              <w:bottom w:val="nil"/>
              <w:right w:val="single" w:sz="4" w:space="0" w:color="auto"/>
            </w:tcBorders>
            <w:shd w:val="clear" w:color="auto" w:fill="auto"/>
            <w:vAlign w:val="bottom"/>
          </w:tcPr>
          <w:p w14:paraId="023085A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1A845985"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17</w:t>
            </w:r>
          </w:p>
        </w:tc>
        <w:tc>
          <w:tcPr>
            <w:tcW w:w="322" w:type="pct"/>
            <w:tcBorders>
              <w:top w:val="nil"/>
              <w:left w:val="nil"/>
              <w:bottom w:val="nil"/>
              <w:right w:val="single" w:sz="4" w:space="0" w:color="auto"/>
            </w:tcBorders>
            <w:shd w:val="clear" w:color="auto" w:fill="auto"/>
            <w:noWrap/>
            <w:vAlign w:val="bottom"/>
          </w:tcPr>
          <w:p w14:paraId="626B14D7"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165</w:t>
            </w:r>
          </w:p>
        </w:tc>
        <w:tc>
          <w:tcPr>
            <w:tcW w:w="227" w:type="pct"/>
            <w:tcBorders>
              <w:top w:val="nil"/>
              <w:left w:val="nil"/>
              <w:bottom w:val="nil"/>
              <w:right w:val="single" w:sz="4" w:space="0" w:color="auto"/>
            </w:tcBorders>
            <w:shd w:val="clear" w:color="auto" w:fill="auto"/>
            <w:noWrap/>
            <w:vAlign w:val="bottom"/>
          </w:tcPr>
          <w:p w14:paraId="410B5E9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913</w:t>
            </w:r>
          </w:p>
        </w:tc>
        <w:tc>
          <w:tcPr>
            <w:tcW w:w="218" w:type="pct"/>
            <w:tcBorders>
              <w:top w:val="nil"/>
              <w:left w:val="nil"/>
              <w:bottom w:val="nil"/>
              <w:right w:val="single" w:sz="4" w:space="0" w:color="auto"/>
            </w:tcBorders>
            <w:shd w:val="clear" w:color="auto" w:fill="auto"/>
            <w:noWrap/>
            <w:vAlign w:val="bottom"/>
          </w:tcPr>
          <w:p w14:paraId="6C3787B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bottom"/>
          </w:tcPr>
          <w:p w14:paraId="295E434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bottom"/>
          </w:tcPr>
          <w:p w14:paraId="204900A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w:t>
            </w:r>
            <w:r>
              <w:rPr>
                <w:color w:val="000000"/>
                <w:sz w:val="14"/>
                <w:szCs w:val="14"/>
                <w:lang w:eastAsia="en-GB"/>
              </w:rPr>
              <w:t xml:space="preserve"> </w:t>
            </w:r>
            <w:r w:rsidRPr="00D34298">
              <w:rPr>
                <w:color w:val="000000"/>
                <w:sz w:val="14"/>
                <w:szCs w:val="14"/>
                <w:lang w:eastAsia="en-GB"/>
              </w:rPr>
              <w:t>163</w:t>
            </w:r>
          </w:p>
        </w:tc>
        <w:tc>
          <w:tcPr>
            <w:tcW w:w="348" w:type="pct"/>
            <w:tcBorders>
              <w:top w:val="nil"/>
              <w:left w:val="nil"/>
              <w:bottom w:val="nil"/>
              <w:right w:val="single" w:sz="4" w:space="0" w:color="auto"/>
            </w:tcBorders>
            <w:shd w:val="clear" w:color="auto" w:fill="auto"/>
            <w:noWrap/>
            <w:vAlign w:val="bottom"/>
          </w:tcPr>
          <w:p w14:paraId="2BAA96B4"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01" w:type="pct"/>
            <w:tcBorders>
              <w:top w:val="nil"/>
              <w:left w:val="nil"/>
              <w:bottom w:val="nil"/>
              <w:right w:val="single" w:sz="4" w:space="0" w:color="auto"/>
            </w:tcBorders>
            <w:shd w:val="clear" w:color="auto" w:fill="auto"/>
            <w:noWrap/>
            <w:vAlign w:val="bottom"/>
          </w:tcPr>
          <w:p w14:paraId="4A644C49"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153</w:t>
            </w:r>
            <w:r>
              <w:rPr>
                <w:b/>
                <w:bCs/>
                <w:sz w:val="14"/>
                <w:szCs w:val="14"/>
                <w:lang w:eastAsia="en-GB"/>
              </w:rPr>
              <w:t xml:space="preserve"> </w:t>
            </w:r>
            <w:r w:rsidRPr="00D34298">
              <w:rPr>
                <w:b/>
                <w:bCs/>
                <w:sz w:val="14"/>
                <w:szCs w:val="14"/>
                <w:lang w:eastAsia="en-GB"/>
              </w:rPr>
              <w:t>825</w:t>
            </w:r>
          </w:p>
        </w:tc>
      </w:tr>
      <w:tr w:rsidR="00761B6C" w:rsidRPr="00236418" w14:paraId="35FA5F45" w14:textId="77777777" w:rsidTr="00B93AE4">
        <w:trPr>
          <w:trHeight w:val="255"/>
          <w:jc w:val="center"/>
        </w:trPr>
        <w:tc>
          <w:tcPr>
            <w:tcW w:w="479" w:type="pct"/>
            <w:tcBorders>
              <w:top w:val="nil"/>
              <w:left w:val="single" w:sz="4" w:space="0" w:color="auto"/>
              <w:bottom w:val="nil"/>
              <w:right w:val="nil"/>
            </w:tcBorders>
            <w:shd w:val="clear" w:color="auto" w:fill="auto"/>
          </w:tcPr>
          <w:p w14:paraId="226E966B" w14:textId="77777777" w:rsidR="00761B6C" w:rsidRPr="00236418" w:rsidRDefault="00761B6C" w:rsidP="00761B6C">
            <w:pPr>
              <w:pStyle w:val="Tabletext"/>
              <w:spacing w:before="0" w:after="0"/>
              <w:jc w:val="right"/>
              <w:rPr>
                <w:sz w:val="14"/>
                <w:szCs w:val="14"/>
              </w:rPr>
            </w:pPr>
            <w:r w:rsidRPr="00236418">
              <w:rPr>
                <w:sz w:val="14"/>
                <w:szCs w:val="14"/>
              </w:rPr>
              <w:t>30</w:t>
            </w:r>
          </w:p>
        </w:tc>
        <w:tc>
          <w:tcPr>
            <w:tcW w:w="306" w:type="pct"/>
            <w:tcBorders>
              <w:top w:val="nil"/>
              <w:left w:val="single" w:sz="4" w:space="0" w:color="auto"/>
              <w:bottom w:val="nil"/>
              <w:right w:val="single" w:sz="4" w:space="0" w:color="auto"/>
            </w:tcBorders>
            <w:shd w:val="clear" w:color="auto" w:fill="auto"/>
            <w:noWrap/>
            <w:vAlign w:val="bottom"/>
          </w:tcPr>
          <w:p w14:paraId="078D3C6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46</w:t>
            </w:r>
            <w:r>
              <w:rPr>
                <w:color w:val="000000"/>
                <w:sz w:val="14"/>
                <w:szCs w:val="14"/>
                <w:lang w:eastAsia="en-GB"/>
              </w:rPr>
              <w:t xml:space="preserve"> </w:t>
            </w:r>
            <w:r w:rsidRPr="00D34298">
              <w:rPr>
                <w:color w:val="000000"/>
                <w:sz w:val="14"/>
                <w:szCs w:val="14"/>
                <w:lang w:eastAsia="en-GB"/>
              </w:rPr>
              <w:t>266</w:t>
            </w:r>
          </w:p>
        </w:tc>
        <w:tc>
          <w:tcPr>
            <w:tcW w:w="305" w:type="pct"/>
            <w:tcBorders>
              <w:top w:val="nil"/>
              <w:left w:val="nil"/>
              <w:bottom w:val="nil"/>
              <w:right w:val="single" w:sz="4" w:space="0" w:color="auto"/>
            </w:tcBorders>
            <w:shd w:val="clear" w:color="auto" w:fill="auto"/>
            <w:noWrap/>
            <w:vAlign w:val="bottom"/>
          </w:tcPr>
          <w:p w14:paraId="5051D683"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19</w:t>
            </w:r>
            <w:r>
              <w:rPr>
                <w:color w:val="000000"/>
                <w:sz w:val="14"/>
                <w:szCs w:val="14"/>
                <w:lang w:eastAsia="en-GB"/>
              </w:rPr>
              <w:t xml:space="preserve"> </w:t>
            </w:r>
            <w:r w:rsidRPr="00D34298">
              <w:rPr>
                <w:color w:val="000000"/>
                <w:sz w:val="14"/>
                <w:szCs w:val="14"/>
                <w:lang w:eastAsia="en-GB"/>
              </w:rPr>
              <w:t>442</w:t>
            </w:r>
          </w:p>
        </w:tc>
        <w:tc>
          <w:tcPr>
            <w:tcW w:w="348" w:type="pct"/>
            <w:tcBorders>
              <w:top w:val="nil"/>
              <w:left w:val="nil"/>
              <w:bottom w:val="nil"/>
              <w:right w:val="single" w:sz="4" w:space="0" w:color="auto"/>
            </w:tcBorders>
            <w:shd w:val="clear" w:color="auto" w:fill="auto"/>
            <w:noWrap/>
            <w:vAlign w:val="bottom"/>
          </w:tcPr>
          <w:p w14:paraId="6E9F3CC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8</w:t>
            </w:r>
            <w:r>
              <w:rPr>
                <w:color w:val="000000"/>
                <w:sz w:val="14"/>
                <w:szCs w:val="14"/>
                <w:lang w:eastAsia="en-GB"/>
              </w:rPr>
              <w:t xml:space="preserve"> </w:t>
            </w:r>
            <w:r w:rsidRPr="00D34298">
              <w:rPr>
                <w:color w:val="000000"/>
                <w:sz w:val="14"/>
                <w:szCs w:val="14"/>
                <w:lang w:eastAsia="en-GB"/>
              </w:rPr>
              <w:t>898</w:t>
            </w:r>
          </w:p>
        </w:tc>
        <w:tc>
          <w:tcPr>
            <w:tcW w:w="347" w:type="pct"/>
            <w:tcBorders>
              <w:top w:val="nil"/>
              <w:left w:val="nil"/>
              <w:bottom w:val="nil"/>
              <w:right w:val="single" w:sz="4" w:space="0" w:color="auto"/>
            </w:tcBorders>
            <w:shd w:val="clear" w:color="auto" w:fill="auto"/>
            <w:noWrap/>
            <w:vAlign w:val="bottom"/>
          </w:tcPr>
          <w:p w14:paraId="6DEC5CD0" w14:textId="77777777" w:rsidR="00761B6C" w:rsidRPr="00D34298" w:rsidRDefault="00761B6C" w:rsidP="00761B6C">
            <w:pPr>
              <w:pStyle w:val="Tabletext"/>
              <w:spacing w:before="0"/>
              <w:jc w:val="right"/>
              <w:rPr>
                <w:color w:val="000000"/>
                <w:sz w:val="14"/>
                <w:szCs w:val="14"/>
                <w:lang w:eastAsia="en-GB"/>
              </w:rPr>
            </w:pPr>
            <w:r w:rsidRPr="00D34298">
              <w:rPr>
                <w:color w:val="000000"/>
                <w:sz w:val="14"/>
                <w:szCs w:val="14"/>
                <w:lang w:eastAsia="en-GB"/>
              </w:rPr>
              <w:t>16</w:t>
            </w:r>
            <w:r>
              <w:rPr>
                <w:color w:val="000000"/>
                <w:sz w:val="14"/>
                <w:szCs w:val="14"/>
                <w:lang w:eastAsia="en-GB"/>
              </w:rPr>
              <w:t xml:space="preserve"> </w:t>
            </w:r>
            <w:r w:rsidRPr="00D34298">
              <w:rPr>
                <w:color w:val="000000"/>
                <w:sz w:val="14"/>
                <w:szCs w:val="14"/>
                <w:lang w:eastAsia="en-GB"/>
              </w:rPr>
              <w:t>590</w:t>
            </w:r>
          </w:p>
        </w:tc>
        <w:tc>
          <w:tcPr>
            <w:tcW w:w="304" w:type="pct"/>
            <w:tcBorders>
              <w:top w:val="nil"/>
              <w:left w:val="nil"/>
              <w:bottom w:val="nil"/>
              <w:right w:val="nil"/>
            </w:tcBorders>
            <w:shd w:val="clear" w:color="auto" w:fill="auto"/>
            <w:noWrap/>
            <w:vAlign w:val="bottom"/>
          </w:tcPr>
          <w:p w14:paraId="1FB17766" w14:textId="77777777" w:rsidR="00761B6C" w:rsidRPr="00D34298" w:rsidRDefault="00761B6C" w:rsidP="00761B6C">
            <w:pPr>
              <w:pStyle w:val="Tabletext"/>
              <w:spacing w:before="0"/>
              <w:jc w:val="right"/>
              <w:rPr>
                <w:color w:val="000000"/>
                <w:sz w:val="14"/>
                <w:szCs w:val="14"/>
                <w:lang w:eastAsia="en-GB"/>
              </w:rPr>
            </w:pPr>
            <w:r w:rsidRPr="00D34298">
              <w:rPr>
                <w:color w:val="000000"/>
                <w:sz w:val="14"/>
                <w:szCs w:val="14"/>
                <w:lang w:eastAsia="en-GB"/>
              </w:rPr>
              <w:t>101</w:t>
            </w:r>
          </w:p>
        </w:tc>
        <w:tc>
          <w:tcPr>
            <w:tcW w:w="304" w:type="pct"/>
            <w:tcBorders>
              <w:top w:val="nil"/>
              <w:left w:val="single" w:sz="4" w:space="0" w:color="auto"/>
              <w:bottom w:val="nil"/>
              <w:right w:val="single" w:sz="4" w:space="0" w:color="auto"/>
            </w:tcBorders>
            <w:shd w:val="clear" w:color="auto" w:fill="auto"/>
            <w:noWrap/>
            <w:vAlign w:val="bottom"/>
          </w:tcPr>
          <w:p w14:paraId="763E43D1" w14:textId="77777777" w:rsidR="00761B6C" w:rsidRPr="00D34298" w:rsidRDefault="00761B6C" w:rsidP="00761B6C">
            <w:pPr>
              <w:pStyle w:val="Tabletext"/>
              <w:spacing w:before="0"/>
              <w:jc w:val="right"/>
              <w:rPr>
                <w:b/>
                <w:bCs/>
                <w:color w:val="000000"/>
                <w:sz w:val="14"/>
                <w:szCs w:val="14"/>
                <w:lang w:eastAsia="en-GB"/>
              </w:rPr>
            </w:pPr>
            <w:r w:rsidRPr="00D34298">
              <w:rPr>
                <w:b/>
                <w:bCs/>
                <w:color w:val="000000"/>
                <w:sz w:val="14"/>
                <w:szCs w:val="14"/>
                <w:lang w:eastAsia="en-GB"/>
              </w:rPr>
              <w:t>91</w:t>
            </w:r>
            <w:r>
              <w:rPr>
                <w:b/>
                <w:bCs/>
                <w:color w:val="000000"/>
                <w:sz w:val="14"/>
                <w:szCs w:val="14"/>
                <w:lang w:eastAsia="en-GB"/>
              </w:rPr>
              <w:t xml:space="preserve"> </w:t>
            </w:r>
            <w:r w:rsidRPr="00D34298">
              <w:rPr>
                <w:b/>
                <w:bCs/>
                <w:color w:val="000000"/>
                <w:sz w:val="14"/>
                <w:szCs w:val="14"/>
                <w:lang w:eastAsia="en-GB"/>
              </w:rPr>
              <w:t>296</w:t>
            </w:r>
          </w:p>
        </w:tc>
        <w:tc>
          <w:tcPr>
            <w:tcW w:w="262" w:type="pct"/>
            <w:tcBorders>
              <w:top w:val="nil"/>
              <w:left w:val="nil"/>
              <w:bottom w:val="nil"/>
              <w:right w:val="single" w:sz="4" w:space="0" w:color="auto"/>
            </w:tcBorders>
            <w:shd w:val="clear" w:color="auto" w:fill="auto"/>
            <w:noWrap/>
            <w:vAlign w:val="bottom"/>
          </w:tcPr>
          <w:p w14:paraId="4DBC98D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45" w:type="pct"/>
            <w:tcBorders>
              <w:top w:val="nil"/>
              <w:left w:val="nil"/>
              <w:bottom w:val="nil"/>
              <w:right w:val="single" w:sz="4" w:space="0" w:color="auto"/>
            </w:tcBorders>
            <w:shd w:val="clear" w:color="auto" w:fill="auto"/>
            <w:vAlign w:val="bottom"/>
          </w:tcPr>
          <w:p w14:paraId="574164D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02C7B241" w14:textId="77777777" w:rsidR="00761B6C" w:rsidRPr="00D34298" w:rsidRDefault="00761B6C" w:rsidP="00761B6C">
            <w:pPr>
              <w:pStyle w:val="Tabletext"/>
              <w:spacing w:before="0"/>
              <w:jc w:val="right"/>
              <w:rPr>
                <w:color w:val="000000"/>
                <w:sz w:val="14"/>
                <w:szCs w:val="14"/>
                <w:lang w:eastAsia="en-GB"/>
              </w:rPr>
            </w:pPr>
            <w:r>
              <w:rPr>
                <w:color w:val="000000"/>
                <w:sz w:val="14"/>
                <w:szCs w:val="14"/>
                <w:lang w:eastAsia="en-GB"/>
              </w:rPr>
              <w:t>–</w:t>
            </w:r>
            <w:r w:rsidRPr="00D34298">
              <w:rPr>
                <w:color w:val="000000"/>
                <w:sz w:val="14"/>
                <w:szCs w:val="14"/>
                <w:lang w:eastAsia="en-GB"/>
              </w:rPr>
              <w:t xml:space="preserve"> </w:t>
            </w:r>
          </w:p>
        </w:tc>
        <w:tc>
          <w:tcPr>
            <w:tcW w:w="322" w:type="pct"/>
            <w:tcBorders>
              <w:top w:val="nil"/>
              <w:left w:val="nil"/>
              <w:bottom w:val="nil"/>
              <w:right w:val="single" w:sz="4" w:space="0" w:color="auto"/>
            </w:tcBorders>
            <w:shd w:val="clear" w:color="auto" w:fill="auto"/>
            <w:noWrap/>
            <w:vAlign w:val="bottom"/>
          </w:tcPr>
          <w:p w14:paraId="420E2907" w14:textId="77777777" w:rsidR="00761B6C" w:rsidRPr="00D34298" w:rsidRDefault="00761B6C" w:rsidP="00761B6C">
            <w:pPr>
              <w:pStyle w:val="Tabletext"/>
              <w:spacing w:before="0"/>
              <w:jc w:val="right"/>
              <w:rPr>
                <w:color w:val="000000"/>
                <w:sz w:val="14"/>
                <w:szCs w:val="14"/>
                <w:lang w:eastAsia="en-GB"/>
              </w:rPr>
            </w:pPr>
            <w:r w:rsidRPr="00D34298">
              <w:rPr>
                <w:color w:val="000000"/>
                <w:sz w:val="14"/>
                <w:szCs w:val="14"/>
                <w:lang w:eastAsia="en-GB"/>
              </w:rPr>
              <w:t>922</w:t>
            </w:r>
          </w:p>
        </w:tc>
        <w:tc>
          <w:tcPr>
            <w:tcW w:w="227" w:type="pct"/>
            <w:tcBorders>
              <w:top w:val="nil"/>
              <w:left w:val="nil"/>
              <w:bottom w:val="nil"/>
              <w:right w:val="single" w:sz="4" w:space="0" w:color="auto"/>
            </w:tcBorders>
            <w:shd w:val="clear" w:color="auto" w:fill="auto"/>
            <w:noWrap/>
            <w:vAlign w:val="bottom"/>
          </w:tcPr>
          <w:p w14:paraId="3448BAFA" w14:textId="77777777" w:rsidR="00761B6C" w:rsidRPr="00D34298" w:rsidRDefault="00761B6C" w:rsidP="00761B6C">
            <w:pPr>
              <w:pStyle w:val="Tabletext"/>
              <w:spacing w:before="0"/>
              <w:jc w:val="right"/>
              <w:rPr>
                <w:color w:val="000000"/>
                <w:sz w:val="14"/>
                <w:szCs w:val="14"/>
                <w:lang w:eastAsia="en-GB"/>
              </w:rPr>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404</w:t>
            </w:r>
          </w:p>
        </w:tc>
        <w:tc>
          <w:tcPr>
            <w:tcW w:w="218" w:type="pct"/>
            <w:tcBorders>
              <w:top w:val="nil"/>
              <w:left w:val="nil"/>
              <w:bottom w:val="nil"/>
              <w:right w:val="single" w:sz="4" w:space="0" w:color="auto"/>
            </w:tcBorders>
            <w:shd w:val="clear" w:color="auto" w:fill="auto"/>
            <w:noWrap/>
            <w:vAlign w:val="bottom"/>
          </w:tcPr>
          <w:p w14:paraId="6539D39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bottom"/>
          </w:tcPr>
          <w:p w14:paraId="7677790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bottom"/>
          </w:tcPr>
          <w:p w14:paraId="606C248A" w14:textId="77777777" w:rsidR="00761B6C" w:rsidRPr="00D34298" w:rsidRDefault="00761B6C" w:rsidP="00761B6C">
            <w:pPr>
              <w:pStyle w:val="Tabletext"/>
              <w:spacing w:before="0"/>
              <w:jc w:val="right"/>
              <w:rPr>
                <w:color w:val="000000"/>
                <w:sz w:val="14"/>
                <w:szCs w:val="14"/>
                <w:lang w:eastAsia="en-GB"/>
              </w:rPr>
            </w:pPr>
            <w:r w:rsidRPr="00D34298">
              <w:rPr>
                <w:color w:val="000000"/>
                <w:sz w:val="14"/>
                <w:szCs w:val="14"/>
                <w:lang w:eastAsia="en-GB"/>
              </w:rPr>
              <w:t xml:space="preserve"> 1</w:t>
            </w:r>
            <w:r>
              <w:rPr>
                <w:color w:val="000000"/>
                <w:sz w:val="14"/>
                <w:szCs w:val="14"/>
                <w:lang w:eastAsia="en-GB"/>
              </w:rPr>
              <w:t xml:space="preserve"> </w:t>
            </w:r>
            <w:r w:rsidRPr="00D34298">
              <w:rPr>
                <w:color w:val="000000"/>
                <w:sz w:val="14"/>
                <w:szCs w:val="14"/>
                <w:lang w:eastAsia="en-GB"/>
              </w:rPr>
              <w:t>657</w:t>
            </w:r>
          </w:p>
        </w:tc>
        <w:tc>
          <w:tcPr>
            <w:tcW w:w="348" w:type="pct"/>
            <w:tcBorders>
              <w:top w:val="nil"/>
              <w:left w:val="nil"/>
              <w:bottom w:val="nil"/>
              <w:right w:val="single" w:sz="4" w:space="0" w:color="auto"/>
            </w:tcBorders>
            <w:shd w:val="clear" w:color="auto" w:fill="auto"/>
            <w:noWrap/>
            <w:vAlign w:val="bottom"/>
          </w:tcPr>
          <w:p w14:paraId="2FC2B825"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01" w:type="pct"/>
            <w:tcBorders>
              <w:top w:val="nil"/>
              <w:left w:val="nil"/>
              <w:bottom w:val="nil"/>
              <w:right w:val="single" w:sz="4" w:space="0" w:color="auto"/>
            </w:tcBorders>
            <w:shd w:val="clear" w:color="auto" w:fill="auto"/>
            <w:noWrap/>
            <w:vAlign w:val="bottom"/>
          </w:tcPr>
          <w:p w14:paraId="5C1F4080" w14:textId="77777777" w:rsidR="00761B6C" w:rsidRPr="00D34298" w:rsidRDefault="00761B6C" w:rsidP="00761B6C">
            <w:pPr>
              <w:pStyle w:val="Tabletext"/>
              <w:spacing w:before="0"/>
              <w:jc w:val="right"/>
              <w:rPr>
                <w:b/>
                <w:bCs/>
                <w:sz w:val="14"/>
                <w:szCs w:val="14"/>
                <w:lang w:eastAsia="en-GB"/>
              </w:rPr>
            </w:pPr>
            <w:r w:rsidRPr="00D34298">
              <w:rPr>
                <w:b/>
                <w:bCs/>
                <w:sz w:val="14"/>
                <w:szCs w:val="14"/>
                <w:lang w:eastAsia="en-GB"/>
              </w:rPr>
              <w:t>95</w:t>
            </w:r>
            <w:r>
              <w:rPr>
                <w:b/>
                <w:bCs/>
                <w:sz w:val="14"/>
                <w:szCs w:val="14"/>
                <w:lang w:eastAsia="en-GB"/>
              </w:rPr>
              <w:t xml:space="preserve"> </w:t>
            </w:r>
            <w:r w:rsidRPr="00D34298">
              <w:rPr>
                <w:b/>
                <w:bCs/>
                <w:sz w:val="14"/>
                <w:szCs w:val="14"/>
                <w:lang w:eastAsia="en-GB"/>
              </w:rPr>
              <w:t>278</w:t>
            </w:r>
          </w:p>
        </w:tc>
      </w:tr>
      <w:tr w:rsidR="00761B6C" w:rsidRPr="00236418" w14:paraId="6F667E94" w14:textId="77777777" w:rsidTr="00B93AE4">
        <w:trPr>
          <w:trHeight w:val="255"/>
          <w:jc w:val="center"/>
        </w:trPr>
        <w:tc>
          <w:tcPr>
            <w:tcW w:w="479" w:type="pct"/>
            <w:tcBorders>
              <w:top w:val="nil"/>
              <w:left w:val="single" w:sz="4" w:space="0" w:color="auto"/>
              <w:bottom w:val="nil"/>
              <w:right w:val="nil"/>
            </w:tcBorders>
            <w:shd w:val="clear" w:color="auto" w:fill="auto"/>
          </w:tcPr>
          <w:p w14:paraId="61259BB4" w14:textId="77777777" w:rsidR="00761B6C" w:rsidRPr="00236418" w:rsidRDefault="00761B6C" w:rsidP="00761B6C">
            <w:pPr>
              <w:pStyle w:val="Tabletext"/>
              <w:spacing w:before="0" w:after="0"/>
              <w:jc w:val="right"/>
              <w:rPr>
                <w:sz w:val="14"/>
                <w:szCs w:val="14"/>
              </w:rPr>
            </w:pPr>
            <w:r w:rsidRPr="00236418">
              <w:rPr>
                <w:sz w:val="14"/>
                <w:szCs w:val="14"/>
              </w:rPr>
              <w:t>31</w:t>
            </w:r>
          </w:p>
        </w:tc>
        <w:tc>
          <w:tcPr>
            <w:tcW w:w="306" w:type="pct"/>
            <w:tcBorders>
              <w:top w:val="nil"/>
              <w:left w:val="single" w:sz="4" w:space="0" w:color="auto"/>
              <w:bottom w:val="nil"/>
              <w:right w:val="single" w:sz="4" w:space="0" w:color="auto"/>
            </w:tcBorders>
            <w:shd w:val="clear" w:color="auto" w:fill="auto"/>
            <w:noWrap/>
            <w:vAlign w:val="bottom"/>
          </w:tcPr>
          <w:p w14:paraId="7AD326B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14</w:t>
            </w:r>
            <w:r>
              <w:rPr>
                <w:color w:val="000000"/>
                <w:sz w:val="14"/>
                <w:szCs w:val="14"/>
                <w:lang w:eastAsia="en-GB"/>
              </w:rPr>
              <w:t xml:space="preserve"> </w:t>
            </w:r>
            <w:r w:rsidRPr="00D34298">
              <w:rPr>
                <w:color w:val="000000"/>
                <w:sz w:val="14"/>
                <w:szCs w:val="14"/>
                <w:lang w:eastAsia="en-GB"/>
              </w:rPr>
              <w:t>406</w:t>
            </w:r>
          </w:p>
        </w:tc>
        <w:tc>
          <w:tcPr>
            <w:tcW w:w="305" w:type="pct"/>
            <w:tcBorders>
              <w:top w:val="nil"/>
              <w:left w:val="nil"/>
              <w:bottom w:val="nil"/>
              <w:right w:val="single" w:sz="4" w:space="0" w:color="auto"/>
            </w:tcBorders>
            <w:shd w:val="clear" w:color="auto" w:fill="auto"/>
            <w:noWrap/>
            <w:vAlign w:val="bottom"/>
          </w:tcPr>
          <w:p w14:paraId="11817B5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5</w:t>
            </w:r>
            <w:r>
              <w:rPr>
                <w:color w:val="000000"/>
                <w:sz w:val="14"/>
                <w:szCs w:val="14"/>
                <w:lang w:eastAsia="en-GB"/>
              </w:rPr>
              <w:t xml:space="preserve"> </w:t>
            </w:r>
            <w:r w:rsidRPr="00D34298">
              <w:rPr>
                <w:color w:val="000000"/>
                <w:sz w:val="14"/>
                <w:szCs w:val="14"/>
                <w:lang w:eastAsia="en-GB"/>
              </w:rPr>
              <w:t>977</w:t>
            </w:r>
          </w:p>
        </w:tc>
        <w:tc>
          <w:tcPr>
            <w:tcW w:w="348" w:type="pct"/>
            <w:tcBorders>
              <w:top w:val="nil"/>
              <w:left w:val="nil"/>
              <w:bottom w:val="nil"/>
              <w:right w:val="single" w:sz="4" w:space="0" w:color="auto"/>
            </w:tcBorders>
            <w:shd w:val="clear" w:color="auto" w:fill="auto"/>
            <w:noWrap/>
            <w:vAlign w:val="bottom"/>
          </w:tcPr>
          <w:p w14:paraId="2F65CDC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3</w:t>
            </w:r>
            <w:r>
              <w:rPr>
                <w:color w:val="000000"/>
                <w:sz w:val="14"/>
                <w:szCs w:val="14"/>
                <w:lang w:eastAsia="en-GB"/>
              </w:rPr>
              <w:t xml:space="preserve"> </w:t>
            </w:r>
            <w:r w:rsidRPr="00D34298">
              <w:rPr>
                <w:color w:val="000000"/>
                <w:sz w:val="14"/>
                <w:szCs w:val="14"/>
                <w:lang w:eastAsia="en-GB"/>
              </w:rPr>
              <w:t xml:space="preserve">029 </w:t>
            </w:r>
          </w:p>
        </w:tc>
        <w:tc>
          <w:tcPr>
            <w:tcW w:w="347" w:type="pct"/>
            <w:tcBorders>
              <w:top w:val="nil"/>
              <w:left w:val="nil"/>
              <w:bottom w:val="nil"/>
              <w:right w:val="single" w:sz="4" w:space="0" w:color="auto"/>
            </w:tcBorders>
            <w:shd w:val="clear" w:color="auto" w:fill="auto"/>
            <w:noWrap/>
            <w:vAlign w:val="bottom"/>
          </w:tcPr>
          <w:p w14:paraId="6F948AA8" w14:textId="77777777" w:rsidR="00761B6C" w:rsidRPr="00D34298" w:rsidRDefault="00761B6C" w:rsidP="00761B6C">
            <w:pPr>
              <w:pStyle w:val="Tabletext"/>
              <w:spacing w:before="0"/>
              <w:jc w:val="right"/>
              <w:rPr>
                <w:color w:val="000000"/>
                <w:sz w:val="14"/>
                <w:szCs w:val="14"/>
                <w:lang w:eastAsia="en-GB"/>
              </w:rPr>
            </w:pPr>
            <w:r w:rsidRPr="00D34298">
              <w:rPr>
                <w:color w:val="000000"/>
                <w:sz w:val="14"/>
                <w:szCs w:val="14"/>
                <w:lang w:eastAsia="en-GB"/>
              </w:rPr>
              <w:t>5</w:t>
            </w:r>
            <w:r>
              <w:rPr>
                <w:color w:val="000000"/>
                <w:sz w:val="14"/>
                <w:szCs w:val="14"/>
                <w:lang w:eastAsia="en-GB"/>
              </w:rPr>
              <w:t xml:space="preserve"> </w:t>
            </w:r>
            <w:r w:rsidRPr="00D34298">
              <w:rPr>
                <w:color w:val="000000"/>
                <w:sz w:val="14"/>
                <w:szCs w:val="14"/>
                <w:lang w:eastAsia="en-GB"/>
              </w:rPr>
              <w:t>836</w:t>
            </w:r>
          </w:p>
        </w:tc>
        <w:tc>
          <w:tcPr>
            <w:tcW w:w="304" w:type="pct"/>
            <w:tcBorders>
              <w:top w:val="nil"/>
              <w:left w:val="nil"/>
              <w:bottom w:val="nil"/>
              <w:right w:val="nil"/>
            </w:tcBorders>
            <w:shd w:val="clear" w:color="auto" w:fill="auto"/>
            <w:noWrap/>
            <w:vAlign w:val="bottom"/>
          </w:tcPr>
          <w:p w14:paraId="30984BCA" w14:textId="77777777" w:rsidR="00761B6C" w:rsidRPr="00D34298" w:rsidRDefault="00761B6C" w:rsidP="00761B6C">
            <w:pPr>
              <w:pStyle w:val="Tabletext"/>
              <w:spacing w:before="0"/>
              <w:jc w:val="right"/>
              <w:rPr>
                <w:color w:val="000000"/>
                <w:sz w:val="14"/>
                <w:szCs w:val="14"/>
                <w:lang w:eastAsia="en-GB"/>
              </w:rPr>
            </w:pPr>
            <w:r w:rsidRPr="00D34298">
              <w:rPr>
                <w:color w:val="000000"/>
                <w:sz w:val="14"/>
                <w:szCs w:val="14"/>
                <w:lang w:eastAsia="en-GB"/>
              </w:rPr>
              <w:t>28</w:t>
            </w:r>
            <w:r>
              <w:rPr>
                <w:color w:val="000000"/>
                <w:sz w:val="14"/>
                <w:szCs w:val="14"/>
                <w:lang w:eastAsia="en-GB"/>
              </w:rPr>
              <w:t xml:space="preserve"> </w:t>
            </w:r>
            <w:r w:rsidRPr="00D34298">
              <w:rPr>
                <w:color w:val="000000"/>
                <w:sz w:val="14"/>
                <w:szCs w:val="14"/>
                <w:lang w:eastAsia="en-GB"/>
              </w:rPr>
              <w:t>023</w:t>
            </w:r>
          </w:p>
        </w:tc>
        <w:tc>
          <w:tcPr>
            <w:tcW w:w="304" w:type="pct"/>
            <w:tcBorders>
              <w:top w:val="nil"/>
              <w:left w:val="single" w:sz="4" w:space="0" w:color="auto"/>
              <w:bottom w:val="nil"/>
              <w:right w:val="single" w:sz="4" w:space="0" w:color="auto"/>
            </w:tcBorders>
            <w:shd w:val="clear" w:color="auto" w:fill="auto"/>
            <w:noWrap/>
            <w:vAlign w:val="bottom"/>
          </w:tcPr>
          <w:p w14:paraId="5DA0487E" w14:textId="77777777" w:rsidR="00761B6C" w:rsidRPr="00D34298" w:rsidRDefault="00761B6C" w:rsidP="00761B6C">
            <w:pPr>
              <w:pStyle w:val="Tabletext"/>
              <w:spacing w:before="0"/>
              <w:jc w:val="right"/>
              <w:rPr>
                <w:b/>
                <w:bCs/>
                <w:color w:val="000000"/>
                <w:sz w:val="14"/>
                <w:szCs w:val="14"/>
                <w:lang w:eastAsia="en-GB"/>
              </w:rPr>
            </w:pPr>
            <w:r w:rsidRPr="00D34298">
              <w:rPr>
                <w:b/>
                <w:bCs/>
                <w:color w:val="000000"/>
                <w:sz w:val="14"/>
                <w:szCs w:val="14"/>
                <w:lang w:eastAsia="en-GB"/>
              </w:rPr>
              <w:t>57</w:t>
            </w:r>
            <w:r>
              <w:rPr>
                <w:b/>
                <w:bCs/>
                <w:color w:val="000000"/>
                <w:sz w:val="14"/>
                <w:szCs w:val="14"/>
                <w:lang w:eastAsia="en-GB"/>
              </w:rPr>
              <w:t xml:space="preserve"> </w:t>
            </w:r>
            <w:r w:rsidRPr="00D34298">
              <w:rPr>
                <w:b/>
                <w:bCs/>
                <w:color w:val="000000"/>
                <w:sz w:val="14"/>
                <w:szCs w:val="14"/>
                <w:lang w:eastAsia="en-GB"/>
              </w:rPr>
              <w:t>272</w:t>
            </w:r>
          </w:p>
        </w:tc>
        <w:tc>
          <w:tcPr>
            <w:tcW w:w="262" w:type="pct"/>
            <w:tcBorders>
              <w:top w:val="nil"/>
              <w:left w:val="nil"/>
              <w:bottom w:val="nil"/>
              <w:right w:val="single" w:sz="4" w:space="0" w:color="auto"/>
            </w:tcBorders>
            <w:shd w:val="clear" w:color="auto" w:fill="auto"/>
            <w:noWrap/>
            <w:vAlign w:val="bottom"/>
          </w:tcPr>
          <w:p w14:paraId="6909E7E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45" w:type="pct"/>
            <w:tcBorders>
              <w:top w:val="nil"/>
              <w:left w:val="nil"/>
              <w:bottom w:val="nil"/>
              <w:right w:val="single" w:sz="4" w:space="0" w:color="auto"/>
            </w:tcBorders>
            <w:shd w:val="clear" w:color="auto" w:fill="auto"/>
            <w:vAlign w:val="bottom"/>
          </w:tcPr>
          <w:p w14:paraId="3C11A85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0C73BFEA" w14:textId="77777777" w:rsidR="00761B6C" w:rsidRPr="00D34298" w:rsidRDefault="00761B6C" w:rsidP="00761B6C">
            <w:pPr>
              <w:pStyle w:val="Tabletext"/>
              <w:spacing w:before="0"/>
              <w:jc w:val="right"/>
              <w:rPr>
                <w:color w:val="000000"/>
                <w:sz w:val="14"/>
                <w:szCs w:val="14"/>
                <w:lang w:eastAsia="en-GB"/>
              </w:rPr>
            </w:pPr>
            <w:r w:rsidRPr="00D34298">
              <w:rPr>
                <w:color w:val="000000"/>
                <w:sz w:val="14"/>
                <w:szCs w:val="14"/>
                <w:lang w:eastAsia="en-GB"/>
              </w:rPr>
              <w:t xml:space="preserve"> 17</w:t>
            </w:r>
          </w:p>
        </w:tc>
        <w:tc>
          <w:tcPr>
            <w:tcW w:w="322" w:type="pct"/>
            <w:tcBorders>
              <w:top w:val="nil"/>
              <w:left w:val="nil"/>
              <w:bottom w:val="nil"/>
              <w:right w:val="single" w:sz="4" w:space="0" w:color="auto"/>
            </w:tcBorders>
            <w:shd w:val="clear" w:color="auto" w:fill="auto"/>
            <w:noWrap/>
            <w:vAlign w:val="bottom"/>
          </w:tcPr>
          <w:p w14:paraId="4F963139" w14:textId="77777777" w:rsidR="00761B6C" w:rsidRPr="00D34298" w:rsidRDefault="00761B6C" w:rsidP="00761B6C">
            <w:pPr>
              <w:pStyle w:val="Tabletext"/>
              <w:spacing w:before="0"/>
              <w:jc w:val="right"/>
              <w:rPr>
                <w:color w:val="000000"/>
                <w:sz w:val="14"/>
                <w:szCs w:val="14"/>
                <w:lang w:eastAsia="en-GB"/>
              </w:rPr>
            </w:pPr>
            <w:r w:rsidRPr="00D34298">
              <w:rPr>
                <w:color w:val="000000"/>
                <w:sz w:val="14"/>
                <w:szCs w:val="14"/>
                <w:lang w:eastAsia="en-GB"/>
              </w:rPr>
              <w:t>243</w:t>
            </w:r>
          </w:p>
        </w:tc>
        <w:tc>
          <w:tcPr>
            <w:tcW w:w="227" w:type="pct"/>
            <w:tcBorders>
              <w:top w:val="nil"/>
              <w:left w:val="nil"/>
              <w:bottom w:val="nil"/>
              <w:right w:val="single" w:sz="4" w:space="0" w:color="auto"/>
            </w:tcBorders>
            <w:shd w:val="clear" w:color="auto" w:fill="auto"/>
            <w:noWrap/>
            <w:vAlign w:val="bottom"/>
          </w:tcPr>
          <w:p w14:paraId="4FEB40E8" w14:textId="77777777" w:rsidR="00761B6C" w:rsidRPr="00D34298" w:rsidRDefault="00761B6C" w:rsidP="00761B6C">
            <w:pPr>
              <w:pStyle w:val="Tabletext"/>
              <w:spacing w:before="0"/>
              <w:jc w:val="right"/>
              <w:rPr>
                <w:color w:val="000000"/>
                <w:sz w:val="14"/>
                <w:szCs w:val="14"/>
                <w:lang w:eastAsia="en-GB"/>
              </w:rPr>
            </w:pPr>
            <w:r w:rsidRPr="00D34298">
              <w:rPr>
                <w:color w:val="000000"/>
                <w:sz w:val="14"/>
                <w:szCs w:val="14"/>
                <w:lang w:eastAsia="en-GB"/>
              </w:rPr>
              <w:t>509</w:t>
            </w:r>
          </w:p>
        </w:tc>
        <w:tc>
          <w:tcPr>
            <w:tcW w:w="218" w:type="pct"/>
            <w:tcBorders>
              <w:top w:val="nil"/>
              <w:left w:val="nil"/>
              <w:bottom w:val="nil"/>
              <w:right w:val="single" w:sz="4" w:space="0" w:color="auto"/>
            </w:tcBorders>
            <w:shd w:val="clear" w:color="auto" w:fill="auto"/>
            <w:noWrap/>
            <w:vAlign w:val="bottom"/>
          </w:tcPr>
          <w:p w14:paraId="0F25DF0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bottom"/>
          </w:tcPr>
          <w:p w14:paraId="3AE99B6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bottom"/>
          </w:tcPr>
          <w:p w14:paraId="2EFACCE7" w14:textId="77777777" w:rsidR="00761B6C" w:rsidRPr="00D34298" w:rsidRDefault="00761B6C" w:rsidP="00761B6C">
            <w:pPr>
              <w:pStyle w:val="Tabletext"/>
              <w:spacing w:before="0"/>
              <w:jc w:val="right"/>
              <w:rPr>
                <w:color w:val="000000"/>
                <w:sz w:val="14"/>
                <w:szCs w:val="14"/>
                <w:lang w:eastAsia="en-GB"/>
              </w:rPr>
            </w:pPr>
            <w:r w:rsidRPr="00D34298">
              <w:rPr>
                <w:color w:val="000000"/>
                <w:sz w:val="14"/>
                <w:szCs w:val="14"/>
                <w:lang w:eastAsia="en-GB"/>
              </w:rPr>
              <w:t>507</w:t>
            </w:r>
          </w:p>
        </w:tc>
        <w:tc>
          <w:tcPr>
            <w:tcW w:w="348" w:type="pct"/>
            <w:tcBorders>
              <w:top w:val="nil"/>
              <w:left w:val="nil"/>
              <w:bottom w:val="nil"/>
              <w:right w:val="single" w:sz="4" w:space="0" w:color="auto"/>
            </w:tcBorders>
            <w:shd w:val="clear" w:color="auto" w:fill="auto"/>
            <w:noWrap/>
            <w:vAlign w:val="bottom"/>
          </w:tcPr>
          <w:p w14:paraId="66938CA3"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01" w:type="pct"/>
            <w:tcBorders>
              <w:top w:val="nil"/>
              <w:left w:val="nil"/>
              <w:bottom w:val="nil"/>
              <w:right w:val="single" w:sz="4" w:space="0" w:color="auto"/>
            </w:tcBorders>
            <w:shd w:val="clear" w:color="auto" w:fill="auto"/>
            <w:noWrap/>
            <w:vAlign w:val="bottom"/>
          </w:tcPr>
          <w:p w14:paraId="4587376F" w14:textId="77777777" w:rsidR="00761B6C" w:rsidRPr="00D34298" w:rsidRDefault="00761B6C" w:rsidP="00761B6C">
            <w:pPr>
              <w:pStyle w:val="Tabletext"/>
              <w:spacing w:before="0"/>
              <w:jc w:val="right"/>
              <w:rPr>
                <w:b/>
                <w:bCs/>
                <w:sz w:val="14"/>
                <w:szCs w:val="14"/>
                <w:lang w:eastAsia="en-GB"/>
              </w:rPr>
            </w:pPr>
            <w:r w:rsidRPr="00D34298">
              <w:rPr>
                <w:b/>
                <w:bCs/>
                <w:sz w:val="14"/>
                <w:szCs w:val="14"/>
                <w:lang w:eastAsia="en-GB"/>
              </w:rPr>
              <w:t>58</w:t>
            </w:r>
            <w:r>
              <w:rPr>
                <w:b/>
                <w:bCs/>
                <w:sz w:val="14"/>
                <w:szCs w:val="14"/>
                <w:lang w:eastAsia="en-GB"/>
              </w:rPr>
              <w:t xml:space="preserve"> </w:t>
            </w:r>
            <w:r w:rsidRPr="00D34298">
              <w:rPr>
                <w:b/>
                <w:bCs/>
                <w:sz w:val="14"/>
                <w:szCs w:val="14"/>
                <w:lang w:eastAsia="en-GB"/>
              </w:rPr>
              <w:t>547</w:t>
            </w:r>
          </w:p>
        </w:tc>
      </w:tr>
      <w:tr w:rsidR="00761B6C" w:rsidRPr="00236418" w14:paraId="61E41A83"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4A12EB20" w14:textId="77777777" w:rsidR="00761B6C" w:rsidRPr="00236418" w:rsidRDefault="00761B6C" w:rsidP="00761B6C">
            <w:pPr>
              <w:pStyle w:val="Tabletext"/>
              <w:spacing w:before="0" w:after="0"/>
              <w:rPr>
                <w:sz w:val="14"/>
                <w:szCs w:val="14"/>
                <w:lang w:eastAsia="zh-CN"/>
              </w:rPr>
            </w:pPr>
            <w:r w:rsidRPr="00236418">
              <w:rPr>
                <w:sz w:val="14"/>
                <w:szCs w:val="14"/>
              </w:rPr>
              <w:t>Frais de missions</w:t>
            </w:r>
          </w:p>
        </w:tc>
        <w:tc>
          <w:tcPr>
            <w:tcW w:w="306" w:type="pct"/>
            <w:tcBorders>
              <w:top w:val="nil"/>
              <w:left w:val="single" w:sz="4" w:space="0" w:color="auto"/>
              <w:bottom w:val="nil"/>
              <w:right w:val="single" w:sz="4" w:space="0" w:color="auto"/>
            </w:tcBorders>
            <w:shd w:val="clear" w:color="auto" w:fill="auto"/>
            <w:noWrap/>
            <w:vAlign w:val="bottom"/>
          </w:tcPr>
          <w:p w14:paraId="52D3121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105</w:t>
            </w:r>
          </w:p>
        </w:tc>
        <w:tc>
          <w:tcPr>
            <w:tcW w:w="305" w:type="pct"/>
            <w:tcBorders>
              <w:top w:val="nil"/>
              <w:left w:val="nil"/>
              <w:bottom w:val="nil"/>
              <w:right w:val="single" w:sz="4" w:space="0" w:color="auto"/>
            </w:tcBorders>
            <w:shd w:val="clear" w:color="auto" w:fill="auto"/>
            <w:noWrap/>
            <w:vAlign w:val="bottom"/>
          </w:tcPr>
          <w:p w14:paraId="066A435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142</w:t>
            </w:r>
          </w:p>
        </w:tc>
        <w:tc>
          <w:tcPr>
            <w:tcW w:w="348" w:type="pct"/>
            <w:tcBorders>
              <w:top w:val="nil"/>
              <w:left w:val="nil"/>
              <w:bottom w:val="nil"/>
              <w:right w:val="single" w:sz="4" w:space="0" w:color="auto"/>
            </w:tcBorders>
            <w:shd w:val="clear" w:color="auto" w:fill="auto"/>
            <w:noWrap/>
            <w:vAlign w:val="bottom"/>
          </w:tcPr>
          <w:p w14:paraId="35A7316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147</w:t>
            </w:r>
          </w:p>
        </w:tc>
        <w:tc>
          <w:tcPr>
            <w:tcW w:w="347" w:type="pct"/>
            <w:tcBorders>
              <w:top w:val="nil"/>
              <w:left w:val="nil"/>
              <w:bottom w:val="nil"/>
              <w:right w:val="single" w:sz="4" w:space="0" w:color="auto"/>
            </w:tcBorders>
            <w:shd w:val="clear" w:color="auto" w:fill="auto"/>
            <w:noWrap/>
            <w:vAlign w:val="bottom"/>
          </w:tcPr>
          <w:p w14:paraId="6A1F4ED3"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313</w:t>
            </w:r>
          </w:p>
        </w:tc>
        <w:tc>
          <w:tcPr>
            <w:tcW w:w="304" w:type="pct"/>
            <w:tcBorders>
              <w:top w:val="nil"/>
              <w:left w:val="nil"/>
              <w:bottom w:val="nil"/>
              <w:right w:val="nil"/>
            </w:tcBorders>
            <w:shd w:val="clear" w:color="auto" w:fill="auto"/>
            <w:noWrap/>
            <w:vAlign w:val="bottom"/>
          </w:tcPr>
          <w:p w14:paraId="4E1FF20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04" w:type="pct"/>
            <w:tcBorders>
              <w:top w:val="nil"/>
              <w:left w:val="single" w:sz="4" w:space="0" w:color="auto"/>
              <w:bottom w:val="nil"/>
              <w:right w:val="single" w:sz="4" w:space="0" w:color="auto"/>
            </w:tcBorders>
            <w:shd w:val="clear" w:color="auto" w:fill="auto"/>
            <w:noWrap/>
            <w:vAlign w:val="bottom"/>
          </w:tcPr>
          <w:p w14:paraId="3A940C25"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707</w:t>
            </w:r>
          </w:p>
        </w:tc>
        <w:tc>
          <w:tcPr>
            <w:tcW w:w="262" w:type="pct"/>
            <w:tcBorders>
              <w:top w:val="nil"/>
              <w:left w:val="nil"/>
              <w:bottom w:val="nil"/>
              <w:right w:val="single" w:sz="4" w:space="0" w:color="auto"/>
            </w:tcBorders>
            <w:shd w:val="clear" w:color="auto" w:fill="auto"/>
            <w:noWrap/>
            <w:vAlign w:val="bottom"/>
          </w:tcPr>
          <w:p w14:paraId="5CA2C3F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r w:rsidRPr="00D34298">
              <w:rPr>
                <w:color w:val="000000"/>
                <w:sz w:val="14"/>
                <w:szCs w:val="14"/>
                <w:lang w:eastAsia="en-GB"/>
              </w:rPr>
              <w:t xml:space="preserve"> </w:t>
            </w:r>
          </w:p>
        </w:tc>
        <w:tc>
          <w:tcPr>
            <w:tcW w:w="245" w:type="pct"/>
            <w:tcBorders>
              <w:top w:val="nil"/>
              <w:left w:val="nil"/>
              <w:bottom w:val="nil"/>
              <w:right w:val="single" w:sz="4" w:space="0" w:color="auto"/>
            </w:tcBorders>
            <w:shd w:val="clear" w:color="auto" w:fill="auto"/>
            <w:vAlign w:val="bottom"/>
          </w:tcPr>
          <w:p w14:paraId="6B45342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58EF5A78"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716E896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17</w:t>
            </w:r>
          </w:p>
        </w:tc>
        <w:tc>
          <w:tcPr>
            <w:tcW w:w="227" w:type="pct"/>
            <w:tcBorders>
              <w:top w:val="nil"/>
              <w:left w:val="nil"/>
              <w:bottom w:val="nil"/>
              <w:right w:val="single" w:sz="4" w:space="0" w:color="auto"/>
            </w:tcBorders>
            <w:shd w:val="clear" w:color="auto" w:fill="auto"/>
            <w:noWrap/>
            <w:vAlign w:val="bottom"/>
          </w:tcPr>
          <w:p w14:paraId="38993BA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250</w:t>
            </w:r>
          </w:p>
        </w:tc>
        <w:tc>
          <w:tcPr>
            <w:tcW w:w="218" w:type="pct"/>
            <w:tcBorders>
              <w:top w:val="nil"/>
              <w:left w:val="nil"/>
              <w:bottom w:val="nil"/>
              <w:right w:val="single" w:sz="4" w:space="0" w:color="auto"/>
            </w:tcBorders>
            <w:shd w:val="clear" w:color="auto" w:fill="auto"/>
            <w:noWrap/>
            <w:vAlign w:val="bottom"/>
          </w:tcPr>
          <w:p w14:paraId="6991972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bottom"/>
          </w:tcPr>
          <w:p w14:paraId="1161BE0B"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bottom"/>
          </w:tcPr>
          <w:p w14:paraId="6DC468E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28</w:t>
            </w:r>
          </w:p>
        </w:tc>
        <w:tc>
          <w:tcPr>
            <w:tcW w:w="348" w:type="pct"/>
            <w:tcBorders>
              <w:top w:val="nil"/>
              <w:left w:val="nil"/>
              <w:bottom w:val="nil"/>
              <w:right w:val="single" w:sz="4" w:space="0" w:color="auto"/>
            </w:tcBorders>
            <w:shd w:val="clear" w:color="auto" w:fill="auto"/>
            <w:noWrap/>
            <w:vAlign w:val="bottom"/>
          </w:tcPr>
          <w:p w14:paraId="22F9A65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01" w:type="pct"/>
            <w:tcBorders>
              <w:top w:val="nil"/>
              <w:left w:val="nil"/>
              <w:bottom w:val="nil"/>
              <w:right w:val="single" w:sz="4" w:space="0" w:color="auto"/>
            </w:tcBorders>
            <w:shd w:val="clear" w:color="auto" w:fill="auto"/>
            <w:noWrap/>
            <w:vAlign w:val="bottom"/>
          </w:tcPr>
          <w:p w14:paraId="5E6EF61A"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1</w:t>
            </w:r>
            <w:r>
              <w:rPr>
                <w:b/>
                <w:bCs/>
                <w:sz w:val="14"/>
                <w:szCs w:val="14"/>
                <w:lang w:eastAsia="en-GB"/>
              </w:rPr>
              <w:t xml:space="preserve"> </w:t>
            </w:r>
            <w:r w:rsidRPr="00D34298">
              <w:rPr>
                <w:b/>
                <w:bCs/>
                <w:sz w:val="14"/>
                <w:szCs w:val="14"/>
                <w:lang w:eastAsia="en-GB"/>
              </w:rPr>
              <w:t>003</w:t>
            </w:r>
          </w:p>
        </w:tc>
      </w:tr>
      <w:tr w:rsidR="00761B6C" w:rsidRPr="00236418" w14:paraId="3694D5EF"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06D9EFFB" w14:textId="77777777" w:rsidR="00761B6C" w:rsidRPr="00236418" w:rsidRDefault="00761B6C" w:rsidP="00761B6C">
            <w:pPr>
              <w:pStyle w:val="Tabletext"/>
              <w:spacing w:before="0" w:after="0"/>
              <w:rPr>
                <w:sz w:val="14"/>
                <w:szCs w:val="14"/>
                <w:lang w:eastAsia="zh-CN"/>
              </w:rPr>
            </w:pPr>
            <w:r w:rsidRPr="00236418">
              <w:rPr>
                <w:sz w:val="14"/>
                <w:szCs w:val="14"/>
              </w:rPr>
              <w:t>Services contractuels</w:t>
            </w:r>
          </w:p>
        </w:tc>
        <w:tc>
          <w:tcPr>
            <w:tcW w:w="306" w:type="pct"/>
            <w:tcBorders>
              <w:top w:val="nil"/>
              <w:left w:val="single" w:sz="4" w:space="0" w:color="auto"/>
              <w:bottom w:val="nil"/>
              <w:right w:val="single" w:sz="4" w:space="0" w:color="auto"/>
            </w:tcBorders>
            <w:shd w:val="clear" w:color="auto" w:fill="auto"/>
            <w:noWrap/>
            <w:vAlign w:val="bottom"/>
          </w:tcPr>
          <w:p w14:paraId="71D8223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5</w:t>
            </w:r>
            <w:r>
              <w:rPr>
                <w:color w:val="000000"/>
                <w:sz w:val="14"/>
                <w:szCs w:val="14"/>
                <w:lang w:eastAsia="en-GB"/>
              </w:rPr>
              <w:t xml:space="preserve"> </w:t>
            </w:r>
            <w:r w:rsidRPr="00D34298">
              <w:rPr>
                <w:color w:val="000000"/>
                <w:sz w:val="14"/>
                <w:szCs w:val="14"/>
                <w:lang w:eastAsia="en-GB"/>
              </w:rPr>
              <w:t>565</w:t>
            </w:r>
          </w:p>
        </w:tc>
        <w:tc>
          <w:tcPr>
            <w:tcW w:w="305" w:type="pct"/>
            <w:tcBorders>
              <w:top w:val="nil"/>
              <w:left w:val="nil"/>
              <w:bottom w:val="nil"/>
              <w:right w:val="single" w:sz="4" w:space="0" w:color="auto"/>
            </w:tcBorders>
            <w:shd w:val="clear" w:color="auto" w:fill="auto"/>
            <w:noWrap/>
            <w:vAlign w:val="bottom"/>
          </w:tcPr>
          <w:p w14:paraId="0BA63E87"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470</w:t>
            </w:r>
          </w:p>
        </w:tc>
        <w:tc>
          <w:tcPr>
            <w:tcW w:w="348" w:type="pct"/>
            <w:tcBorders>
              <w:top w:val="nil"/>
              <w:left w:val="nil"/>
              <w:bottom w:val="nil"/>
              <w:right w:val="single" w:sz="4" w:space="0" w:color="auto"/>
            </w:tcBorders>
            <w:shd w:val="clear" w:color="auto" w:fill="auto"/>
            <w:noWrap/>
            <w:vAlign w:val="bottom"/>
          </w:tcPr>
          <w:p w14:paraId="03B975B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746</w:t>
            </w:r>
          </w:p>
        </w:tc>
        <w:tc>
          <w:tcPr>
            <w:tcW w:w="347" w:type="pct"/>
            <w:tcBorders>
              <w:top w:val="nil"/>
              <w:left w:val="nil"/>
              <w:bottom w:val="nil"/>
              <w:right w:val="single" w:sz="4" w:space="0" w:color="auto"/>
            </w:tcBorders>
            <w:shd w:val="clear" w:color="auto" w:fill="auto"/>
            <w:noWrap/>
            <w:vAlign w:val="bottom"/>
          </w:tcPr>
          <w:p w14:paraId="7CE5E1E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3</w:t>
            </w:r>
            <w:r>
              <w:rPr>
                <w:color w:val="000000"/>
                <w:sz w:val="14"/>
                <w:szCs w:val="14"/>
                <w:lang w:eastAsia="en-GB"/>
              </w:rPr>
              <w:t xml:space="preserve"> </w:t>
            </w:r>
            <w:r w:rsidRPr="00D34298">
              <w:rPr>
                <w:color w:val="000000"/>
                <w:sz w:val="14"/>
                <w:szCs w:val="14"/>
                <w:lang w:eastAsia="en-GB"/>
              </w:rPr>
              <w:t>701</w:t>
            </w:r>
          </w:p>
        </w:tc>
        <w:tc>
          <w:tcPr>
            <w:tcW w:w="304" w:type="pct"/>
            <w:tcBorders>
              <w:top w:val="nil"/>
              <w:left w:val="nil"/>
              <w:bottom w:val="nil"/>
              <w:right w:val="nil"/>
            </w:tcBorders>
            <w:shd w:val="clear" w:color="auto" w:fill="auto"/>
            <w:noWrap/>
            <w:vAlign w:val="bottom"/>
          </w:tcPr>
          <w:p w14:paraId="1A18D88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945</w:t>
            </w:r>
          </w:p>
        </w:tc>
        <w:tc>
          <w:tcPr>
            <w:tcW w:w="304" w:type="pct"/>
            <w:tcBorders>
              <w:top w:val="nil"/>
              <w:left w:val="single" w:sz="4" w:space="0" w:color="auto"/>
              <w:bottom w:val="nil"/>
              <w:right w:val="single" w:sz="4" w:space="0" w:color="auto"/>
            </w:tcBorders>
            <w:shd w:val="clear" w:color="auto" w:fill="auto"/>
            <w:noWrap/>
            <w:vAlign w:val="bottom"/>
          </w:tcPr>
          <w:p w14:paraId="46386D84"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11</w:t>
            </w:r>
            <w:r>
              <w:rPr>
                <w:b/>
                <w:bCs/>
                <w:color w:val="000000"/>
                <w:sz w:val="14"/>
                <w:szCs w:val="14"/>
                <w:lang w:eastAsia="en-GB"/>
              </w:rPr>
              <w:t xml:space="preserve"> </w:t>
            </w:r>
            <w:r w:rsidRPr="00D34298">
              <w:rPr>
                <w:b/>
                <w:bCs/>
                <w:color w:val="000000"/>
                <w:sz w:val="14"/>
                <w:szCs w:val="14"/>
                <w:lang w:eastAsia="en-GB"/>
              </w:rPr>
              <w:t>426</w:t>
            </w:r>
          </w:p>
        </w:tc>
        <w:tc>
          <w:tcPr>
            <w:tcW w:w="262" w:type="pct"/>
            <w:tcBorders>
              <w:top w:val="nil"/>
              <w:left w:val="nil"/>
              <w:bottom w:val="nil"/>
              <w:right w:val="single" w:sz="4" w:space="0" w:color="auto"/>
            </w:tcBorders>
            <w:shd w:val="clear" w:color="auto" w:fill="auto"/>
            <w:noWrap/>
            <w:vAlign w:val="bottom"/>
          </w:tcPr>
          <w:p w14:paraId="7DCE480D"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45" w:type="pct"/>
            <w:tcBorders>
              <w:top w:val="nil"/>
              <w:left w:val="nil"/>
              <w:bottom w:val="nil"/>
              <w:right w:val="single" w:sz="4" w:space="0" w:color="auto"/>
            </w:tcBorders>
            <w:shd w:val="clear" w:color="auto" w:fill="auto"/>
            <w:vAlign w:val="bottom"/>
          </w:tcPr>
          <w:p w14:paraId="6DAF188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714CCBFB"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22" w:type="pct"/>
            <w:tcBorders>
              <w:top w:val="nil"/>
              <w:left w:val="nil"/>
              <w:bottom w:val="nil"/>
              <w:right w:val="single" w:sz="4" w:space="0" w:color="auto"/>
            </w:tcBorders>
            <w:shd w:val="clear" w:color="auto" w:fill="auto"/>
            <w:noWrap/>
            <w:vAlign w:val="bottom"/>
          </w:tcPr>
          <w:p w14:paraId="2A3A4D67"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399</w:t>
            </w:r>
          </w:p>
        </w:tc>
        <w:tc>
          <w:tcPr>
            <w:tcW w:w="227" w:type="pct"/>
            <w:tcBorders>
              <w:top w:val="nil"/>
              <w:left w:val="nil"/>
              <w:bottom w:val="nil"/>
              <w:right w:val="single" w:sz="4" w:space="0" w:color="auto"/>
            </w:tcBorders>
            <w:shd w:val="clear" w:color="auto" w:fill="auto"/>
            <w:noWrap/>
            <w:vAlign w:val="bottom"/>
          </w:tcPr>
          <w:p w14:paraId="19B82D94"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 xml:space="preserve">567 </w:t>
            </w:r>
          </w:p>
        </w:tc>
        <w:tc>
          <w:tcPr>
            <w:tcW w:w="218" w:type="pct"/>
            <w:tcBorders>
              <w:top w:val="nil"/>
              <w:left w:val="nil"/>
              <w:bottom w:val="nil"/>
              <w:right w:val="single" w:sz="4" w:space="0" w:color="auto"/>
            </w:tcBorders>
            <w:shd w:val="clear" w:color="auto" w:fill="auto"/>
            <w:noWrap/>
            <w:vAlign w:val="bottom"/>
          </w:tcPr>
          <w:p w14:paraId="49B95358"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bottom"/>
          </w:tcPr>
          <w:p w14:paraId="65BF22D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bottom"/>
          </w:tcPr>
          <w:p w14:paraId="70A99EE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120</w:t>
            </w:r>
          </w:p>
        </w:tc>
        <w:tc>
          <w:tcPr>
            <w:tcW w:w="348" w:type="pct"/>
            <w:tcBorders>
              <w:top w:val="nil"/>
              <w:left w:val="nil"/>
              <w:bottom w:val="nil"/>
              <w:right w:val="single" w:sz="4" w:space="0" w:color="auto"/>
            </w:tcBorders>
            <w:shd w:val="clear" w:color="auto" w:fill="auto"/>
            <w:noWrap/>
            <w:vAlign w:val="bottom"/>
          </w:tcPr>
          <w:p w14:paraId="3642C2BD"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01" w:type="pct"/>
            <w:tcBorders>
              <w:top w:val="nil"/>
              <w:left w:val="nil"/>
              <w:bottom w:val="nil"/>
              <w:right w:val="single" w:sz="4" w:space="0" w:color="auto"/>
            </w:tcBorders>
            <w:shd w:val="clear" w:color="auto" w:fill="auto"/>
            <w:noWrap/>
            <w:vAlign w:val="bottom"/>
          </w:tcPr>
          <w:p w14:paraId="3A35A201"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14</w:t>
            </w:r>
            <w:r>
              <w:rPr>
                <w:b/>
                <w:bCs/>
                <w:sz w:val="14"/>
                <w:szCs w:val="14"/>
                <w:lang w:eastAsia="en-GB"/>
              </w:rPr>
              <w:t xml:space="preserve"> </w:t>
            </w:r>
            <w:r w:rsidRPr="00D34298">
              <w:rPr>
                <w:b/>
                <w:bCs/>
                <w:sz w:val="14"/>
                <w:szCs w:val="14"/>
                <w:lang w:eastAsia="en-GB"/>
              </w:rPr>
              <w:t>512</w:t>
            </w:r>
          </w:p>
        </w:tc>
      </w:tr>
      <w:tr w:rsidR="00761B6C" w:rsidRPr="00236418" w14:paraId="52A5304C" w14:textId="77777777" w:rsidTr="00B93AE4">
        <w:trPr>
          <w:trHeight w:val="765"/>
          <w:jc w:val="center"/>
        </w:trPr>
        <w:tc>
          <w:tcPr>
            <w:tcW w:w="479" w:type="pct"/>
            <w:tcBorders>
              <w:top w:val="nil"/>
              <w:left w:val="single" w:sz="4" w:space="0" w:color="auto"/>
              <w:bottom w:val="nil"/>
              <w:right w:val="nil"/>
            </w:tcBorders>
            <w:shd w:val="clear" w:color="auto" w:fill="auto"/>
            <w:vAlign w:val="center"/>
            <w:hideMark/>
          </w:tcPr>
          <w:p w14:paraId="06DFF5F0" w14:textId="77777777" w:rsidR="00761B6C" w:rsidRPr="00236418" w:rsidRDefault="00761B6C" w:rsidP="00761B6C">
            <w:pPr>
              <w:pStyle w:val="Tabletext"/>
              <w:spacing w:before="0" w:after="0"/>
              <w:rPr>
                <w:sz w:val="14"/>
                <w:szCs w:val="14"/>
                <w:lang w:eastAsia="zh-CN"/>
              </w:rPr>
            </w:pPr>
            <w:r w:rsidRPr="00236418">
              <w:rPr>
                <w:sz w:val="14"/>
                <w:szCs w:val="14"/>
              </w:rPr>
              <w:t>Location et entretien des locaux et équipements</w:t>
            </w:r>
          </w:p>
        </w:tc>
        <w:tc>
          <w:tcPr>
            <w:tcW w:w="306" w:type="pct"/>
            <w:tcBorders>
              <w:top w:val="nil"/>
              <w:left w:val="single" w:sz="4" w:space="0" w:color="auto"/>
              <w:bottom w:val="nil"/>
              <w:right w:val="single" w:sz="4" w:space="0" w:color="auto"/>
            </w:tcBorders>
            <w:shd w:val="clear" w:color="auto" w:fill="auto"/>
            <w:noWrap/>
            <w:vAlign w:val="center"/>
          </w:tcPr>
          <w:p w14:paraId="58EAAFE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w:t>
            </w:r>
            <w:r>
              <w:rPr>
                <w:color w:val="000000"/>
                <w:sz w:val="14"/>
                <w:szCs w:val="14"/>
                <w:lang w:eastAsia="en-GB"/>
              </w:rPr>
              <w:t xml:space="preserve"> </w:t>
            </w:r>
            <w:r w:rsidRPr="00D34298">
              <w:rPr>
                <w:color w:val="000000"/>
                <w:sz w:val="14"/>
                <w:szCs w:val="14"/>
                <w:lang w:eastAsia="en-GB"/>
              </w:rPr>
              <w:t>750</w:t>
            </w:r>
          </w:p>
        </w:tc>
        <w:tc>
          <w:tcPr>
            <w:tcW w:w="305" w:type="pct"/>
            <w:tcBorders>
              <w:top w:val="nil"/>
              <w:left w:val="nil"/>
              <w:bottom w:val="nil"/>
              <w:right w:val="single" w:sz="4" w:space="0" w:color="auto"/>
            </w:tcBorders>
            <w:shd w:val="clear" w:color="auto" w:fill="auto"/>
            <w:noWrap/>
            <w:vAlign w:val="center"/>
          </w:tcPr>
          <w:p w14:paraId="3E6C430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w:t>
            </w:r>
          </w:p>
        </w:tc>
        <w:tc>
          <w:tcPr>
            <w:tcW w:w="348" w:type="pct"/>
            <w:tcBorders>
              <w:top w:val="nil"/>
              <w:left w:val="nil"/>
              <w:bottom w:val="nil"/>
              <w:right w:val="single" w:sz="4" w:space="0" w:color="auto"/>
            </w:tcBorders>
            <w:shd w:val="clear" w:color="auto" w:fill="auto"/>
            <w:noWrap/>
            <w:vAlign w:val="center"/>
          </w:tcPr>
          <w:p w14:paraId="5A556B1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3</w:t>
            </w:r>
          </w:p>
        </w:tc>
        <w:tc>
          <w:tcPr>
            <w:tcW w:w="347" w:type="pct"/>
            <w:tcBorders>
              <w:top w:val="nil"/>
              <w:left w:val="nil"/>
              <w:bottom w:val="nil"/>
              <w:right w:val="single" w:sz="4" w:space="0" w:color="auto"/>
            </w:tcBorders>
            <w:shd w:val="clear" w:color="auto" w:fill="auto"/>
            <w:noWrap/>
            <w:vAlign w:val="center"/>
          </w:tcPr>
          <w:p w14:paraId="19FB417B"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24</w:t>
            </w:r>
          </w:p>
        </w:tc>
        <w:tc>
          <w:tcPr>
            <w:tcW w:w="304" w:type="pct"/>
            <w:tcBorders>
              <w:top w:val="nil"/>
              <w:left w:val="nil"/>
              <w:bottom w:val="nil"/>
              <w:right w:val="nil"/>
            </w:tcBorders>
            <w:shd w:val="clear" w:color="auto" w:fill="auto"/>
            <w:noWrap/>
            <w:vAlign w:val="center"/>
          </w:tcPr>
          <w:p w14:paraId="570BCE85"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226 </w:t>
            </w:r>
          </w:p>
        </w:tc>
        <w:tc>
          <w:tcPr>
            <w:tcW w:w="304" w:type="pct"/>
            <w:tcBorders>
              <w:top w:val="nil"/>
              <w:left w:val="single" w:sz="4" w:space="0" w:color="auto"/>
              <w:bottom w:val="nil"/>
              <w:right w:val="single" w:sz="4" w:space="0" w:color="auto"/>
            </w:tcBorders>
            <w:shd w:val="clear" w:color="auto" w:fill="auto"/>
            <w:noWrap/>
            <w:vAlign w:val="center"/>
          </w:tcPr>
          <w:p w14:paraId="7AFE9F0D"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3</w:t>
            </w:r>
            <w:r>
              <w:rPr>
                <w:b/>
                <w:bCs/>
                <w:color w:val="000000"/>
                <w:sz w:val="14"/>
                <w:szCs w:val="14"/>
                <w:lang w:eastAsia="en-GB"/>
              </w:rPr>
              <w:t xml:space="preserve"> </w:t>
            </w:r>
            <w:r w:rsidRPr="00D34298">
              <w:rPr>
                <w:b/>
                <w:bCs/>
                <w:color w:val="000000"/>
                <w:sz w:val="14"/>
                <w:szCs w:val="14"/>
                <w:lang w:eastAsia="en-GB"/>
              </w:rPr>
              <w:t>004</w:t>
            </w:r>
          </w:p>
        </w:tc>
        <w:tc>
          <w:tcPr>
            <w:tcW w:w="262" w:type="pct"/>
            <w:tcBorders>
              <w:top w:val="nil"/>
              <w:left w:val="nil"/>
              <w:bottom w:val="nil"/>
              <w:right w:val="single" w:sz="4" w:space="0" w:color="auto"/>
            </w:tcBorders>
            <w:shd w:val="clear" w:color="auto" w:fill="auto"/>
            <w:noWrap/>
            <w:vAlign w:val="center"/>
          </w:tcPr>
          <w:p w14:paraId="1528B4A7"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45" w:type="pct"/>
            <w:tcBorders>
              <w:top w:val="nil"/>
              <w:left w:val="nil"/>
              <w:bottom w:val="nil"/>
              <w:right w:val="single" w:sz="4" w:space="0" w:color="auto"/>
            </w:tcBorders>
            <w:shd w:val="clear" w:color="auto" w:fill="auto"/>
            <w:vAlign w:val="center"/>
          </w:tcPr>
          <w:p w14:paraId="55A7391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vAlign w:val="center"/>
          </w:tcPr>
          <w:p w14:paraId="0B47148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22" w:type="pct"/>
            <w:tcBorders>
              <w:top w:val="nil"/>
              <w:left w:val="nil"/>
              <w:bottom w:val="nil"/>
              <w:right w:val="single" w:sz="4" w:space="0" w:color="auto"/>
            </w:tcBorders>
            <w:shd w:val="clear" w:color="auto" w:fill="auto"/>
            <w:noWrap/>
            <w:vAlign w:val="center"/>
          </w:tcPr>
          <w:p w14:paraId="40EC719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27" w:type="pct"/>
            <w:tcBorders>
              <w:top w:val="nil"/>
              <w:left w:val="nil"/>
              <w:bottom w:val="nil"/>
              <w:right w:val="single" w:sz="4" w:space="0" w:color="auto"/>
            </w:tcBorders>
            <w:shd w:val="clear" w:color="auto" w:fill="auto"/>
            <w:noWrap/>
            <w:vAlign w:val="center"/>
          </w:tcPr>
          <w:p w14:paraId="49CD835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p>
        </w:tc>
        <w:tc>
          <w:tcPr>
            <w:tcW w:w="218" w:type="pct"/>
            <w:tcBorders>
              <w:top w:val="nil"/>
              <w:left w:val="nil"/>
              <w:bottom w:val="nil"/>
              <w:right w:val="single" w:sz="4" w:space="0" w:color="auto"/>
            </w:tcBorders>
            <w:shd w:val="clear" w:color="auto" w:fill="auto"/>
            <w:noWrap/>
            <w:vAlign w:val="center"/>
          </w:tcPr>
          <w:p w14:paraId="6C33AAB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center"/>
          </w:tcPr>
          <w:p w14:paraId="152A1F95"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center"/>
          </w:tcPr>
          <w:p w14:paraId="0C0A419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48" w:type="pct"/>
            <w:tcBorders>
              <w:top w:val="nil"/>
              <w:left w:val="nil"/>
              <w:bottom w:val="nil"/>
              <w:right w:val="single" w:sz="4" w:space="0" w:color="auto"/>
            </w:tcBorders>
            <w:shd w:val="clear" w:color="auto" w:fill="auto"/>
            <w:noWrap/>
            <w:vAlign w:val="center"/>
          </w:tcPr>
          <w:p w14:paraId="0083FD8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01" w:type="pct"/>
            <w:tcBorders>
              <w:top w:val="nil"/>
              <w:left w:val="nil"/>
              <w:bottom w:val="nil"/>
              <w:right w:val="single" w:sz="4" w:space="0" w:color="auto"/>
            </w:tcBorders>
            <w:shd w:val="clear" w:color="auto" w:fill="auto"/>
            <w:noWrap/>
            <w:vAlign w:val="center"/>
          </w:tcPr>
          <w:p w14:paraId="62A0ECB1"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3</w:t>
            </w:r>
            <w:r>
              <w:rPr>
                <w:b/>
                <w:bCs/>
                <w:sz w:val="14"/>
                <w:szCs w:val="14"/>
                <w:lang w:eastAsia="en-GB"/>
              </w:rPr>
              <w:t xml:space="preserve"> </w:t>
            </w:r>
            <w:r w:rsidRPr="00D34298">
              <w:rPr>
                <w:b/>
                <w:bCs/>
                <w:sz w:val="14"/>
                <w:szCs w:val="14"/>
                <w:lang w:eastAsia="en-GB"/>
              </w:rPr>
              <w:t>004</w:t>
            </w:r>
          </w:p>
        </w:tc>
      </w:tr>
      <w:tr w:rsidR="00761B6C" w:rsidRPr="00236418" w14:paraId="6968A668"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263AAB6D" w14:textId="77777777" w:rsidR="00761B6C" w:rsidRPr="00236418" w:rsidRDefault="00761B6C" w:rsidP="00761B6C">
            <w:pPr>
              <w:pStyle w:val="Tabletext"/>
              <w:spacing w:before="0" w:after="0"/>
              <w:rPr>
                <w:sz w:val="14"/>
                <w:szCs w:val="14"/>
                <w:lang w:eastAsia="zh-CN"/>
              </w:rPr>
            </w:pPr>
            <w:r w:rsidRPr="00236418">
              <w:rPr>
                <w:sz w:val="14"/>
                <w:szCs w:val="14"/>
              </w:rPr>
              <w:t>Matériels et fournitures</w:t>
            </w:r>
          </w:p>
        </w:tc>
        <w:tc>
          <w:tcPr>
            <w:tcW w:w="306" w:type="pct"/>
            <w:tcBorders>
              <w:top w:val="nil"/>
              <w:left w:val="single" w:sz="4" w:space="0" w:color="auto"/>
              <w:bottom w:val="nil"/>
              <w:right w:val="single" w:sz="4" w:space="0" w:color="auto"/>
            </w:tcBorders>
            <w:shd w:val="clear" w:color="auto" w:fill="auto"/>
            <w:noWrap/>
            <w:vAlign w:val="bottom"/>
          </w:tcPr>
          <w:p w14:paraId="33CF49F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192</w:t>
            </w:r>
          </w:p>
        </w:tc>
        <w:tc>
          <w:tcPr>
            <w:tcW w:w="305" w:type="pct"/>
            <w:tcBorders>
              <w:top w:val="nil"/>
              <w:left w:val="nil"/>
              <w:bottom w:val="nil"/>
              <w:right w:val="single" w:sz="4" w:space="0" w:color="auto"/>
            </w:tcBorders>
            <w:shd w:val="clear" w:color="auto" w:fill="auto"/>
            <w:noWrap/>
            <w:vAlign w:val="bottom"/>
          </w:tcPr>
          <w:p w14:paraId="3254781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354</w:t>
            </w:r>
          </w:p>
        </w:tc>
        <w:tc>
          <w:tcPr>
            <w:tcW w:w="348" w:type="pct"/>
            <w:tcBorders>
              <w:top w:val="nil"/>
              <w:left w:val="nil"/>
              <w:bottom w:val="nil"/>
              <w:right w:val="single" w:sz="4" w:space="0" w:color="auto"/>
            </w:tcBorders>
            <w:shd w:val="clear" w:color="auto" w:fill="auto"/>
            <w:noWrap/>
            <w:vAlign w:val="bottom"/>
          </w:tcPr>
          <w:p w14:paraId="6D91015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121</w:t>
            </w:r>
          </w:p>
        </w:tc>
        <w:tc>
          <w:tcPr>
            <w:tcW w:w="347" w:type="pct"/>
            <w:tcBorders>
              <w:top w:val="nil"/>
              <w:left w:val="nil"/>
              <w:bottom w:val="nil"/>
              <w:right w:val="single" w:sz="4" w:space="0" w:color="auto"/>
            </w:tcBorders>
            <w:shd w:val="clear" w:color="auto" w:fill="auto"/>
            <w:noWrap/>
            <w:vAlign w:val="bottom"/>
          </w:tcPr>
          <w:p w14:paraId="6EEE779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207</w:t>
            </w:r>
          </w:p>
        </w:tc>
        <w:tc>
          <w:tcPr>
            <w:tcW w:w="304" w:type="pct"/>
            <w:tcBorders>
              <w:top w:val="nil"/>
              <w:left w:val="nil"/>
              <w:bottom w:val="nil"/>
              <w:right w:val="nil"/>
            </w:tcBorders>
            <w:shd w:val="clear" w:color="auto" w:fill="auto"/>
            <w:noWrap/>
            <w:vAlign w:val="bottom"/>
          </w:tcPr>
          <w:p w14:paraId="4D6FEDF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696</w:t>
            </w:r>
          </w:p>
        </w:tc>
        <w:tc>
          <w:tcPr>
            <w:tcW w:w="304" w:type="pct"/>
            <w:tcBorders>
              <w:top w:val="nil"/>
              <w:left w:val="single" w:sz="4" w:space="0" w:color="auto"/>
              <w:bottom w:val="nil"/>
              <w:right w:val="single" w:sz="4" w:space="0" w:color="auto"/>
            </w:tcBorders>
            <w:shd w:val="clear" w:color="auto" w:fill="auto"/>
            <w:noWrap/>
            <w:vAlign w:val="bottom"/>
          </w:tcPr>
          <w:p w14:paraId="5A0A2461"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2</w:t>
            </w:r>
            <w:r>
              <w:rPr>
                <w:b/>
                <w:bCs/>
                <w:color w:val="000000"/>
                <w:sz w:val="14"/>
                <w:szCs w:val="14"/>
                <w:lang w:eastAsia="en-GB"/>
              </w:rPr>
              <w:t xml:space="preserve"> </w:t>
            </w:r>
            <w:r w:rsidRPr="00D34298">
              <w:rPr>
                <w:b/>
                <w:bCs/>
                <w:color w:val="000000"/>
                <w:sz w:val="14"/>
                <w:szCs w:val="14"/>
                <w:lang w:eastAsia="en-GB"/>
              </w:rPr>
              <w:t>569</w:t>
            </w:r>
          </w:p>
        </w:tc>
        <w:tc>
          <w:tcPr>
            <w:tcW w:w="262" w:type="pct"/>
            <w:tcBorders>
              <w:top w:val="nil"/>
              <w:left w:val="nil"/>
              <w:bottom w:val="nil"/>
              <w:right w:val="single" w:sz="4" w:space="0" w:color="auto"/>
            </w:tcBorders>
            <w:shd w:val="clear" w:color="auto" w:fill="auto"/>
            <w:noWrap/>
            <w:vAlign w:val="bottom"/>
          </w:tcPr>
          <w:p w14:paraId="522287C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p>
        </w:tc>
        <w:tc>
          <w:tcPr>
            <w:tcW w:w="245" w:type="pct"/>
            <w:tcBorders>
              <w:top w:val="nil"/>
              <w:left w:val="nil"/>
              <w:bottom w:val="nil"/>
              <w:right w:val="single" w:sz="4" w:space="0" w:color="auto"/>
            </w:tcBorders>
            <w:shd w:val="clear" w:color="auto" w:fill="auto"/>
            <w:vAlign w:val="bottom"/>
          </w:tcPr>
          <w:p w14:paraId="11C00F1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w:t>
            </w:r>
          </w:p>
        </w:tc>
        <w:tc>
          <w:tcPr>
            <w:tcW w:w="249" w:type="pct"/>
            <w:tcBorders>
              <w:top w:val="nil"/>
              <w:left w:val="nil"/>
              <w:bottom w:val="nil"/>
              <w:right w:val="single" w:sz="4" w:space="0" w:color="auto"/>
            </w:tcBorders>
            <w:shd w:val="clear" w:color="auto" w:fill="auto"/>
            <w:noWrap/>
            <w:vAlign w:val="bottom"/>
          </w:tcPr>
          <w:p w14:paraId="10100D33"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r w:rsidRPr="00D34298">
              <w:rPr>
                <w:color w:val="000000"/>
                <w:sz w:val="14"/>
                <w:szCs w:val="14"/>
                <w:lang w:eastAsia="en-GB"/>
              </w:rPr>
              <w:t xml:space="preserve"> </w:t>
            </w:r>
          </w:p>
        </w:tc>
        <w:tc>
          <w:tcPr>
            <w:tcW w:w="322" w:type="pct"/>
            <w:tcBorders>
              <w:top w:val="nil"/>
              <w:left w:val="nil"/>
              <w:bottom w:val="nil"/>
              <w:right w:val="single" w:sz="4" w:space="0" w:color="auto"/>
            </w:tcBorders>
            <w:shd w:val="clear" w:color="auto" w:fill="auto"/>
            <w:noWrap/>
            <w:vAlign w:val="bottom"/>
          </w:tcPr>
          <w:p w14:paraId="52D70C35"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15</w:t>
            </w:r>
          </w:p>
        </w:tc>
        <w:tc>
          <w:tcPr>
            <w:tcW w:w="227" w:type="pct"/>
            <w:tcBorders>
              <w:top w:val="nil"/>
              <w:left w:val="nil"/>
              <w:bottom w:val="nil"/>
              <w:right w:val="single" w:sz="4" w:space="0" w:color="auto"/>
            </w:tcBorders>
            <w:shd w:val="clear" w:color="auto" w:fill="auto"/>
            <w:noWrap/>
            <w:vAlign w:val="bottom"/>
          </w:tcPr>
          <w:p w14:paraId="1EFC2D5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309</w:t>
            </w:r>
          </w:p>
        </w:tc>
        <w:tc>
          <w:tcPr>
            <w:tcW w:w="218" w:type="pct"/>
            <w:tcBorders>
              <w:top w:val="nil"/>
              <w:left w:val="nil"/>
              <w:bottom w:val="nil"/>
              <w:right w:val="single" w:sz="4" w:space="0" w:color="auto"/>
            </w:tcBorders>
            <w:shd w:val="clear" w:color="auto" w:fill="auto"/>
            <w:noWrap/>
            <w:vAlign w:val="bottom"/>
          </w:tcPr>
          <w:p w14:paraId="4B632AA8"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bottom"/>
          </w:tcPr>
          <w:p w14:paraId="36684BA5"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bottom"/>
          </w:tcPr>
          <w:p w14:paraId="5A2ABFE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w:t>
            </w:r>
          </w:p>
        </w:tc>
        <w:tc>
          <w:tcPr>
            <w:tcW w:w="348" w:type="pct"/>
            <w:tcBorders>
              <w:top w:val="nil"/>
              <w:left w:val="nil"/>
              <w:bottom w:val="nil"/>
              <w:right w:val="single" w:sz="4" w:space="0" w:color="auto"/>
            </w:tcBorders>
            <w:shd w:val="clear" w:color="auto" w:fill="auto"/>
            <w:noWrap/>
            <w:vAlign w:val="bottom"/>
          </w:tcPr>
          <w:p w14:paraId="3510B4EB"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01" w:type="pct"/>
            <w:tcBorders>
              <w:top w:val="nil"/>
              <w:left w:val="nil"/>
              <w:bottom w:val="nil"/>
              <w:right w:val="single" w:sz="4" w:space="0" w:color="auto"/>
            </w:tcBorders>
            <w:shd w:val="clear" w:color="auto" w:fill="auto"/>
            <w:noWrap/>
            <w:vAlign w:val="bottom"/>
          </w:tcPr>
          <w:p w14:paraId="5CF97775"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2</w:t>
            </w:r>
            <w:r>
              <w:rPr>
                <w:b/>
                <w:bCs/>
                <w:sz w:val="14"/>
                <w:szCs w:val="14"/>
                <w:lang w:eastAsia="en-GB"/>
              </w:rPr>
              <w:t xml:space="preserve"> </w:t>
            </w:r>
            <w:r w:rsidRPr="00D34298">
              <w:rPr>
                <w:b/>
                <w:bCs/>
                <w:sz w:val="14"/>
                <w:szCs w:val="14"/>
                <w:lang w:eastAsia="en-GB"/>
              </w:rPr>
              <w:t>896</w:t>
            </w:r>
          </w:p>
        </w:tc>
      </w:tr>
      <w:tr w:rsidR="00761B6C" w:rsidRPr="00236418" w14:paraId="46380641"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6EC4DAFD" w14:textId="77777777" w:rsidR="00761B6C" w:rsidRPr="00236418" w:rsidRDefault="00761B6C" w:rsidP="00761B6C">
            <w:pPr>
              <w:pStyle w:val="Tabletext"/>
              <w:spacing w:before="0" w:after="0"/>
              <w:rPr>
                <w:sz w:val="14"/>
                <w:szCs w:val="14"/>
                <w:lang w:eastAsia="zh-CN"/>
              </w:rPr>
            </w:pPr>
            <w:r w:rsidRPr="00236418">
              <w:rPr>
                <w:sz w:val="14"/>
                <w:szCs w:val="14"/>
              </w:rPr>
              <w:t>Amortissements</w:t>
            </w:r>
          </w:p>
        </w:tc>
        <w:tc>
          <w:tcPr>
            <w:tcW w:w="306" w:type="pct"/>
            <w:tcBorders>
              <w:top w:val="nil"/>
              <w:left w:val="single" w:sz="4" w:space="0" w:color="auto"/>
              <w:bottom w:val="nil"/>
              <w:right w:val="single" w:sz="4" w:space="0" w:color="auto"/>
            </w:tcBorders>
            <w:shd w:val="clear" w:color="auto" w:fill="auto"/>
            <w:noWrap/>
            <w:vAlign w:val="bottom"/>
          </w:tcPr>
          <w:p w14:paraId="11121BB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p>
        </w:tc>
        <w:tc>
          <w:tcPr>
            <w:tcW w:w="305" w:type="pct"/>
            <w:tcBorders>
              <w:top w:val="nil"/>
              <w:left w:val="nil"/>
              <w:bottom w:val="nil"/>
              <w:right w:val="single" w:sz="4" w:space="0" w:color="auto"/>
            </w:tcBorders>
            <w:shd w:val="clear" w:color="auto" w:fill="auto"/>
            <w:noWrap/>
            <w:vAlign w:val="bottom"/>
          </w:tcPr>
          <w:p w14:paraId="7EBEF70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48" w:type="pct"/>
            <w:tcBorders>
              <w:top w:val="nil"/>
              <w:left w:val="nil"/>
              <w:bottom w:val="nil"/>
              <w:right w:val="single" w:sz="4" w:space="0" w:color="auto"/>
            </w:tcBorders>
            <w:shd w:val="clear" w:color="auto" w:fill="auto"/>
            <w:noWrap/>
            <w:vAlign w:val="bottom"/>
          </w:tcPr>
          <w:p w14:paraId="7F16B6E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47" w:type="pct"/>
            <w:tcBorders>
              <w:top w:val="nil"/>
              <w:left w:val="nil"/>
              <w:bottom w:val="nil"/>
              <w:right w:val="single" w:sz="4" w:space="0" w:color="auto"/>
            </w:tcBorders>
            <w:shd w:val="clear" w:color="auto" w:fill="auto"/>
            <w:noWrap/>
            <w:vAlign w:val="bottom"/>
          </w:tcPr>
          <w:p w14:paraId="2574B31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04" w:type="pct"/>
            <w:tcBorders>
              <w:top w:val="nil"/>
              <w:left w:val="nil"/>
              <w:bottom w:val="nil"/>
              <w:right w:val="nil"/>
            </w:tcBorders>
            <w:shd w:val="clear" w:color="auto" w:fill="auto"/>
            <w:noWrap/>
            <w:vAlign w:val="bottom"/>
          </w:tcPr>
          <w:p w14:paraId="090718C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16</w:t>
            </w:r>
            <w:r>
              <w:rPr>
                <w:color w:val="000000"/>
                <w:sz w:val="14"/>
                <w:szCs w:val="14"/>
                <w:lang w:eastAsia="en-GB"/>
              </w:rPr>
              <w:t xml:space="preserve"> </w:t>
            </w:r>
            <w:r w:rsidRPr="00D34298">
              <w:rPr>
                <w:color w:val="000000"/>
                <w:sz w:val="14"/>
                <w:szCs w:val="14"/>
                <w:lang w:eastAsia="en-GB"/>
              </w:rPr>
              <w:t>437</w:t>
            </w:r>
          </w:p>
        </w:tc>
        <w:tc>
          <w:tcPr>
            <w:tcW w:w="304" w:type="pct"/>
            <w:tcBorders>
              <w:top w:val="nil"/>
              <w:left w:val="single" w:sz="4" w:space="0" w:color="auto"/>
              <w:bottom w:val="nil"/>
              <w:right w:val="single" w:sz="4" w:space="0" w:color="auto"/>
            </w:tcBorders>
            <w:shd w:val="clear" w:color="auto" w:fill="auto"/>
            <w:noWrap/>
            <w:vAlign w:val="bottom"/>
          </w:tcPr>
          <w:p w14:paraId="704D5BB5"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16</w:t>
            </w:r>
            <w:r>
              <w:rPr>
                <w:b/>
                <w:bCs/>
                <w:color w:val="000000"/>
                <w:sz w:val="14"/>
                <w:szCs w:val="14"/>
                <w:lang w:eastAsia="en-GB"/>
              </w:rPr>
              <w:t xml:space="preserve"> </w:t>
            </w:r>
            <w:r w:rsidRPr="00D34298">
              <w:rPr>
                <w:b/>
                <w:bCs/>
                <w:color w:val="000000"/>
                <w:sz w:val="14"/>
                <w:szCs w:val="14"/>
                <w:lang w:eastAsia="en-GB"/>
              </w:rPr>
              <w:t>437</w:t>
            </w:r>
          </w:p>
        </w:tc>
        <w:tc>
          <w:tcPr>
            <w:tcW w:w="262" w:type="pct"/>
            <w:tcBorders>
              <w:top w:val="nil"/>
              <w:left w:val="nil"/>
              <w:bottom w:val="nil"/>
              <w:right w:val="single" w:sz="4" w:space="0" w:color="auto"/>
            </w:tcBorders>
            <w:shd w:val="clear" w:color="auto" w:fill="auto"/>
            <w:noWrap/>
            <w:vAlign w:val="bottom"/>
          </w:tcPr>
          <w:p w14:paraId="62C4266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45" w:type="pct"/>
            <w:tcBorders>
              <w:top w:val="nil"/>
              <w:left w:val="nil"/>
              <w:bottom w:val="nil"/>
              <w:right w:val="single" w:sz="4" w:space="0" w:color="auto"/>
            </w:tcBorders>
            <w:shd w:val="clear" w:color="auto" w:fill="auto"/>
            <w:vAlign w:val="bottom"/>
          </w:tcPr>
          <w:p w14:paraId="1A028D7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6EFB049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22" w:type="pct"/>
            <w:tcBorders>
              <w:top w:val="nil"/>
              <w:left w:val="nil"/>
              <w:bottom w:val="nil"/>
              <w:right w:val="single" w:sz="4" w:space="0" w:color="auto"/>
            </w:tcBorders>
            <w:shd w:val="clear" w:color="auto" w:fill="auto"/>
            <w:noWrap/>
            <w:vAlign w:val="bottom"/>
          </w:tcPr>
          <w:p w14:paraId="2EEB412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161</w:t>
            </w:r>
          </w:p>
        </w:tc>
        <w:tc>
          <w:tcPr>
            <w:tcW w:w="227" w:type="pct"/>
            <w:tcBorders>
              <w:top w:val="nil"/>
              <w:left w:val="nil"/>
              <w:bottom w:val="nil"/>
              <w:right w:val="single" w:sz="4" w:space="0" w:color="auto"/>
            </w:tcBorders>
            <w:shd w:val="clear" w:color="auto" w:fill="auto"/>
            <w:noWrap/>
            <w:vAlign w:val="bottom"/>
          </w:tcPr>
          <w:p w14:paraId="122F9FE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r w:rsidRPr="00D34298">
              <w:rPr>
                <w:color w:val="000000"/>
                <w:sz w:val="14"/>
                <w:szCs w:val="14"/>
                <w:lang w:eastAsia="en-GB"/>
              </w:rPr>
              <w:t xml:space="preserve"> </w:t>
            </w:r>
          </w:p>
        </w:tc>
        <w:tc>
          <w:tcPr>
            <w:tcW w:w="218" w:type="pct"/>
            <w:tcBorders>
              <w:top w:val="nil"/>
              <w:left w:val="nil"/>
              <w:bottom w:val="nil"/>
              <w:right w:val="single" w:sz="4" w:space="0" w:color="auto"/>
            </w:tcBorders>
            <w:shd w:val="clear" w:color="auto" w:fill="auto"/>
            <w:noWrap/>
            <w:vAlign w:val="bottom"/>
          </w:tcPr>
          <w:p w14:paraId="481745B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bottom"/>
          </w:tcPr>
          <w:p w14:paraId="3FDAC95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bottom"/>
          </w:tcPr>
          <w:p w14:paraId="476BB1A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48" w:type="pct"/>
            <w:tcBorders>
              <w:top w:val="nil"/>
              <w:left w:val="nil"/>
              <w:bottom w:val="nil"/>
              <w:right w:val="single" w:sz="4" w:space="0" w:color="auto"/>
            </w:tcBorders>
            <w:shd w:val="clear" w:color="auto" w:fill="auto"/>
            <w:noWrap/>
            <w:vAlign w:val="bottom"/>
          </w:tcPr>
          <w:p w14:paraId="098A33D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01" w:type="pct"/>
            <w:tcBorders>
              <w:top w:val="nil"/>
              <w:left w:val="nil"/>
              <w:bottom w:val="nil"/>
              <w:right w:val="single" w:sz="4" w:space="0" w:color="auto"/>
            </w:tcBorders>
            <w:shd w:val="clear" w:color="auto" w:fill="auto"/>
            <w:noWrap/>
            <w:vAlign w:val="bottom"/>
          </w:tcPr>
          <w:p w14:paraId="15F3D4D1"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16</w:t>
            </w:r>
            <w:r>
              <w:rPr>
                <w:b/>
                <w:bCs/>
                <w:sz w:val="14"/>
                <w:szCs w:val="14"/>
                <w:lang w:eastAsia="en-GB"/>
              </w:rPr>
              <w:t xml:space="preserve"> </w:t>
            </w:r>
            <w:r w:rsidRPr="00D34298">
              <w:rPr>
                <w:b/>
                <w:bCs/>
                <w:sz w:val="14"/>
                <w:szCs w:val="14"/>
                <w:lang w:eastAsia="en-GB"/>
              </w:rPr>
              <w:t>598</w:t>
            </w:r>
          </w:p>
        </w:tc>
      </w:tr>
      <w:tr w:rsidR="00761B6C" w:rsidRPr="00236418" w14:paraId="14B744E1" w14:textId="77777777" w:rsidTr="00B93AE4">
        <w:trPr>
          <w:trHeight w:val="513"/>
          <w:jc w:val="center"/>
        </w:trPr>
        <w:tc>
          <w:tcPr>
            <w:tcW w:w="479" w:type="pct"/>
            <w:tcBorders>
              <w:top w:val="nil"/>
              <w:left w:val="single" w:sz="4" w:space="0" w:color="auto"/>
              <w:right w:val="nil"/>
            </w:tcBorders>
            <w:shd w:val="clear" w:color="auto" w:fill="auto"/>
            <w:hideMark/>
          </w:tcPr>
          <w:p w14:paraId="6E54CB85" w14:textId="77777777" w:rsidR="00761B6C" w:rsidRPr="00236418" w:rsidRDefault="00761B6C" w:rsidP="00761B6C">
            <w:pPr>
              <w:pStyle w:val="Tabletext"/>
              <w:spacing w:before="0" w:after="0"/>
              <w:rPr>
                <w:sz w:val="14"/>
                <w:szCs w:val="14"/>
                <w:lang w:eastAsia="zh-CN"/>
              </w:rPr>
            </w:pPr>
            <w:r w:rsidRPr="00236418">
              <w:rPr>
                <w:sz w:val="14"/>
                <w:szCs w:val="14"/>
              </w:rPr>
              <w:t>Frais d</w:t>
            </w:r>
            <w:r>
              <w:rPr>
                <w:sz w:val="14"/>
                <w:szCs w:val="14"/>
              </w:rPr>
              <w:t>'</w:t>
            </w:r>
            <w:r w:rsidRPr="00236418">
              <w:rPr>
                <w:sz w:val="14"/>
                <w:szCs w:val="14"/>
              </w:rPr>
              <w:t>expédition, de télécommunications et de services</w:t>
            </w:r>
          </w:p>
        </w:tc>
        <w:tc>
          <w:tcPr>
            <w:tcW w:w="306" w:type="pct"/>
            <w:tcBorders>
              <w:top w:val="nil"/>
              <w:left w:val="single" w:sz="4" w:space="0" w:color="auto"/>
              <w:right w:val="single" w:sz="4" w:space="0" w:color="auto"/>
            </w:tcBorders>
            <w:shd w:val="clear" w:color="auto" w:fill="auto"/>
            <w:noWrap/>
            <w:vAlign w:val="bottom"/>
          </w:tcPr>
          <w:p w14:paraId="46109A5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899</w:t>
            </w:r>
          </w:p>
        </w:tc>
        <w:tc>
          <w:tcPr>
            <w:tcW w:w="305" w:type="pct"/>
            <w:tcBorders>
              <w:top w:val="nil"/>
              <w:left w:val="nil"/>
              <w:right w:val="single" w:sz="4" w:space="0" w:color="auto"/>
            </w:tcBorders>
            <w:shd w:val="clear" w:color="auto" w:fill="auto"/>
            <w:noWrap/>
            <w:vAlign w:val="bottom"/>
          </w:tcPr>
          <w:p w14:paraId="05FDBA2D"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r w:rsidRPr="00D34298">
              <w:rPr>
                <w:color w:val="000000"/>
                <w:sz w:val="14"/>
                <w:szCs w:val="14"/>
                <w:lang w:eastAsia="en-GB"/>
              </w:rPr>
              <w:t>0</w:t>
            </w:r>
          </w:p>
        </w:tc>
        <w:tc>
          <w:tcPr>
            <w:tcW w:w="348" w:type="pct"/>
            <w:tcBorders>
              <w:top w:val="nil"/>
              <w:left w:val="nil"/>
              <w:right w:val="single" w:sz="4" w:space="0" w:color="auto"/>
            </w:tcBorders>
            <w:shd w:val="clear" w:color="auto" w:fill="auto"/>
            <w:noWrap/>
            <w:vAlign w:val="bottom"/>
          </w:tcPr>
          <w:p w14:paraId="71DBF728"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r w:rsidRPr="00D34298">
              <w:rPr>
                <w:color w:val="000000"/>
                <w:sz w:val="14"/>
                <w:szCs w:val="14"/>
                <w:lang w:eastAsia="en-GB"/>
              </w:rPr>
              <w:t>1</w:t>
            </w:r>
          </w:p>
        </w:tc>
        <w:tc>
          <w:tcPr>
            <w:tcW w:w="347" w:type="pct"/>
            <w:tcBorders>
              <w:top w:val="nil"/>
              <w:left w:val="nil"/>
              <w:right w:val="single" w:sz="4" w:space="0" w:color="auto"/>
            </w:tcBorders>
            <w:shd w:val="clear" w:color="auto" w:fill="auto"/>
            <w:noWrap/>
            <w:vAlign w:val="bottom"/>
          </w:tcPr>
          <w:p w14:paraId="1EA5BD2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44</w:t>
            </w:r>
          </w:p>
        </w:tc>
        <w:tc>
          <w:tcPr>
            <w:tcW w:w="304" w:type="pct"/>
            <w:tcBorders>
              <w:top w:val="nil"/>
              <w:left w:val="nil"/>
              <w:right w:val="nil"/>
            </w:tcBorders>
            <w:shd w:val="clear" w:color="auto" w:fill="auto"/>
            <w:noWrap/>
            <w:vAlign w:val="bottom"/>
          </w:tcPr>
          <w:p w14:paraId="57576D18"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655</w:t>
            </w:r>
          </w:p>
        </w:tc>
        <w:tc>
          <w:tcPr>
            <w:tcW w:w="304" w:type="pct"/>
            <w:tcBorders>
              <w:top w:val="nil"/>
              <w:left w:val="single" w:sz="4" w:space="0" w:color="auto"/>
              <w:right w:val="single" w:sz="4" w:space="0" w:color="auto"/>
            </w:tcBorders>
            <w:shd w:val="clear" w:color="auto" w:fill="auto"/>
            <w:noWrap/>
            <w:vAlign w:val="bottom"/>
          </w:tcPr>
          <w:p w14:paraId="50011453"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597</w:t>
            </w:r>
          </w:p>
        </w:tc>
        <w:tc>
          <w:tcPr>
            <w:tcW w:w="262" w:type="pct"/>
            <w:tcBorders>
              <w:top w:val="nil"/>
              <w:left w:val="nil"/>
              <w:right w:val="single" w:sz="4" w:space="0" w:color="auto"/>
            </w:tcBorders>
            <w:shd w:val="clear" w:color="auto" w:fill="auto"/>
            <w:noWrap/>
            <w:vAlign w:val="bottom"/>
          </w:tcPr>
          <w:p w14:paraId="54758F7D"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r w:rsidRPr="00D34298">
              <w:rPr>
                <w:color w:val="000000"/>
                <w:sz w:val="14"/>
                <w:szCs w:val="14"/>
                <w:lang w:eastAsia="en-GB"/>
              </w:rPr>
              <w:t xml:space="preserve"> </w:t>
            </w:r>
          </w:p>
        </w:tc>
        <w:tc>
          <w:tcPr>
            <w:tcW w:w="245" w:type="pct"/>
            <w:tcBorders>
              <w:top w:val="nil"/>
              <w:left w:val="nil"/>
              <w:right w:val="single" w:sz="4" w:space="0" w:color="auto"/>
            </w:tcBorders>
            <w:shd w:val="clear" w:color="auto" w:fill="auto"/>
            <w:vAlign w:val="bottom"/>
          </w:tcPr>
          <w:p w14:paraId="3D0E985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9" w:type="pct"/>
            <w:tcBorders>
              <w:top w:val="nil"/>
              <w:left w:val="nil"/>
              <w:right w:val="single" w:sz="4" w:space="0" w:color="auto"/>
            </w:tcBorders>
            <w:shd w:val="clear" w:color="auto" w:fill="auto"/>
            <w:noWrap/>
            <w:vAlign w:val="bottom"/>
          </w:tcPr>
          <w:p w14:paraId="73F7D51D"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22" w:type="pct"/>
            <w:tcBorders>
              <w:top w:val="nil"/>
              <w:left w:val="nil"/>
              <w:right w:val="single" w:sz="4" w:space="0" w:color="auto"/>
            </w:tcBorders>
            <w:shd w:val="clear" w:color="auto" w:fill="auto"/>
            <w:noWrap/>
            <w:vAlign w:val="bottom"/>
          </w:tcPr>
          <w:p w14:paraId="05B7B59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0</w:t>
            </w:r>
          </w:p>
        </w:tc>
        <w:tc>
          <w:tcPr>
            <w:tcW w:w="227" w:type="pct"/>
            <w:tcBorders>
              <w:top w:val="nil"/>
              <w:left w:val="nil"/>
              <w:right w:val="single" w:sz="4" w:space="0" w:color="auto"/>
            </w:tcBorders>
            <w:shd w:val="clear" w:color="auto" w:fill="auto"/>
            <w:noWrap/>
            <w:vAlign w:val="bottom"/>
          </w:tcPr>
          <w:p w14:paraId="73BF407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w:t>
            </w:r>
          </w:p>
        </w:tc>
        <w:tc>
          <w:tcPr>
            <w:tcW w:w="218" w:type="pct"/>
            <w:tcBorders>
              <w:top w:val="nil"/>
              <w:left w:val="nil"/>
              <w:right w:val="single" w:sz="4" w:space="0" w:color="auto"/>
            </w:tcBorders>
            <w:shd w:val="clear" w:color="auto" w:fill="auto"/>
            <w:noWrap/>
            <w:vAlign w:val="bottom"/>
          </w:tcPr>
          <w:p w14:paraId="0B182B4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right w:val="single" w:sz="4" w:space="0" w:color="auto"/>
            </w:tcBorders>
            <w:shd w:val="clear" w:color="auto" w:fill="auto"/>
            <w:noWrap/>
            <w:vAlign w:val="bottom"/>
          </w:tcPr>
          <w:p w14:paraId="3941494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61" w:type="pct"/>
            <w:tcBorders>
              <w:top w:val="nil"/>
              <w:left w:val="nil"/>
              <w:right w:val="single" w:sz="4" w:space="0" w:color="auto"/>
            </w:tcBorders>
            <w:shd w:val="clear" w:color="auto" w:fill="auto"/>
            <w:noWrap/>
            <w:vAlign w:val="bottom"/>
          </w:tcPr>
          <w:p w14:paraId="18A57773"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48" w:type="pct"/>
            <w:tcBorders>
              <w:top w:val="nil"/>
              <w:left w:val="nil"/>
              <w:right w:val="single" w:sz="4" w:space="0" w:color="auto"/>
            </w:tcBorders>
            <w:shd w:val="clear" w:color="auto" w:fill="auto"/>
            <w:noWrap/>
            <w:vAlign w:val="bottom"/>
          </w:tcPr>
          <w:p w14:paraId="1EE428E8"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01" w:type="pct"/>
            <w:tcBorders>
              <w:top w:val="nil"/>
              <w:left w:val="nil"/>
              <w:right w:val="single" w:sz="4" w:space="0" w:color="auto"/>
            </w:tcBorders>
            <w:shd w:val="clear" w:color="auto" w:fill="auto"/>
            <w:noWrap/>
            <w:vAlign w:val="bottom"/>
          </w:tcPr>
          <w:p w14:paraId="3202139D"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1</w:t>
            </w:r>
            <w:r>
              <w:rPr>
                <w:b/>
                <w:bCs/>
                <w:sz w:val="14"/>
                <w:szCs w:val="14"/>
                <w:lang w:eastAsia="en-GB"/>
              </w:rPr>
              <w:t xml:space="preserve"> </w:t>
            </w:r>
            <w:r w:rsidRPr="00D34298">
              <w:rPr>
                <w:b/>
                <w:bCs/>
                <w:sz w:val="14"/>
                <w:szCs w:val="14"/>
                <w:lang w:eastAsia="en-GB"/>
              </w:rPr>
              <w:t>599</w:t>
            </w:r>
          </w:p>
        </w:tc>
      </w:tr>
      <w:tr w:rsidR="00761B6C" w:rsidRPr="00236418" w14:paraId="798C9F4C" w14:textId="77777777" w:rsidTr="00B93AE4">
        <w:trPr>
          <w:trHeight w:val="684"/>
          <w:jc w:val="center"/>
        </w:trPr>
        <w:tc>
          <w:tcPr>
            <w:tcW w:w="479" w:type="pct"/>
            <w:tcBorders>
              <w:top w:val="nil"/>
              <w:left w:val="single" w:sz="4" w:space="0" w:color="auto"/>
              <w:right w:val="nil"/>
            </w:tcBorders>
            <w:shd w:val="clear" w:color="auto" w:fill="auto"/>
            <w:hideMark/>
          </w:tcPr>
          <w:p w14:paraId="55DA3338" w14:textId="77777777" w:rsidR="00761B6C" w:rsidRPr="00236418" w:rsidRDefault="00761B6C" w:rsidP="00761B6C">
            <w:pPr>
              <w:pStyle w:val="Tabletext"/>
              <w:spacing w:before="0" w:after="0"/>
              <w:rPr>
                <w:sz w:val="14"/>
                <w:szCs w:val="14"/>
                <w:lang w:eastAsia="zh-CN"/>
              </w:rPr>
            </w:pPr>
            <w:r w:rsidRPr="00236418">
              <w:rPr>
                <w:sz w:val="14"/>
                <w:szCs w:val="14"/>
              </w:rPr>
              <w:t>Vérification des comptes et contributions interorganisations</w:t>
            </w:r>
          </w:p>
        </w:tc>
        <w:tc>
          <w:tcPr>
            <w:tcW w:w="306" w:type="pct"/>
            <w:tcBorders>
              <w:top w:val="nil"/>
              <w:left w:val="single" w:sz="4" w:space="0" w:color="auto"/>
              <w:right w:val="single" w:sz="4" w:space="0" w:color="auto"/>
            </w:tcBorders>
            <w:shd w:val="clear" w:color="auto" w:fill="auto"/>
            <w:noWrap/>
            <w:vAlign w:val="center"/>
          </w:tcPr>
          <w:p w14:paraId="2EEBD02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6</w:t>
            </w:r>
          </w:p>
        </w:tc>
        <w:tc>
          <w:tcPr>
            <w:tcW w:w="305" w:type="pct"/>
            <w:tcBorders>
              <w:top w:val="nil"/>
              <w:left w:val="nil"/>
              <w:right w:val="single" w:sz="4" w:space="0" w:color="auto"/>
            </w:tcBorders>
            <w:shd w:val="clear" w:color="auto" w:fill="auto"/>
            <w:noWrap/>
            <w:vAlign w:val="center"/>
          </w:tcPr>
          <w:p w14:paraId="279C1AD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48" w:type="pct"/>
            <w:tcBorders>
              <w:top w:val="nil"/>
              <w:left w:val="nil"/>
              <w:right w:val="single" w:sz="4" w:space="0" w:color="auto"/>
            </w:tcBorders>
            <w:shd w:val="clear" w:color="auto" w:fill="auto"/>
            <w:noWrap/>
            <w:vAlign w:val="center"/>
          </w:tcPr>
          <w:p w14:paraId="2ABF75D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47" w:type="pct"/>
            <w:tcBorders>
              <w:top w:val="nil"/>
              <w:left w:val="nil"/>
              <w:right w:val="single" w:sz="4" w:space="0" w:color="auto"/>
            </w:tcBorders>
            <w:shd w:val="clear" w:color="auto" w:fill="auto"/>
            <w:noWrap/>
            <w:vAlign w:val="center"/>
          </w:tcPr>
          <w:p w14:paraId="0E178B2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35</w:t>
            </w:r>
          </w:p>
        </w:tc>
        <w:tc>
          <w:tcPr>
            <w:tcW w:w="304" w:type="pct"/>
            <w:tcBorders>
              <w:top w:val="nil"/>
              <w:left w:val="nil"/>
              <w:right w:val="nil"/>
            </w:tcBorders>
            <w:shd w:val="clear" w:color="auto" w:fill="auto"/>
            <w:noWrap/>
            <w:vAlign w:val="center"/>
          </w:tcPr>
          <w:p w14:paraId="384106F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441 </w:t>
            </w:r>
          </w:p>
        </w:tc>
        <w:tc>
          <w:tcPr>
            <w:tcW w:w="304" w:type="pct"/>
            <w:tcBorders>
              <w:top w:val="nil"/>
              <w:left w:val="single" w:sz="4" w:space="0" w:color="auto"/>
              <w:right w:val="single" w:sz="4" w:space="0" w:color="auto"/>
            </w:tcBorders>
            <w:shd w:val="clear" w:color="auto" w:fill="auto"/>
            <w:noWrap/>
            <w:vAlign w:val="center"/>
          </w:tcPr>
          <w:p w14:paraId="31B42DDC"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 xml:space="preserve"> 481</w:t>
            </w:r>
          </w:p>
        </w:tc>
        <w:tc>
          <w:tcPr>
            <w:tcW w:w="262" w:type="pct"/>
            <w:tcBorders>
              <w:top w:val="nil"/>
              <w:left w:val="nil"/>
              <w:right w:val="single" w:sz="4" w:space="0" w:color="auto"/>
            </w:tcBorders>
            <w:shd w:val="clear" w:color="auto" w:fill="auto"/>
            <w:noWrap/>
            <w:vAlign w:val="center"/>
          </w:tcPr>
          <w:p w14:paraId="6850106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45" w:type="pct"/>
            <w:tcBorders>
              <w:top w:val="nil"/>
              <w:left w:val="nil"/>
              <w:right w:val="single" w:sz="4" w:space="0" w:color="auto"/>
            </w:tcBorders>
            <w:shd w:val="clear" w:color="auto" w:fill="auto"/>
            <w:vAlign w:val="center"/>
          </w:tcPr>
          <w:p w14:paraId="62917A08"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9" w:type="pct"/>
            <w:tcBorders>
              <w:top w:val="nil"/>
              <w:left w:val="nil"/>
              <w:right w:val="single" w:sz="4" w:space="0" w:color="auto"/>
            </w:tcBorders>
            <w:shd w:val="clear" w:color="auto" w:fill="auto"/>
            <w:noWrap/>
            <w:vAlign w:val="center"/>
          </w:tcPr>
          <w:p w14:paraId="02037D78"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22" w:type="pct"/>
            <w:tcBorders>
              <w:top w:val="nil"/>
              <w:left w:val="nil"/>
              <w:right w:val="single" w:sz="4" w:space="0" w:color="auto"/>
            </w:tcBorders>
            <w:shd w:val="clear" w:color="auto" w:fill="auto"/>
            <w:noWrap/>
            <w:vAlign w:val="center"/>
          </w:tcPr>
          <w:p w14:paraId="5AF12209"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w:t>
            </w:r>
            <w:r>
              <w:rPr>
                <w:color w:val="000000"/>
                <w:sz w:val="14"/>
                <w:szCs w:val="14"/>
                <w:lang w:eastAsia="en-GB"/>
              </w:rPr>
              <w:t>–</w:t>
            </w:r>
          </w:p>
        </w:tc>
        <w:tc>
          <w:tcPr>
            <w:tcW w:w="227" w:type="pct"/>
            <w:tcBorders>
              <w:top w:val="nil"/>
              <w:left w:val="nil"/>
              <w:right w:val="single" w:sz="4" w:space="0" w:color="auto"/>
            </w:tcBorders>
            <w:shd w:val="clear" w:color="auto" w:fill="auto"/>
            <w:noWrap/>
            <w:vAlign w:val="center"/>
          </w:tcPr>
          <w:p w14:paraId="6FB38B03"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0</w:t>
            </w:r>
          </w:p>
        </w:tc>
        <w:tc>
          <w:tcPr>
            <w:tcW w:w="218" w:type="pct"/>
            <w:tcBorders>
              <w:top w:val="nil"/>
              <w:left w:val="nil"/>
              <w:right w:val="single" w:sz="4" w:space="0" w:color="auto"/>
            </w:tcBorders>
            <w:shd w:val="clear" w:color="auto" w:fill="auto"/>
            <w:noWrap/>
            <w:vAlign w:val="center"/>
          </w:tcPr>
          <w:p w14:paraId="55E8D778"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right w:val="single" w:sz="4" w:space="0" w:color="auto"/>
            </w:tcBorders>
            <w:shd w:val="clear" w:color="auto" w:fill="auto"/>
            <w:noWrap/>
            <w:vAlign w:val="center"/>
          </w:tcPr>
          <w:p w14:paraId="609EE74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61" w:type="pct"/>
            <w:tcBorders>
              <w:top w:val="nil"/>
              <w:left w:val="nil"/>
              <w:right w:val="single" w:sz="4" w:space="0" w:color="auto"/>
            </w:tcBorders>
            <w:shd w:val="clear" w:color="auto" w:fill="auto"/>
            <w:noWrap/>
            <w:vAlign w:val="center"/>
          </w:tcPr>
          <w:p w14:paraId="4B1BF3C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48" w:type="pct"/>
            <w:tcBorders>
              <w:top w:val="nil"/>
              <w:left w:val="nil"/>
              <w:right w:val="single" w:sz="4" w:space="0" w:color="auto"/>
            </w:tcBorders>
            <w:shd w:val="clear" w:color="auto" w:fill="auto"/>
            <w:noWrap/>
            <w:vAlign w:val="center"/>
          </w:tcPr>
          <w:p w14:paraId="0A63D05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301" w:type="pct"/>
            <w:tcBorders>
              <w:top w:val="nil"/>
              <w:left w:val="nil"/>
              <w:right w:val="single" w:sz="4" w:space="0" w:color="auto"/>
            </w:tcBorders>
            <w:shd w:val="clear" w:color="auto" w:fill="auto"/>
            <w:noWrap/>
            <w:vAlign w:val="center"/>
          </w:tcPr>
          <w:p w14:paraId="323D6D08"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482</w:t>
            </w:r>
          </w:p>
        </w:tc>
      </w:tr>
      <w:tr w:rsidR="00761B6C" w:rsidRPr="00236418" w14:paraId="7BA73728"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22C82D2F" w14:textId="77777777" w:rsidR="00761B6C" w:rsidRPr="00236418" w:rsidRDefault="00761B6C" w:rsidP="00761B6C">
            <w:pPr>
              <w:pStyle w:val="Tabletext"/>
              <w:spacing w:before="0" w:after="0"/>
              <w:rPr>
                <w:sz w:val="14"/>
                <w:szCs w:val="14"/>
                <w:lang w:eastAsia="zh-CN"/>
              </w:rPr>
            </w:pPr>
            <w:r w:rsidRPr="00236418">
              <w:rPr>
                <w:sz w:val="14"/>
                <w:szCs w:val="14"/>
              </w:rPr>
              <w:t>Autres charges</w:t>
            </w:r>
          </w:p>
        </w:tc>
        <w:tc>
          <w:tcPr>
            <w:tcW w:w="306" w:type="pct"/>
            <w:tcBorders>
              <w:top w:val="nil"/>
              <w:left w:val="single" w:sz="4" w:space="0" w:color="auto"/>
              <w:bottom w:val="nil"/>
              <w:right w:val="single" w:sz="4" w:space="0" w:color="auto"/>
            </w:tcBorders>
            <w:shd w:val="clear" w:color="auto" w:fill="auto"/>
            <w:noWrap/>
            <w:vAlign w:val="bottom"/>
          </w:tcPr>
          <w:p w14:paraId="747A203D"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24</w:t>
            </w:r>
          </w:p>
        </w:tc>
        <w:tc>
          <w:tcPr>
            <w:tcW w:w="305" w:type="pct"/>
            <w:tcBorders>
              <w:top w:val="nil"/>
              <w:left w:val="nil"/>
              <w:bottom w:val="nil"/>
              <w:right w:val="single" w:sz="4" w:space="0" w:color="auto"/>
            </w:tcBorders>
            <w:shd w:val="clear" w:color="auto" w:fill="auto"/>
            <w:noWrap/>
            <w:vAlign w:val="bottom"/>
          </w:tcPr>
          <w:p w14:paraId="0C33BEE5"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925</w:t>
            </w:r>
          </w:p>
        </w:tc>
        <w:tc>
          <w:tcPr>
            <w:tcW w:w="348" w:type="pct"/>
            <w:tcBorders>
              <w:top w:val="nil"/>
              <w:left w:val="nil"/>
              <w:bottom w:val="nil"/>
              <w:right w:val="single" w:sz="4" w:space="0" w:color="auto"/>
            </w:tcBorders>
            <w:shd w:val="clear" w:color="auto" w:fill="auto"/>
            <w:noWrap/>
            <w:vAlign w:val="bottom"/>
          </w:tcPr>
          <w:p w14:paraId="382F1F0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6</w:t>
            </w:r>
          </w:p>
        </w:tc>
        <w:tc>
          <w:tcPr>
            <w:tcW w:w="347" w:type="pct"/>
            <w:tcBorders>
              <w:top w:val="nil"/>
              <w:left w:val="nil"/>
              <w:bottom w:val="nil"/>
              <w:right w:val="single" w:sz="4" w:space="0" w:color="auto"/>
            </w:tcBorders>
            <w:shd w:val="clear" w:color="auto" w:fill="auto"/>
            <w:noWrap/>
            <w:vAlign w:val="bottom"/>
          </w:tcPr>
          <w:p w14:paraId="02C6F09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3</w:t>
            </w:r>
            <w:r>
              <w:rPr>
                <w:color w:val="000000"/>
                <w:sz w:val="14"/>
                <w:szCs w:val="14"/>
                <w:lang w:eastAsia="en-GB"/>
              </w:rPr>
              <w:t xml:space="preserve"> </w:t>
            </w:r>
            <w:r w:rsidRPr="00D34298">
              <w:rPr>
                <w:color w:val="000000"/>
                <w:sz w:val="14"/>
                <w:szCs w:val="14"/>
                <w:lang w:eastAsia="en-GB"/>
              </w:rPr>
              <w:t>041</w:t>
            </w:r>
          </w:p>
        </w:tc>
        <w:tc>
          <w:tcPr>
            <w:tcW w:w="304" w:type="pct"/>
            <w:tcBorders>
              <w:top w:val="nil"/>
              <w:left w:val="nil"/>
              <w:bottom w:val="nil"/>
              <w:right w:val="nil"/>
            </w:tcBorders>
            <w:shd w:val="clear" w:color="auto" w:fill="auto"/>
            <w:noWrap/>
            <w:vAlign w:val="bottom"/>
          </w:tcPr>
          <w:p w14:paraId="2509AE66"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5</w:t>
            </w:r>
            <w:r>
              <w:rPr>
                <w:color w:val="000000"/>
                <w:sz w:val="14"/>
                <w:szCs w:val="14"/>
                <w:lang w:eastAsia="en-GB"/>
              </w:rPr>
              <w:t xml:space="preserve"> </w:t>
            </w:r>
            <w:r w:rsidRPr="00D34298">
              <w:rPr>
                <w:color w:val="000000"/>
                <w:sz w:val="14"/>
                <w:szCs w:val="14"/>
                <w:lang w:eastAsia="en-GB"/>
              </w:rPr>
              <w:t>528</w:t>
            </w:r>
          </w:p>
        </w:tc>
        <w:tc>
          <w:tcPr>
            <w:tcW w:w="304" w:type="pct"/>
            <w:tcBorders>
              <w:top w:val="nil"/>
              <w:left w:val="single" w:sz="4" w:space="0" w:color="auto"/>
              <w:bottom w:val="nil"/>
              <w:right w:val="single" w:sz="4" w:space="0" w:color="auto"/>
            </w:tcBorders>
            <w:shd w:val="clear" w:color="auto" w:fill="auto"/>
            <w:noWrap/>
            <w:vAlign w:val="bottom"/>
          </w:tcPr>
          <w:p w14:paraId="7F744017"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9</w:t>
            </w:r>
            <w:r>
              <w:rPr>
                <w:b/>
                <w:bCs/>
                <w:color w:val="000000"/>
                <w:sz w:val="14"/>
                <w:szCs w:val="14"/>
                <w:lang w:eastAsia="en-GB"/>
              </w:rPr>
              <w:t xml:space="preserve"> </w:t>
            </w:r>
            <w:r w:rsidRPr="00D34298">
              <w:rPr>
                <w:b/>
                <w:bCs/>
                <w:color w:val="000000"/>
                <w:sz w:val="14"/>
                <w:szCs w:val="14"/>
                <w:lang w:eastAsia="en-GB"/>
              </w:rPr>
              <w:t>524</w:t>
            </w:r>
          </w:p>
        </w:tc>
        <w:tc>
          <w:tcPr>
            <w:tcW w:w="262" w:type="pct"/>
            <w:tcBorders>
              <w:top w:val="nil"/>
              <w:left w:val="nil"/>
              <w:bottom w:val="nil"/>
              <w:right w:val="single" w:sz="4" w:space="0" w:color="auto"/>
            </w:tcBorders>
            <w:shd w:val="clear" w:color="auto" w:fill="auto"/>
            <w:noWrap/>
            <w:vAlign w:val="bottom"/>
          </w:tcPr>
          <w:p w14:paraId="29CBBCAD"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45" w:type="pct"/>
            <w:tcBorders>
              <w:top w:val="nil"/>
              <w:left w:val="nil"/>
              <w:bottom w:val="nil"/>
              <w:right w:val="single" w:sz="4" w:space="0" w:color="auto"/>
            </w:tcBorders>
            <w:shd w:val="clear" w:color="auto" w:fill="auto"/>
            <w:vAlign w:val="bottom"/>
          </w:tcPr>
          <w:p w14:paraId="0811F85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346FE92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444F8F8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32</w:t>
            </w:r>
          </w:p>
        </w:tc>
        <w:tc>
          <w:tcPr>
            <w:tcW w:w="227" w:type="pct"/>
            <w:tcBorders>
              <w:top w:val="nil"/>
              <w:left w:val="nil"/>
              <w:bottom w:val="nil"/>
              <w:right w:val="single" w:sz="4" w:space="0" w:color="auto"/>
            </w:tcBorders>
            <w:shd w:val="clear" w:color="auto" w:fill="auto"/>
            <w:noWrap/>
            <w:vAlign w:val="bottom"/>
          </w:tcPr>
          <w:p w14:paraId="3B42D1AA"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237 </w:t>
            </w:r>
          </w:p>
        </w:tc>
        <w:tc>
          <w:tcPr>
            <w:tcW w:w="218" w:type="pct"/>
            <w:tcBorders>
              <w:top w:val="nil"/>
              <w:left w:val="nil"/>
              <w:bottom w:val="nil"/>
              <w:right w:val="single" w:sz="4" w:space="0" w:color="auto"/>
            </w:tcBorders>
            <w:shd w:val="clear" w:color="auto" w:fill="auto"/>
            <w:noWrap/>
            <w:vAlign w:val="bottom"/>
          </w:tcPr>
          <w:p w14:paraId="0D723E8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174" w:type="pct"/>
            <w:tcBorders>
              <w:top w:val="nil"/>
              <w:left w:val="nil"/>
              <w:bottom w:val="nil"/>
              <w:right w:val="single" w:sz="4" w:space="0" w:color="auto"/>
            </w:tcBorders>
            <w:shd w:val="clear" w:color="auto" w:fill="auto"/>
            <w:noWrap/>
            <w:vAlign w:val="bottom"/>
          </w:tcPr>
          <w:p w14:paraId="72D482DF"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p>
        </w:tc>
        <w:tc>
          <w:tcPr>
            <w:tcW w:w="261" w:type="pct"/>
            <w:tcBorders>
              <w:top w:val="nil"/>
              <w:left w:val="nil"/>
              <w:bottom w:val="nil"/>
              <w:right w:val="single" w:sz="4" w:space="0" w:color="auto"/>
            </w:tcBorders>
            <w:shd w:val="clear" w:color="auto" w:fill="auto"/>
            <w:noWrap/>
            <w:vAlign w:val="bottom"/>
          </w:tcPr>
          <w:p w14:paraId="5DADA51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r w:rsidRPr="00D34298">
              <w:rPr>
                <w:color w:val="000000"/>
                <w:sz w:val="14"/>
                <w:szCs w:val="14"/>
                <w:lang w:eastAsia="en-GB"/>
              </w:rPr>
              <w:t>354</w:t>
            </w:r>
          </w:p>
        </w:tc>
        <w:tc>
          <w:tcPr>
            <w:tcW w:w="348" w:type="pct"/>
            <w:tcBorders>
              <w:top w:val="nil"/>
              <w:left w:val="nil"/>
              <w:bottom w:val="nil"/>
              <w:right w:val="single" w:sz="4" w:space="0" w:color="auto"/>
            </w:tcBorders>
            <w:shd w:val="clear" w:color="auto" w:fill="auto"/>
            <w:noWrap/>
            <w:vAlign w:val="bottom"/>
          </w:tcPr>
          <w:p w14:paraId="69A240F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Pr>
                <w:color w:val="000000"/>
                <w:sz w:val="14"/>
                <w:szCs w:val="14"/>
                <w:lang w:eastAsia="en-GB"/>
              </w:rPr>
              <w:t>–</w:t>
            </w:r>
            <w:r w:rsidRPr="00D34298">
              <w:rPr>
                <w:color w:val="000000"/>
                <w:sz w:val="14"/>
                <w:szCs w:val="14"/>
                <w:lang w:eastAsia="en-GB"/>
              </w:rPr>
              <w:t>1</w:t>
            </w:r>
            <w:r>
              <w:rPr>
                <w:color w:val="000000"/>
                <w:sz w:val="14"/>
                <w:szCs w:val="14"/>
                <w:lang w:eastAsia="en-GB"/>
              </w:rPr>
              <w:t xml:space="preserve"> </w:t>
            </w:r>
            <w:r w:rsidRPr="00D34298">
              <w:rPr>
                <w:color w:val="000000"/>
                <w:sz w:val="14"/>
                <w:szCs w:val="14"/>
                <w:lang w:eastAsia="en-GB"/>
              </w:rPr>
              <w:t>614</w:t>
            </w:r>
          </w:p>
        </w:tc>
        <w:tc>
          <w:tcPr>
            <w:tcW w:w="301" w:type="pct"/>
            <w:tcBorders>
              <w:top w:val="nil"/>
              <w:left w:val="nil"/>
              <w:bottom w:val="nil"/>
              <w:right w:val="single" w:sz="4" w:space="0" w:color="auto"/>
            </w:tcBorders>
            <w:shd w:val="clear" w:color="auto" w:fill="auto"/>
            <w:noWrap/>
            <w:vAlign w:val="bottom"/>
          </w:tcPr>
          <w:p w14:paraId="10A3EC26"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7</w:t>
            </w:r>
            <w:r>
              <w:rPr>
                <w:b/>
                <w:bCs/>
                <w:sz w:val="14"/>
                <w:szCs w:val="14"/>
                <w:lang w:eastAsia="en-GB"/>
              </w:rPr>
              <w:t xml:space="preserve"> </w:t>
            </w:r>
            <w:r w:rsidRPr="00D34298">
              <w:rPr>
                <w:b/>
                <w:bCs/>
                <w:sz w:val="14"/>
                <w:szCs w:val="14"/>
                <w:lang w:eastAsia="en-GB"/>
              </w:rPr>
              <w:t>824</w:t>
            </w:r>
          </w:p>
        </w:tc>
      </w:tr>
      <w:tr w:rsidR="00761B6C" w:rsidRPr="00236418" w14:paraId="24E75EC1" w14:textId="77777777" w:rsidTr="00B93AE4">
        <w:trPr>
          <w:trHeight w:val="255"/>
          <w:jc w:val="center"/>
        </w:trPr>
        <w:tc>
          <w:tcPr>
            <w:tcW w:w="479" w:type="pct"/>
            <w:tcBorders>
              <w:top w:val="nil"/>
              <w:left w:val="single" w:sz="4" w:space="0" w:color="auto"/>
              <w:right w:val="nil"/>
            </w:tcBorders>
            <w:shd w:val="clear" w:color="auto" w:fill="auto"/>
            <w:hideMark/>
          </w:tcPr>
          <w:p w14:paraId="58FBF310" w14:textId="77777777" w:rsidR="00761B6C" w:rsidRPr="00236418" w:rsidRDefault="00761B6C" w:rsidP="00761B6C">
            <w:pPr>
              <w:pStyle w:val="Tabletext"/>
              <w:spacing w:before="0" w:after="0"/>
              <w:rPr>
                <w:sz w:val="14"/>
                <w:szCs w:val="14"/>
                <w:lang w:eastAsia="zh-CN"/>
              </w:rPr>
            </w:pPr>
            <w:r w:rsidRPr="00236418">
              <w:rPr>
                <w:sz w:val="14"/>
                <w:szCs w:val="14"/>
              </w:rPr>
              <w:t>Charges financières</w:t>
            </w:r>
          </w:p>
        </w:tc>
        <w:tc>
          <w:tcPr>
            <w:tcW w:w="306" w:type="pct"/>
            <w:tcBorders>
              <w:top w:val="nil"/>
              <w:left w:val="single" w:sz="4" w:space="0" w:color="auto"/>
              <w:right w:val="single" w:sz="4" w:space="0" w:color="auto"/>
            </w:tcBorders>
            <w:shd w:val="clear" w:color="auto" w:fill="auto"/>
            <w:noWrap/>
            <w:vAlign w:val="bottom"/>
          </w:tcPr>
          <w:p w14:paraId="54A89EA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62</w:t>
            </w:r>
          </w:p>
        </w:tc>
        <w:tc>
          <w:tcPr>
            <w:tcW w:w="305" w:type="pct"/>
            <w:tcBorders>
              <w:top w:val="nil"/>
              <w:left w:val="nil"/>
              <w:right w:val="single" w:sz="4" w:space="0" w:color="auto"/>
            </w:tcBorders>
            <w:shd w:val="clear" w:color="auto" w:fill="auto"/>
            <w:noWrap/>
            <w:vAlign w:val="bottom"/>
          </w:tcPr>
          <w:p w14:paraId="63DA5CF4"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0</w:t>
            </w:r>
          </w:p>
        </w:tc>
        <w:tc>
          <w:tcPr>
            <w:tcW w:w="348" w:type="pct"/>
            <w:tcBorders>
              <w:top w:val="nil"/>
              <w:left w:val="nil"/>
              <w:right w:val="single" w:sz="4" w:space="0" w:color="auto"/>
            </w:tcBorders>
            <w:shd w:val="clear" w:color="auto" w:fill="auto"/>
            <w:noWrap/>
            <w:vAlign w:val="bottom"/>
          </w:tcPr>
          <w:p w14:paraId="4B2CEE02"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w:t>
            </w:r>
          </w:p>
        </w:tc>
        <w:tc>
          <w:tcPr>
            <w:tcW w:w="347" w:type="pct"/>
            <w:tcBorders>
              <w:top w:val="nil"/>
              <w:left w:val="nil"/>
              <w:right w:val="single" w:sz="4" w:space="0" w:color="auto"/>
            </w:tcBorders>
            <w:shd w:val="clear" w:color="auto" w:fill="auto"/>
            <w:noWrap/>
            <w:vAlign w:val="bottom"/>
          </w:tcPr>
          <w:p w14:paraId="15B395C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9</w:t>
            </w:r>
          </w:p>
        </w:tc>
        <w:tc>
          <w:tcPr>
            <w:tcW w:w="304" w:type="pct"/>
            <w:tcBorders>
              <w:top w:val="nil"/>
              <w:left w:val="nil"/>
              <w:right w:val="nil"/>
            </w:tcBorders>
            <w:shd w:val="clear" w:color="auto" w:fill="auto"/>
            <w:noWrap/>
            <w:vAlign w:val="bottom"/>
          </w:tcPr>
          <w:p w14:paraId="2584A41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11</w:t>
            </w:r>
            <w:r>
              <w:rPr>
                <w:color w:val="000000"/>
                <w:sz w:val="14"/>
                <w:szCs w:val="14"/>
                <w:lang w:eastAsia="en-GB"/>
              </w:rPr>
              <w:t xml:space="preserve"> </w:t>
            </w:r>
            <w:r w:rsidRPr="00D34298">
              <w:rPr>
                <w:color w:val="000000"/>
                <w:sz w:val="14"/>
                <w:szCs w:val="14"/>
                <w:lang w:eastAsia="en-GB"/>
              </w:rPr>
              <w:t>687</w:t>
            </w:r>
          </w:p>
        </w:tc>
        <w:tc>
          <w:tcPr>
            <w:tcW w:w="304" w:type="pct"/>
            <w:tcBorders>
              <w:top w:val="nil"/>
              <w:left w:val="single" w:sz="4" w:space="0" w:color="auto"/>
              <w:right w:val="single" w:sz="4" w:space="0" w:color="auto"/>
            </w:tcBorders>
            <w:shd w:val="clear" w:color="auto" w:fill="auto"/>
            <w:noWrap/>
            <w:vAlign w:val="bottom"/>
          </w:tcPr>
          <w:p w14:paraId="6C98E3AB"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11</w:t>
            </w:r>
            <w:r>
              <w:rPr>
                <w:b/>
                <w:bCs/>
                <w:color w:val="000000"/>
                <w:sz w:val="14"/>
                <w:szCs w:val="14"/>
                <w:lang w:eastAsia="en-GB"/>
              </w:rPr>
              <w:t xml:space="preserve"> </w:t>
            </w:r>
            <w:r w:rsidRPr="00D34298">
              <w:rPr>
                <w:b/>
                <w:bCs/>
                <w:color w:val="000000"/>
                <w:sz w:val="14"/>
                <w:szCs w:val="14"/>
                <w:lang w:eastAsia="en-GB"/>
              </w:rPr>
              <w:t>759</w:t>
            </w:r>
          </w:p>
        </w:tc>
        <w:tc>
          <w:tcPr>
            <w:tcW w:w="262" w:type="pct"/>
            <w:tcBorders>
              <w:top w:val="nil"/>
              <w:left w:val="nil"/>
              <w:right w:val="single" w:sz="4" w:space="0" w:color="auto"/>
            </w:tcBorders>
            <w:shd w:val="clear" w:color="auto" w:fill="auto"/>
            <w:noWrap/>
            <w:vAlign w:val="bottom"/>
          </w:tcPr>
          <w:p w14:paraId="40630FFB"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0</w:t>
            </w:r>
          </w:p>
        </w:tc>
        <w:tc>
          <w:tcPr>
            <w:tcW w:w="245" w:type="pct"/>
            <w:tcBorders>
              <w:top w:val="nil"/>
              <w:left w:val="nil"/>
              <w:right w:val="single" w:sz="4" w:space="0" w:color="auto"/>
            </w:tcBorders>
            <w:shd w:val="clear" w:color="auto" w:fill="auto"/>
            <w:vAlign w:val="bottom"/>
          </w:tcPr>
          <w:p w14:paraId="3368E993"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345</w:t>
            </w:r>
          </w:p>
        </w:tc>
        <w:tc>
          <w:tcPr>
            <w:tcW w:w="249" w:type="pct"/>
            <w:tcBorders>
              <w:top w:val="nil"/>
              <w:left w:val="nil"/>
              <w:right w:val="single" w:sz="4" w:space="0" w:color="auto"/>
            </w:tcBorders>
            <w:shd w:val="clear" w:color="auto" w:fill="auto"/>
            <w:noWrap/>
            <w:vAlign w:val="bottom"/>
          </w:tcPr>
          <w:p w14:paraId="5AD57AA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414</w:t>
            </w:r>
          </w:p>
        </w:tc>
        <w:tc>
          <w:tcPr>
            <w:tcW w:w="322" w:type="pct"/>
            <w:tcBorders>
              <w:top w:val="nil"/>
              <w:left w:val="nil"/>
              <w:right w:val="single" w:sz="4" w:space="0" w:color="auto"/>
            </w:tcBorders>
            <w:shd w:val="clear" w:color="auto" w:fill="auto"/>
            <w:noWrap/>
            <w:vAlign w:val="bottom"/>
          </w:tcPr>
          <w:p w14:paraId="4ACE3E3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 xml:space="preserve"> 483</w:t>
            </w:r>
          </w:p>
        </w:tc>
        <w:tc>
          <w:tcPr>
            <w:tcW w:w="227" w:type="pct"/>
            <w:tcBorders>
              <w:top w:val="nil"/>
              <w:left w:val="nil"/>
              <w:right w:val="single" w:sz="4" w:space="0" w:color="auto"/>
            </w:tcBorders>
            <w:shd w:val="clear" w:color="auto" w:fill="auto"/>
            <w:noWrap/>
            <w:vAlign w:val="bottom"/>
          </w:tcPr>
          <w:p w14:paraId="65369C80"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w:t>
            </w:r>
            <w:r>
              <w:rPr>
                <w:color w:val="000000"/>
                <w:sz w:val="14"/>
                <w:szCs w:val="14"/>
                <w:lang w:eastAsia="en-GB"/>
              </w:rPr>
              <w:t xml:space="preserve"> </w:t>
            </w:r>
            <w:r w:rsidRPr="00D34298">
              <w:rPr>
                <w:color w:val="000000"/>
                <w:sz w:val="14"/>
                <w:szCs w:val="14"/>
                <w:lang w:eastAsia="en-GB"/>
              </w:rPr>
              <w:t>485</w:t>
            </w:r>
          </w:p>
        </w:tc>
        <w:tc>
          <w:tcPr>
            <w:tcW w:w="218" w:type="pct"/>
            <w:tcBorders>
              <w:top w:val="nil"/>
              <w:left w:val="nil"/>
              <w:right w:val="single" w:sz="4" w:space="0" w:color="auto"/>
            </w:tcBorders>
            <w:shd w:val="clear" w:color="auto" w:fill="auto"/>
            <w:noWrap/>
            <w:vAlign w:val="bottom"/>
          </w:tcPr>
          <w:p w14:paraId="7B1EBB61"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151</w:t>
            </w:r>
          </w:p>
        </w:tc>
        <w:tc>
          <w:tcPr>
            <w:tcW w:w="174" w:type="pct"/>
            <w:tcBorders>
              <w:top w:val="nil"/>
              <w:left w:val="nil"/>
              <w:right w:val="single" w:sz="4" w:space="0" w:color="auto"/>
            </w:tcBorders>
            <w:shd w:val="clear" w:color="auto" w:fill="auto"/>
            <w:noWrap/>
            <w:vAlign w:val="bottom"/>
          </w:tcPr>
          <w:p w14:paraId="6507731E"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243</w:t>
            </w:r>
          </w:p>
        </w:tc>
        <w:tc>
          <w:tcPr>
            <w:tcW w:w="261" w:type="pct"/>
            <w:tcBorders>
              <w:top w:val="nil"/>
              <w:left w:val="nil"/>
              <w:right w:val="single" w:sz="4" w:space="0" w:color="auto"/>
            </w:tcBorders>
            <w:shd w:val="clear" w:color="auto" w:fill="auto"/>
            <w:noWrap/>
            <w:vAlign w:val="bottom"/>
          </w:tcPr>
          <w:p w14:paraId="69D841E7"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r w:rsidRPr="00D34298">
              <w:rPr>
                <w:color w:val="000000"/>
                <w:sz w:val="14"/>
                <w:szCs w:val="14"/>
                <w:lang w:eastAsia="en-GB"/>
              </w:rPr>
              <w:t>9</w:t>
            </w:r>
          </w:p>
        </w:tc>
        <w:tc>
          <w:tcPr>
            <w:tcW w:w="348" w:type="pct"/>
            <w:tcBorders>
              <w:top w:val="nil"/>
              <w:left w:val="nil"/>
              <w:right w:val="single" w:sz="4" w:space="0" w:color="auto"/>
            </w:tcBorders>
            <w:shd w:val="clear" w:color="auto" w:fill="auto"/>
            <w:noWrap/>
            <w:vAlign w:val="bottom"/>
          </w:tcPr>
          <w:p w14:paraId="28652C5C"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p>
        </w:tc>
        <w:tc>
          <w:tcPr>
            <w:tcW w:w="301" w:type="pct"/>
            <w:tcBorders>
              <w:top w:val="nil"/>
              <w:left w:val="nil"/>
              <w:right w:val="single" w:sz="4" w:space="0" w:color="auto"/>
            </w:tcBorders>
            <w:shd w:val="clear" w:color="auto" w:fill="auto"/>
            <w:noWrap/>
            <w:vAlign w:val="bottom"/>
          </w:tcPr>
          <w:p w14:paraId="4C639F69" w14:textId="77777777" w:rsidR="00761B6C" w:rsidRPr="00D34298" w:rsidRDefault="00761B6C" w:rsidP="00761B6C">
            <w:pPr>
              <w:pStyle w:val="Tabletext"/>
              <w:spacing w:before="0"/>
              <w:jc w:val="right"/>
              <w:rPr>
                <w:rFonts w:asciiTheme="minorHAnsi" w:hAnsiTheme="minorHAnsi" w:cs="Arial"/>
                <w:b/>
                <w:bCs/>
                <w:sz w:val="14"/>
                <w:szCs w:val="14"/>
                <w:lang w:eastAsia="zh-CN"/>
              </w:rPr>
            </w:pPr>
            <w:r w:rsidRPr="00D34298">
              <w:rPr>
                <w:b/>
                <w:bCs/>
                <w:sz w:val="14"/>
                <w:szCs w:val="14"/>
                <w:lang w:eastAsia="en-GB"/>
              </w:rPr>
              <w:t>15</w:t>
            </w:r>
            <w:r>
              <w:rPr>
                <w:b/>
                <w:bCs/>
                <w:sz w:val="14"/>
                <w:szCs w:val="14"/>
                <w:lang w:eastAsia="en-GB"/>
              </w:rPr>
              <w:t xml:space="preserve"> </w:t>
            </w:r>
            <w:r w:rsidRPr="00D34298">
              <w:rPr>
                <w:b/>
                <w:bCs/>
                <w:sz w:val="14"/>
                <w:szCs w:val="14"/>
                <w:lang w:eastAsia="en-GB"/>
              </w:rPr>
              <w:t>889</w:t>
            </w:r>
          </w:p>
        </w:tc>
      </w:tr>
      <w:tr w:rsidR="00761B6C" w:rsidRPr="00236418" w14:paraId="33E90934" w14:textId="77777777" w:rsidTr="00B93AE4">
        <w:trPr>
          <w:trHeight w:val="255"/>
          <w:jc w:val="center"/>
        </w:trPr>
        <w:tc>
          <w:tcPr>
            <w:tcW w:w="479" w:type="pct"/>
            <w:tcBorders>
              <w:top w:val="nil"/>
              <w:left w:val="single" w:sz="4" w:space="0" w:color="auto"/>
              <w:right w:val="nil"/>
            </w:tcBorders>
            <w:shd w:val="clear" w:color="auto" w:fill="auto"/>
          </w:tcPr>
          <w:p w14:paraId="5B2AE342" w14:textId="77777777" w:rsidR="00761B6C" w:rsidRPr="00236418" w:rsidRDefault="00761B6C" w:rsidP="00761B6C">
            <w:pPr>
              <w:pStyle w:val="Tabletext"/>
              <w:spacing w:before="0" w:after="0"/>
              <w:rPr>
                <w:sz w:val="14"/>
                <w:szCs w:val="14"/>
              </w:rPr>
            </w:pPr>
          </w:p>
        </w:tc>
        <w:tc>
          <w:tcPr>
            <w:tcW w:w="306" w:type="pct"/>
            <w:tcBorders>
              <w:top w:val="nil"/>
              <w:left w:val="single" w:sz="4" w:space="0" w:color="auto"/>
              <w:right w:val="single" w:sz="4" w:space="0" w:color="auto"/>
            </w:tcBorders>
            <w:shd w:val="clear" w:color="auto" w:fill="auto"/>
            <w:noWrap/>
            <w:vAlign w:val="bottom"/>
          </w:tcPr>
          <w:p w14:paraId="175D5051" w14:textId="77777777" w:rsidR="00761B6C" w:rsidRPr="00D34298" w:rsidRDefault="00761B6C" w:rsidP="00761B6C">
            <w:pPr>
              <w:pStyle w:val="Tabletext"/>
              <w:spacing w:before="0"/>
              <w:jc w:val="right"/>
              <w:rPr>
                <w:color w:val="000000"/>
                <w:sz w:val="14"/>
                <w:szCs w:val="14"/>
                <w:lang w:eastAsia="en-GB"/>
              </w:rPr>
            </w:pPr>
          </w:p>
        </w:tc>
        <w:tc>
          <w:tcPr>
            <w:tcW w:w="305" w:type="pct"/>
            <w:tcBorders>
              <w:top w:val="nil"/>
              <w:left w:val="nil"/>
              <w:right w:val="single" w:sz="4" w:space="0" w:color="auto"/>
            </w:tcBorders>
            <w:shd w:val="clear" w:color="auto" w:fill="auto"/>
            <w:noWrap/>
            <w:vAlign w:val="bottom"/>
          </w:tcPr>
          <w:p w14:paraId="71DEF822" w14:textId="77777777" w:rsidR="00761B6C" w:rsidRPr="00D34298" w:rsidRDefault="00761B6C" w:rsidP="00761B6C">
            <w:pPr>
              <w:pStyle w:val="Tabletext"/>
              <w:spacing w:before="0"/>
              <w:jc w:val="right"/>
              <w:rPr>
                <w:color w:val="000000"/>
                <w:sz w:val="14"/>
                <w:szCs w:val="14"/>
                <w:lang w:eastAsia="en-GB"/>
              </w:rPr>
            </w:pPr>
          </w:p>
        </w:tc>
        <w:tc>
          <w:tcPr>
            <w:tcW w:w="348" w:type="pct"/>
            <w:tcBorders>
              <w:top w:val="nil"/>
              <w:left w:val="nil"/>
              <w:right w:val="single" w:sz="4" w:space="0" w:color="auto"/>
            </w:tcBorders>
            <w:shd w:val="clear" w:color="auto" w:fill="auto"/>
            <w:noWrap/>
            <w:vAlign w:val="bottom"/>
          </w:tcPr>
          <w:p w14:paraId="11E21FD9" w14:textId="77777777" w:rsidR="00761B6C" w:rsidRPr="00D34298" w:rsidRDefault="00761B6C" w:rsidP="00761B6C">
            <w:pPr>
              <w:pStyle w:val="Tabletext"/>
              <w:spacing w:before="0"/>
              <w:jc w:val="right"/>
              <w:rPr>
                <w:color w:val="000000"/>
                <w:sz w:val="14"/>
                <w:szCs w:val="14"/>
                <w:lang w:eastAsia="en-GB"/>
              </w:rPr>
            </w:pPr>
          </w:p>
        </w:tc>
        <w:tc>
          <w:tcPr>
            <w:tcW w:w="347" w:type="pct"/>
            <w:tcBorders>
              <w:top w:val="nil"/>
              <w:left w:val="nil"/>
              <w:right w:val="single" w:sz="4" w:space="0" w:color="auto"/>
            </w:tcBorders>
            <w:shd w:val="clear" w:color="auto" w:fill="auto"/>
            <w:noWrap/>
            <w:vAlign w:val="bottom"/>
          </w:tcPr>
          <w:p w14:paraId="2AEC8619" w14:textId="77777777" w:rsidR="00761B6C" w:rsidRPr="00D34298" w:rsidRDefault="00761B6C" w:rsidP="00761B6C">
            <w:pPr>
              <w:pStyle w:val="Tabletext"/>
              <w:spacing w:before="0"/>
              <w:jc w:val="right"/>
              <w:rPr>
                <w:color w:val="000000"/>
                <w:sz w:val="14"/>
                <w:szCs w:val="14"/>
                <w:lang w:eastAsia="en-GB"/>
              </w:rPr>
            </w:pPr>
          </w:p>
        </w:tc>
        <w:tc>
          <w:tcPr>
            <w:tcW w:w="304" w:type="pct"/>
            <w:tcBorders>
              <w:top w:val="nil"/>
              <w:left w:val="nil"/>
              <w:right w:val="nil"/>
            </w:tcBorders>
            <w:shd w:val="clear" w:color="auto" w:fill="auto"/>
            <w:noWrap/>
            <w:vAlign w:val="bottom"/>
          </w:tcPr>
          <w:p w14:paraId="4EE144BF" w14:textId="77777777" w:rsidR="00761B6C" w:rsidRPr="00D34298" w:rsidRDefault="00761B6C" w:rsidP="00761B6C">
            <w:pPr>
              <w:pStyle w:val="Tabletext"/>
              <w:spacing w:before="0"/>
              <w:jc w:val="right"/>
              <w:rPr>
                <w:color w:val="000000"/>
                <w:sz w:val="14"/>
                <w:szCs w:val="14"/>
                <w:lang w:eastAsia="en-GB"/>
              </w:rPr>
            </w:pPr>
          </w:p>
        </w:tc>
        <w:tc>
          <w:tcPr>
            <w:tcW w:w="304" w:type="pct"/>
            <w:tcBorders>
              <w:top w:val="nil"/>
              <w:left w:val="single" w:sz="4" w:space="0" w:color="auto"/>
              <w:right w:val="single" w:sz="4" w:space="0" w:color="auto"/>
            </w:tcBorders>
            <w:shd w:val="clear" w:color="auto" w:fill="auto"/>
            <w:noWrap/>
            <w:vAlign w:val="bottom"/>
          </w:tcPr>
          <w:p w14:paraId="33174128" w14:textId="77777777" w:rsidR="00761B6C" w:rsidRPr="00D34298" w:rsidRDefault="00761B6C" w:rsidP="00761B6C">
            <w:pPr>
              <w:pStyle w:val="Tabletext"/>
              <w:spacing w:before="0"/>
              <w:jc w:val="right"/>
              <w:rPr>
                <w:b/>
                <w:bCs/>
                <w:color w:val="000000"/>
                <w:sz w:val="14"/>
                <w:szCs w:val="14"/>
                <w:lang w:eastAsia="en-GB"/>
              </w:rPr>
            </w:pPr>
          </w:p>
        </w:tc>
        <w:tc>
          <w:tcPr>
            <w:tcW w:w="262" w:type="pct"/>
            <w:tcBorders>
              <w:top w:val="nil"/>
              <w:left w:val="nil"/>
              <w:right w:val="single" w:sz="4" w:space="0" w:color="auto"/>
            </w:tcBorders>
            <w:shd w:val="clear" w:color="auto" w:fill="auto"/>
            <w:noWrap/>
            <w:vAlign w:val="bottom"/>
          </w:tcPr>
          <w:p w14:paraId="1E2B7958" w14:textId="77777777" w:rsidR="00761B6C" w:rsidRPr="00D34298" w:rsidRDefault="00761B6C" w:rsidP="00761B6C">
            <w:pPr>
              <w:pStyle w:val="Tabletext"/>
              <w:spacing w:before="0"/>
              <w:jc w:val="right"/>
              <w:rPr>
                <w:color w:val="000000"/>
                <w:sz w:val="14"/>
                <w:szCs w:val="14"/>
                <w:lang w:eastAsia="en-GB"/>
              </w:rPr>
            </w:pPr>
          </w:p>
        </w:tc>
        <w:tc>
          <w:tcPr>
            <w:tcW w:w="245" w:type="pct"/>
            <w:tcBorders>
              <w:top w:val="nil"/>
              <w:left w:val="nil"/>
              <w:right w:val="single" w:sz="4" w:space="0" w:color="auto"/>
            </w:tcBorders>
            <w:shd w:val="clear" w:color="auto" w:fill="auto"/>
            <w:vAlign w:val="bottom"/>
          </w:tcPr>
          <w:p w14:paraId="04DAE855" w14:textId="77777777" w:rsidR="00761B6C" w:rsidRPr="00D34298" w:rsidRDefault="00761B6C" w:rsidP="00761B6C">
            <w:pPr>
              <w:pStyle w:val="Tabletext"/>
              <w:spacing w:before="0"/>
              <w:jc w:val="right"/>
              <w:rPr>
                <w:color w:val="000000"/>
                <w:sz w:val="14"/>
                <w:szCs w:val="14"/>
                <w:lang w:eastAsia="en-GB"/>
              </w:rPr>
            </w:pPr>
          </w:p>
        </w:tc>
        <w:tc>
          <w:tcPr>
            <w:tcW w:w="249" w:type="pct"/>
            <w:tcBorders>
              <w:top w:val="nil"/>
              <w:left w:val="nil"/>
              <w:right w:val="single" w:sz="4" w:space="0" w:color="auto"/>
            </w:tcBorders>
            <w:shd w:val="clear" w:color="auto" w:fill="auto"/>
            <w:noWrap/>
            <w:vAlign w:val="bottom"/>
          </w:tcPr>
          <w:p w14:paraId="5D0FC3AB" w14:textId="77777777" w:rsidR="00761B6C" w:rsidRPr="00D34298" w:rsidRDefault="00761B6C" w:rsidP="00761B6C">
            <w:pPr>
              <w:pStyle w:val="Tabletext"/>
              <w:spacing w:before="0"/>
              <w:jc w:val="right"/>
              <w:rPr>
                <w:color w:val="000000"/>
                <w:sz w:val="14"/>
                <w:szCs w:val="14"/>
                <w:lang w:eastAsia="en-GB"/>
              </w:rPr>
            </w:pPr>
          </w:p>
        </w:tc>
        <w:tc>
          <w:tcPr>
            <w:tcW w:w="322" w:type="pct"/>
            <w:tcBorders>
              <w:top w:val="nil"/>
              <w:left w:val="nil"/>
              <w:right w:val="single" w:sz="4" w:space="0" w:color="auto"/>
            </w:tcBorders>
            <w:shd w:val="clear" w:color="auto" w:fill="auto"/>
            <w:noWrap/>
            <w:vAlign w:val="bottom"/>
          </w:tcPr>
          <w:p w14:paraId="40D25934" w14:textId="77777777" w:rsidR="00761B6C" w:rsidRPr="00D34298" w:rsidRDefault="00761B6C" w:rsidP="00761B6C">
            <w:pPr>
              <w:pStyle w:val="Tabletext"/>
              <w:spacing w:before="0"/>
              <w:jc w:val="right"/>
              <w:rPr>
                <w:color w:val="000000"/>
                <w:sz w:val="14"/>
                <w:szCs w:val="14"/>
                <w:lang w:eastAsia="en-GB"/>
              </w:rPr>
            </w:pPr>
          </w:p>
        </w:tc>
        <w:tc>
          <w:tcPr>
            <w:tcW w:w="227" w:type="pct"/>
            <w:tcBorders>
              <w:top w:val="nil"/>
              <w:left w:val="nil"/>
              <w:right w:val="single" w:sz="4" w:space="0" w:color="auto"/>
            </w:tcBorders>
            <w:shd w:val="clear" w:color="auto" w:fill="auto"/>
            <w:noWrap/>
            <w:vAlign w:val="bottom"/>
          </w:tcPr>
          <w:p w14:paraId="60B4F0D0" w14:textId="77777777" w:rsidR="00761B6C" w:rsidRPr="00D34298" w:rsidRDefault="00761B6C" w:rsidP="00761B6C">
            <w:pPr>
              <w:pStyle w:val="Tabletext"/>
              <w:spacing w:before="0"/>
              <w:jc w:val="right"/>
              <w:rPr>
                <w:color w:val="000000"/>
                <w:sz w:val="14"/>
                <w:szCs w:val="14"/>
                <w:lang w:eastAsia="en-GB"/>
              </w:rPr>
            </w:pPr>
          </w:p>
        </w:tc>
        <w:tc>
          <w:tcPr>
            <w:tcW w:w="218" w:type="pct"/>
            <w:tcBorders>
              <w:top w:val="nil"/>
              <w:left w:val="nil"/>
              <w:right w:val="single" w:sz="4" w:space="0" w:color="auto"/>
            </w:tcBorders>
            <w:shd w:val="clear" w:color="auto" w:fill="auto"/>
            <w:noWrap/>
            <w:vAlign w:val="bottom"/>
          </w:tcPr>
          <w:p w14:paraId="18873BFF" w14:textId="77777777" w:rsidR="00761B6C" w:rsidRPr="00D34298" w:rsidRDefault="00761B6C" w:rsidP="00761B6C">
            <w:pPr>
              <w:pStyle w:val="Tabletext"/>
              <w:spacing w:before="0"/>
              <w:jc w:val="right"/>
              <w:rPr>
                <w:color w:val="000000"/>
                <w:sz w:val="14"/>
                <w:szCs w:val="14"/>
                <w:lang w:eastAsia="en-GB"/>
              </w:rPr>
            </w:pPr>
          </w:p>
        </w:tc>
        <w:tc>
          <w:tcPr>
            <w:tcW w:w="174" w:type="pct"/>
            <w:tcBorders>
              <w:top w:val="nil"/>
              <w:left w:val="nil"/>
              <w:right w:val="single" w:sz="4" w:space="0" w:color="auto"/>
            </w:tcBorders>
            <w:shd w:val="clear" w:color="auto" w:fill="auto"/>
            <w:noWrap/>
            <w:vAlign w:val="bottom"/>
          </w:tcPr>
          <w:p w14:paraId="171576B6" w14:textId="77777777" w:rsidR="00761B6C" w:rsidRPr="00D34298" w:rsidRDefault="00761B6C" w:rsidP="00761B6C">
            <w:pPr>
              <w:pStyle w:val="Tabletext"/>
              <w:spacing w:before="0"/>
              <w:jc w:val="right"/>
              <w:rPr>
                <w:color w:val="000000"/>
                <w:sz w:val="14"/>
                <w:szCs w:val="14"/>
                <w:lang w:eastAsia="en-GB"/>
              </w:rPr>
            </w:pPr>
          </w:p>
        </w:tc>
        <w:tc>
          <w:tcPr>
            <w:tcW w:w="261" w:type="pct"/>
            <w:tcBorders>
              <w:top w:val="nil"/>
              <w:left w:val="nil"/>
              <w:right w:val="single" w:sz="4" w:space="0" w:color="auto"/>
            </w:tcBorders>
            <w:shd w:val="clear" w:color="auto" w:fill="auto"/>
            <w:noWrap/>
            <w:vAlign w:val="bottom"/>
          </w:tcPr>
          <w:p w14:paraId="2D77EC20" w14:textId="77777777" w:rsidR="00761B6C" w:rsidRPr="00D34298" w:rsidRDefault="00761B6C" w:rsidP="00761B6C">
            <w:pPr>
              <w:pStyle w:val="Tabletext"/>
              <w:spacing w:before="0"/>
              <w:jc w:val="right"/>
              <w:rPr>
                <w:color w:val="000000"/>
                <w:sz w:val="14"/>
                <w:szCs w:val="14"/>
                <w:lang w:eastAsia="en-GB"/>
              </w:rPr>
            </w:pPr>
          </w:p>
        </w:tc>
        <w:tc>
          <w:tcPr>
            <w:tcW w:w="348" w:type="pct"/>
            <w:tcBorders>
              <w:top w:val="nil"/>
              <w:left w:val="nil"/>
              <w:right w:val="single" w:sz="4" w:space="0" w:color="auto"/>
            </w:tcBorders>
            <w:shd w:val="clear" w:color="auto" w:fill="auto"/>
            <w:noWrap/>
            <w:vAlign w:val="bottom"/>
          </w:tcPr>
          <w:p w14:paraId="6CAA5074" w14:textId="77777777" w:rsidR="00761B6C" w:rsidRPr="00D34298" w:rsidRDefault="00761B6C" w:rsidP="00761B6C">
            <w:pPr>
              <w:pStyle w:val="Tabletext"/>
              <w:spacing w:before="0"/>
              <w:jc w:val="right"/>
              <w:rPr>
                <w:rFonts w:asciiTheme="minorHAnsi" w:hAnsiTheme="minorHAnsi" w:cs="Arial"/>
                <w:color w:val="000000"/>
                <w:sz w:val="14"/>
                <w:szCs w:val="14"/>
                <w:lang w:eastAsia="zh-CN"/>
              </w:rPr>
            </w:pPr>
          </w:p>
        </w:tc>
        <w:tc>
          <w:tcPr>
            <w:tcW w:w="301" w:type="pct"/>
            <w:tcBorders>
              <w:top w:val="nil"/>
              <w:left w:val="nil"/>
              <w:right w:val="single" w:sz="4" w:space="0" w:color="auto"/>
            </w:tcBorders>
            <w:shd w:val="clear" w:color="auto" w:fill="auto"/>
            <w:noWrap/>
            <w:vAlign w:val="bottom"/>
          </w:tcPr>
          <w:p w14:paraId="5CDD6142" w14:textId="77777777" w:rsidR="00761B6C" w:rsidRPr="00D34298" w:rsidRDefault="00761B6C" w:rsidP="00761B6C">
            <w:pPr>
              <w:pStyle w:val="Tabletext"/>
              <w:spacing w:before="0"/>
              <w:jc w:val="right"/>
              <w:rPr>
                <w:b/>
                <w:bCs/>
                <w:sz w:val="14"/>
                <w:szCs w:val="14"/>
                <w:lang w:eastAsia="en-GB"/>
              </w:rPr>
            </w:pPr>
          </w:p>
        </w:tc>
      </w:tr>
      <w:tr w:rsidR="00761B6C" w:rsidRPr="00236418" w14:paraId="71A3A927" w14:textId="77777777" w:rsidTr="00B93AE4">
        <w:trPr>
          <w:trHeight w:val="255"/>
          <w:jc w:val="center"/>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0E12DCC5" w14:textId="77777777" w:rsidR="00761B6C" w:rsidRPr="00236418" w:rsidRDefault="00761B6C" w:rsidP="00761B6C">
            <w:pPr>
              <w:pStyle w:val="Tabletext"/>
              <w:spacing w:before="0" w:after="0"/>
              <w:rPr>
                <w:b/>
                <w:bCs/>
                <w:sz w:val="14"/>
                <w:szCs w:val="14"/>
                <w:lang w:eastAsia="zh-CN"/>
              </w:rPr>
            </w:pPr>
            <w:r w:rsidRPr="00236418">
              <w:rPr>
                <w:b/>
                <w:bCs/>
                <w:sz w:val="14"/>
                <w:szCs w:val="14"/>
                <w:lang w:eastAsia="zh-CN"/>
              </w:rPr>
              <w:t>Total des charges</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C32FC"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71</w:t>
            </w:r>
            <w:r>
              <w:rPr>
                <w:b/>
                <w:bCs/>
                <w:color w:val="000000"/>
                <w:sz w:val="14"/>
                <w:szCs w:val="14"/>
                <w:lang w:eastAsia="en-GB"/>
              </w:rPr>
              <w:t xml:space="preserve"> </w:t>
            </w:r>
            <w:r w:rsidRPr="00D34298">
              <w:rPr>
                <w:b/>
                <w:bCs/>
                <w:color w:val="000000"/>
                <w:sz w:val="14"/>
                <w:szCs w:val="14"/>
                <w:lang w:eastAsia="en-GB"/>
              </w:rPr>
              <w:t>275</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5D2C909D"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27</w:t>
            </w:r>
            <w:r>
              <w:rPr>
                <w:b/>
                <w:bCs/>
                <w:color w:val="000000"/>
                <w:sz w:val="14"/>
                <w:szCs w:val="14"/>
                <w:lang w:eastAsia="en-GB"/>
              </w:rPr>
              <w:t xml:space="preserve"> </w:t>
            </w:r>
            <w:r w:rsidRPr="00D34298">
              <w:rPr>
                <w:b/>
                <w:bCs/>
                <w:color w:val="000000"/>
                <w:sz w:val="14"/>
                <w:szCs w:val="14"/>
                <w:lang w:eastAsia="en-GB"/>
              </w:rPr>
              <w:t>312</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11B4B12D"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12</w:t>
            </w:r>
            <w:r>
              <w:rPr>
                <w:b/>
                <w:bCs/>
                <w:color w:val="000000"/>
                <w:sz w:val="14"/>
                <w:szCs w:val="14"/>
                <w:lang w:eastAsia="en-GB"/>
              </w:rPr>
              <w:t xml:space="preserve"> </w:t>
            </w:r>
            <w:r w:rsidRPr="00D34298">
              <w:rPr>
                <w:b/>
                <w:bCs/>
                <w:color w:val="000000"/>
                <w:sz w:val="14"/>
                <w:szCs w:val="14"/>
                <w:lang w:eastAsia="en-GB"/>
              </w:rPr>
              <w:t>949</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5BFDD287"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29</w:t>
            </w:r>
            <w:r>
              <w:rPr>
                <w:b/>
                <w:bCs/>
                <w:color w:val="000000"/>
                <w:sz w:val="14"/>
                <w:szCs w:val="14"/>
                <w:lang w:eastAsia="en-GB"/>
              </w:rPr>
              <w:t xml:space="preserve"> </w:t>
            </w:r>
            <w:r w:rsidRPr="00D34298">
              <w:rPr>
                <w:b/>
                <w:bCs/>
                <w:color w:val="000000"/>
                <w:sz w:val="14"/>
                <w:szCs w:val="14"/>
                <w:lang w:eastAsia="en-GB"/>
              </w:rPr>
              <w:t>799</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3827450"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64</w:t>
            </w:r>
            <w:r>
              <w:rPr>
                <w:b/>
                <w:bCs/>
                <w:color w:val="000000"/>
                <w:sz w:val="14"/>
                <w:szCs w:val="14"/>
                <w:lang w:eastAsia="en-GB"/>
              </w:rPr>
              <w:t xml:space="preserve"> </w:t>
            </w:r>
            <w:r w:rsidRPr="00D34298">
              <w:rPr>
                <w:b/>
                <w:bCs/>
                <w:color w:val="000000"/>
                <w:sz w:val="14"/>
                <w:szCs w:val="14"/>
                <w:lang w:eastAsia="en-GB"/>
              </w:rPr>
              <w:t>737</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2EB4F0CA"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206</w:t>
            </w:r>
            <w:r>
              <w:rPr>
                <w:b/>
                <w:bCs/>
                <w:color w:val="000000"/>
                <w:sz w:val="14"/>
                <w:szCs w:val="14"/>
                <w:lang w:eastAsia="en-GB"/>
              </w:rPr>
              <w:t xml:space="preserve"> </w:t>
            </w:r>
            <w:r w:rsidRPr="00D34298">
              <w:rPr>
                <w:b/>
                <w:bCs/>
                <w:color w:val="000000"/>
                <w:sz w:val="14"/>
                <w:szCs w:val="14"/>
                <w:lang w:eastAsia="en-GB"/>
              </w:rPr>
              <w:t>072</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E86330C"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0</w:t>
            </w:r>
          </w:p>
        </w:tc>
        <w:tc>
          <w:tcPr>
            <w:tcW w:w="245" w:type="pct"/>
            <w:tcBorders>
              <w:top w:val="single" w:sz="4" w:space="0" w:color="auto"/>
              <w:left w:val="nil"/>
              <w:bottom w:val="single" w:sz="4" w:space="0" w:color="auto"/>
              <w:right w:val="single" w:sz="4" w:space="0" w:color="auto"/>
            </w:tcBorders>
            <w:shd w:val="clear" w:color="auto" w:fill="auto"/>
            <w:vAlign w:val="center"/>
          </w:tcPr>
          <w:p w14:paraId="2D614002"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346</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06E14EE4"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 xml:space="preserve">431 </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0C9C4338"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3</w:t>
            </w:r>
            <w:r>
              <w:rPr>
                <w:b/>
                <w:bCs/>
                <w:color w:val="000000"/>
                <w:sz w:val="14"/>
                <w:szCs w:val="14"/>
                <w:lang w:eastAsia="en-GB"/>
              </w:rPr>
              <w:t xml:space="preserve"> </w:t>
            </w:r>
            <w:r w:rsidRPr="00D34298">
              <w:rPr>
                <w:b/>
                <w:bCs/>
                <w:color w:val="000000"/>
                <w:sz w:val="14"/>
                <w:szCs w:val="14"/>
                <w:lang w:eastAsia="en-GB"/>
              </w:rPr>
              <w:t>272</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1CB6C45"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6</w:t>
            </w:r>
            <w:r>
              <w:rPr>
                <w:b/>
                <w:bCs/>
                <w:color w:val="000000"/>
                <w:sz w:val="14"/>
                <w:szCs w:val="14"/>
                <w:lang w:eastAsia="en-GB"/>
              </w:rPr>
              <w:t xml:space="preserve"> </w:t>
            </w:r>
            <w:r w:rsidRPr="00D34298">
              <w:rPr>
                <w:b/>
                <w:bCs/>
                <w:color w:val="000000"/>
                <w:sz w:val="14"/>
                <w:szCs w:val="14"/>
                <w:lang w:eastAsia="en-GB"/>
              </w:rPr>
              <w:t>762</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5405845B"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151</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72B38979"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243</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6CADCECE"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970</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2E3ABBF"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614</w:t>
            </w:r>
          </w:p>
        </w:tc>
        <w:tc>
          <w:tcPr>
            <w:tcW w:w="301" w:type="pct"/>
            <w:tcBorders>
              <w:top w:val="single" w:sz="4" w:space="0" w:color="auto"/>
              <w:left w:val="nil"/>
              <w:bottom w:val="single" w:sz="4" w:space="0" w:color="auto"/>
              <w:right w:val="single" w:sz="4" w:space="0" w:color="auto"/>
            </w:tcBorders>
            <w:shd w:val="clear" w:color="auto" w:fill="auto"/>
            <w:noWrap/>
            <w:vAlign w:val="center"/>
          </w:tcPr>
          <w:p w14:paraId="5340A26A" w14:textId="77777777" w:rsidR="00761B6C" w:rsidRPr="00D34298" w:rsidRDefault="00761B6C" w:rsidP="00761B6C">
            <w:pPr>
              <w:pStyle w:val="Tabletext"/>
              <w:spacing w:before="0"/>
              <w:jc w:val="right"/>
              <w:rPr>
                <w:rFonts w:asciiTheme="minorHAnsi" w:hAnsiTheme="minorHAnsi" w:cs="Arial"/>
                <w:b/>
                <w:bCs/>
                <w:color w:val="000000"/>
                <w:sz w:val="14"/>
                <w:szCs w:val="14"/>
                <w:lang w:eastAsia="zh-CN"/>
              </w:rPr>
            </w:pPr>
            <w:r w:rsidRPr="00D34298">
              <w:rPr>
                <w:b/>
                <w:bCs/>
                <w:color w:val="000000"/>
                <w:sz w:val="14"/>
                <w:szCs w:val="14"/>
                <w:lang w:eastAsia="en-GB"/>
              </w:rPr>
              <w:t>217</w:t>
            </w:r>
            <w:r>
              <w:rPr>
                <w:b/>
                <w:bCs/>
                <w:color w:val="000000"/>
                <w:sz w:val="14"/>
                <w:szCs w:val="14"/>
                <w:lang w:eastAsia="en-GB"/>
              </w:rPr>
              <w:t xml:space="preserve"> </w:t>
            </w:r>
            <w:r w:rsidRPr="00D34298">
              <w:rPr>
                <w:b/>
                <w:bCs/>
                <w:color w:val="000000"/>
                <w:sz w:val="14"/>
                <w:szCs w:val="14"/>
                <w:lang w:eastAsia="en-GB"/>
              </w:rPr>
              <w:t>632</w:t>
            </w:r>
          </w:p>
        </w:tc>
      </w:tr>
      <w:tr w:rsidR="00761B6C" w:rsidRPr="00236418" w14:paraId="768F60BF" w14:textId="77777777" w:rsidTr="00B93AE4">
        <w:trPr>
          <w:trHeight w:val="510"/>
          <w:jc w:val="center"/>
        </w:trPr>
        <w:tc>
          <w:tcPr>
            <w:tcW w:w="479" w:type="pct"/>
            <w:tcBorders>
              <w:top w:val="single" w:sz="4" w:space="0" w:color="auto"/>
              <w:left w:val="single" w:sz="4" w:space="0" w:color="auto"/>
              <w:bottom w:val="single" w:sz="4" w:space="0" w:color="auto"/>
              <w:right w:val="nil"/>
            </w:tcBorders>
            <w:shd w:val="clear" w:color="auto" w:fill="auto"/>
            <w:hideMark/>
          </w:tcPr>
          <w:p w14:paraId="2E9D258B" w14:textId="77777777" w:rsidR="00761B6C" w:rsidRPr="00236418" w:rsidRDefault="00761B6C" w:rsidP="00761B6C">
            <w:pPr>
              <w:pStyle w:val="Tabletext"/>
              <w:spacing w:before="160" w:after="0"/>
              <w:rPr>
                <w:b/>
                <w:bCs/>
                <w:sz w:val="14"/>
                <w:szCs w:val="14"/>
                <w:lang w:eastAsia="zh-CN"/>
              </w:rPr>
            </w:pPr>
            <w:r w:rsidRPr="00236418">
              <w:rPr>
                <w:b/>
                <w:bCs/>
                <w:sz w:val="14"/>
                <w:szCs w:val="14"/>
              </w:rPr>
              <w:t xml:space="preserve">Excédent/(déficit) </w:t>
            </w:r>
            <w:r w:rsidRPr="00236418">
              <w:rPr>
                <w:b/>
                <w:bCs/>
                <w:sz w:val="14"/>
                <w:szCs w:val="14"/>
              </w:rPr>
              <w:br/>
              <w:t>de l</w:t>
            </w:r>
            <w:r>
              <w:rPr>
                <w:b/>
                <w:bCs/>
                <w:sz w:val="14"/>
                <w:szCs w:val="14"/>
              </w:rPr>
              <w:t>'</w:t>
            </w:r>
            <w:r w:rsidRPr="00236418">
              <w:rPr>
                <w:b/>
                <w:bCs/>
                <w:sz w:val="14"/>
                <w:szCs w:val="14"/>
              </w:rPr>
              <w:t>exercice</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62062"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71</w:t>
            </w:r>
            <w:r>
              <w:rPr>
                <w:b/>
                <w:bCs/>
                <w:color w:val="000000"/>
                <w:sz w:val="14"/>
                <w:szCs w:val="14"/>
                <w:lang w:eastAsia="en-GB"/>
              </w:rPr>
              <w:t xml:space="preserve"> </w:t>
            </w:r>
            <w:r w:rsidRPr="00D34298">
              <w:rPr>
                <w:b/>
                <w:bCs/>
                <w:color w:val="000000"/>
                <w:sz w:val="14"/>
                <w:szCs w:val="14"/>
                <w:lang w:eastAsia="en-GB"/>
              </w:rPr>
              <w:t>243</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2F05361B"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sidRPr="00D34298">
              <w:rPr>
                <w:b/>
                <w:bCs/>
                <w:color w:val="000000"/>
                <w:sz w:val="14"/>
                <w:szCs w:val="14"/>
                <w:lang w:eastAsia="en-GB"/>
              </w:rPr>
              <w:t>10</w:t>
            </w:r>
            <w:r>
              <w:rPr>
                <w:b/>
                <w:bCs/>
                <w:color w:val="000000"/>
                <w:sz w:val="14"/>
                <w:szCs w:val="14"/>
                <w:lang w:eastAsia="en-GB"/>
              </w:rPr>
              <w:t xml:space="preserve"> </w:t>
            </w:r>
            <w:r w:rsidRPr="00D34298">
              <w:rPr>
                <w:b/>
                <w:bCs/>
                <w:color w:val="000000"/>
                <w:sz w:val="14"/>
                <w:szCs w:val="14"/>
                <w:lang w:eastAsia="en-GB"/>
              </w:rPr>
              <w:t>077</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5F96FDD"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4</w:t>
            </w:r>
            <w:r>
              <w:rPr>
                <w:b/>
                <w:bCs/>
                <w:color w:val="000000"/>
                <w:sz w:val="14"/>
                <w:szCs w:val="14"/>
                <w:lang w:eastAsia="en-GB"/>
              </w:rPr>
              <w:t xml:space="preserve"> </w:t>
            </w:r>
            <w:r w:rsidRPr="00D34298">
              <w:rPr>
                <w:b/>
                <w:bCs/>
                <w:color w:val="000000"/>
                <w:sz w:val="14"/>
                <w:szCs w:val="14"/>
                <w:lang w:eastAsia="en-GB"/>
              </w:rPr>
              <w:t>569</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7D456B1D"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28</w:t>
            </w:r>
            <w:r>
              <w:rPr>
                <w:b/>
                <w:bCs/>
                <w:color w:val="000000"/>
                <w:sz w:val="14"/>
                <w:szCs w:val="14"/>
                <w:lang w:eastAsia="en-GB"/>
              </w:rPr>
              <w:t xml:space="preserve"> </w:t>
            </w:r>
            <w:r w:rsidRPr="00D34298">
              <w:rPr>
                <w:b/>
                <w:bCs/>
                <w:color w:val="000000"/>
                <w:sz w:val="14"/>
                <w:szCs w:val="14"/>
                <w:lang w:eastAsia="en-GB"/>
              </w:rPr>
              <w:t>080</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6B2B4539"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sidRPr="00D34298">
              <w:rPr>
                <w:b/>
                <w:bCs/>
                <w:color w:val="000000"/>
                <w:sz w:val="14"/>
                <w:szCs w:val="14"/>
                <w:lang w:eastAsia="en-GB"/>
              </w:rPr>
              <w:t>40</w:t>
            </w:r>
            <w:r>
              <w:rPr>
                <w:b/>
                <w:bCs/>
                <w:color w:val="000000"/>
                <w:sz w:val="14"/>
                <w:szCs w:val="14"/>
                <w:lang w:eastAsia="en-GB"/>
              </w:rPr>
              <w:t xml:space="preserve"> </w:t>
            </w:r>
            <w:r w:rsidRPr="00D34298">
              <w:rPr>
                <w:b/>
                <w:bCs/>
                <w:color w:val="000000"/>
                <w:sz w:val="14"/>
                <w:szCs w:val="14"/>
                <w:lang w:eastAsia="en-GB"/>
              </w:rPr>
              <w:t>446</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760B8820"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53</w:t>
            </w:r>
            <w:r>
              <w:rPr>
                <w:b/>
                <w:bCs/>
                <w:color w:val="000000"/>
                <w:sz w:val="14"/>
                <w:szCs w:val="14"/>
                <w:lang w:eastAsia="en-GB"/>
              </w:rPr>
              <w:t xml:space="preserve"> </w:t>
            </w:r>
            <w:r w:rsidRPr="00D34298">
              <w:rPr>
                <w:b/>
                <w:bCs/>
                <w:color w:val="000000"/>
                <w:sz w:val="14"/>
                <w:szCs w:val="14"/>
                <w:lang w:eastAsia="en-GB"/>
              </w:rPr>
              <w:t>368</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722D89"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0</w:t>
            </w:r>
          </w:p>
        </w:tc>
        <w:tc>
          <w:tcPr>
            <w:tcW w:w="245" w:type="pct"/>
            <w:tcBorders>
              <w:top w:val="single" w:sz="4" w:space="0" w:color="auto"/>
              <w:left w:val="nil"/>
              <w:bottom w:val="single" w:sz="4" w:space="0" w:color="auto"/>
              <w:right w:val="single" w:sz="4" w:space="0" w:color="auto"/>
            </w:tcBorders>
            <w:shd w:val="clear" w:color="auto" w:fill="auto"/>
            <w:vAlign w:val="center"/>
          </w:tcPr>
          <w:p w14:paraId="3E49A8A0"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sidRPr="00D34298">
              <w:rPr>
                <w:b/>
                <w:bCs/>
                <w:color w:val="000000"/>
                <w:sz w:val="14"/>
                <w:szCs w:val="14"/>
                <w:lang w:eastAsia="en-GB"/>
              </w:rPr>
              <w:t>9</w:t>
            </w:r>
            <w:r>
              <w:rPr>
                <w:b/>
                <w:bCs/>
                <w:color w:val="000000"/>
                <w:sz w:val="14"/>
                <w:szCs w:val="14"/>
                <w:lang w:eastAsia="en-GB"/>
              </w:rPr>
              <w:t xml:space="preserve"> </w:t>
            </w:r>
            <w:r w:rsidRPr="00D34298">
              <w:rPr>
                <w:b/>
                <w:bCs/>
                <w:color w:val="000000"/>
                <w:sz w:val="14"/>
                <w:szCs w:val="14"/>
                <w:lang w:eastAsia="en-GB"/>
              </w:rPr>
              <w:t>665</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2AD6E362"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401</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10DDF79A"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208</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2E708FFC"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019</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2F508380"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3ED18DE2"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083CDC6A"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1</w:t>
            </w:r>
            <w:r>
              <w:rPr>
                <w:b/>
                <w:bCs/>
                <w:color w:val="000000"/>
                <w:sz w:val="14"/>
                <w:szCs w:val="14"/>
                <w:lang w:eastAsia="en-GB"/>
              </w:rPr>
              <w:t xml:space="preserve"> </w:t>
            </w:r>
            <w:r w:rsidRPr="00D34298">
              <w:rPr>
                <w:b/>
                <w:bCs/>
                <w:color w:val="000000"/>
                <w:sz w:val="14"/>
                <w:szCs w:val="14"/>
                <w:lang w:eastAsia="en-GB"/>
              </w:rPr>
              <w:t>928</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21E082A9"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p>
        </w:tc>
        <w:tc>
          <w:tcPr>
            <w:tcW w:w="301" w:type="pct"/>
            <w:tcBorders>
              <w:top w:val="single" w:sz="4" w:space="0" w:color="auto"/>
              <w:left w:val="nil"/>
              <w:bottom w:val="single" w:sz="4" w:space="0" w:color="auto"/>
              <w:right w:val="single" w:sz="4" w:space="0" w:color="auto"/>
            </w:tcBorders>
            <w:shd w:val="clear" w:color="auto" w:fill="auto"/>
            <w:noWrap/>
            <w:vAlign w:val="center"/>
          </w:tcPr>
          <w:p w14:paraId="3D01510E" w14:textId="77777777" w:rsidR="00761B6C" w:rsidRPr="00D34298" w:rsidRDefault="00761B6C" w:rsidP="00761B6C">
            <w:pPr>
              <w:pStyle w:val="Tabletext"/>
              <w:spacing w:before="160"/>
              <w:jc w:val="right"/>
              <w:rPr>
                <w:rFonts w:asciiTheme="minorHAnsi" w:hAnsiTheme="minorHAnsi" w:cs="Arial"/>
                <w:b/>
                <w:bCs/>
                <w:color w:val="000000"/>
                <w:sz w:val="14"/>
                <w:szCs w:val="14"/>
                <w:lang w:eastAsia="zh-CN"/>
              </w:rPr>
            </w:pPr>
            <w:r>
              <w:rPr>
                <w:b/>
                <w:bCs/>
                <w:color w:val="000000"/>
                <w:sz w:val="14"/>
                <w:szCs w:val="14"/>
                <w:lang w:eastAsia="en-GB"/>
              </w:rPr>
              <w:t>–</w:t>
            </w:r>
            <w:r w:rsidRPr="00D34298">
              <w:rPr>
                <w:b/>
                <w:bCs/>
                <w:color w:val="000000"/>
                <w:sz w:val="14"/>
                <w:szCs w:val="14"/>
                <w:lang w:eastAsia="en-GB"/>
              </w:rPr>
              <w:t>47</w:t>
            </w:r>
            <w:r>
              <w:rPr>
                <w:b/>
                <w:bCs/>
                <w:color w:val="000000"/>
                <w:sz w:val="14"/>
                <w:szCs w:val="14"/>
                <w:lang w:eastAsia="en-GB"/>
              </w:rPr>
              <w:t xml:space="preserve"> </w:t>
            </w:r>
            <w:r w:rsidRPr="00D34298">
              <w:rPr>
                <w:b/>
                <w:bCs/>
                <w:color w:val="000000"/>
                <w:sz w:val="14"/>
                <w:szCs w:val="14"/>
                <w:lang w:eastAsia="en-GB"/>
              </w:rPr>
              <w:t>259</w:t>
            </w:r>
          </w:p>
        </w:tc>
      </w:tr>
    </w:tbl>
    <w:p w14:paraId="757F7758" w14:textId="77777777" w:rsidR="00761B6C" w:rsidRDefault="00761B6C" w:rsidP="00761B6C">
      <w:pPr>
        <w:pStyle w:val="Headingb"/>
        <w:spacing w:before="0" w:after="120"/>
      </w:pPr>
      <w:bookmarkStart w:id="2402" w:name="_Toc9605756"/>
      <w:bookmarkStart w:id="2403" w:name="_Toc10450783"/>
      <w:bookmarkStart w:id="2404" w:name="_Toc41566369"/>
      <w:bookmarkStart w:id="2405" w:name="_Toc41814973"/>
      <w:bookmarkStart w:id="2406" w:name="_Toc73354470"/>
      <w:bookmarkStart w:id="2407" w:name="_Toc73356453"/>
      <w:r w:rsidRPr="00236418">
        <w:lastRenderedPageBreak/>
        <w:t>Informations sectorielles – État de la performance financière 20</w:t>
      </w:r>
      <w:bookmarkEnd w:id="2402"/>
      <w:bookmarkEnd w:id="2403"/>
      <w:bookmarkEnd w:id="2404"/>
      <w:bookmarkEnd w:id="2405"/>
      <w:r>
        <w:t>19</w:t>
      </w:r>
      <w:bookmarkEnd w:id="2406"/>
      <w:bookmarkEnd w:id="2407"/>
    </w:p>
    <w:tbl>
      <w:tblPr>
        <w:tblW w:w="5825" w:type="pct"/>
        <w:jc w:val="center"/>
        <w:tblLayout w:type="fixed"/>
        <w:tblLook w:val="04A0" w:firstRow="1" w:lastRow="0" w:firstColumn="1" w:lastColumn="0" w:noHBand="0" w:noVBand="1"/>
        <w:tblCaption w:val="E"/>
      </w:tblPr>
      <w:tblGrid>
        <w:gridCol w:w="1563"/>
        <w:gridCol w:w="994"/>
        <w:gridCol w:w="994"/>
        <w:gridCol w:w="1135"/>
        <w:gridCol w:w="1131"/>
        <w:gridCol w:w="991"/>
        <w:gridCol w:w="991"/>
        <w:gridCol w:w="854"/>
        <w:gridCol w:w="799"/>
        <w:gridCol w:w="812"/>
        <w:gridCol w:w="1050"/>
        <w:gridCol w:w="740"/>
        <w:gridCol w:w="711"/>
        <w:gridCol w:w="567"/>
        <w:gridCol w:w="851"/>
        <w:gridCol w:w="1135"/>
        <w:gridCol w:w="985"/>
      </w:tblGrid>
      <w:tr w:rsidR="00761B6C" w:rsidRPr="00236418" w14:paraId="274A0403" w14:textId="77777777" w:rsidTr="00B93AE4">
        <w:trPr>
          <w:trHeight w:val="255"/>
          <w:jc w:val="center"/>
        </w:trPr>
        <w:tc>
          <w:tcPr>
            <w:tcW w:w="479" w:type="pct"/>
            <w:tcBorders>
              <w:top w:val="single" w:sz="4" w:space="0" w:color="auto"/>
              <w:left w:val="single" w:sz="4" w:space="0" w:color="auto"/>
              <w:bottom w:val="single" w:sz="4" w:space="0" w:color="auto"/>
              <w:right w:val="nil"/>
            </w:tcBorders>
            <w:shd w:val="clear" w:color="auto" w:fill="auto"/>
            <w:hideMark/>
          </w:tcPr>
          <w:p w14:paraId="361263D4"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En milliers de CHF</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7A8C9567"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Secrétariat</w:t>
            </w:r>
          </w:p>
          <w:p w14:paraId="7E4C8501"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général</w:t>
            </w:r>
          </w:p>
        </w:tc>
        <w:tc>
          <w:tcPr>
            <w:tcW w:w="305" w:type="pct"/>
            <w:tcBorders>
              <w:top w:val="single" w:sz="4" w:space="0" w:color="auto"/>
              <w:left w:val="nil"/>
              <w:bottom w:val="single" w:sz="4" w:space="0" w:color="auto"/>
              <w:right w:val="single" w:sz="4" w:space="0" w:color="auto"/>
            </w:tcBorders>
            <w:shd w:val="clear" w:color="auto" w:fill="auto"/>
            <w:noWrap/>
            <w:hideMark/>
          </w:tcPr>
          <w:p w14:paraId="5897697A" w14:textId="38615878"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Secteur des </w:t>
            </w:r>
            <w:proofErr w:type="spellStart"/>
            <w:r w:rsidRPr="00236418">
              <w:rPr>
                <w:rFonts w:asciiTheme="minorHAnsi" w:hAnsiTheme="minorHAnsi"/>
                <w:sz w:val="14"/>
                <w:szCs w:val="14"/>
              </w:rPr>
              <w:t>radiocom</w:t>
            </w:r>
            <w:proofErr w:type="spellEnd"/>
            <w:r w:rsidR="00B93AE4">
              <w:rPr>
                <w:rFonts w:asciiTheme="minorHAnsi" w:hAnsiTheme="minorHAnsi"/>
                <w:sz w:val="14"/>
                <w:szCs w:val="14"/>
              </w:rPr>
              <w:t>-</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48" w:type="pct"/>
            <w:tcBorders>
              <w:top w:val="single" w:sz="4" w:space="0" w:color="auto"/>
              <w:left w:val="nil"/>
              <w:bottom w:val="single" w:sz="4" w:space="0" w:color="auto"/>
              <w:right w:val="single" w:sz="4" w:space="0" w:color="auto"/>
            </w:tcBorders>
            <w:shd w:val="clear" w:color="auto" w:fill="auto"/>
            <w:noWrap/>
            <w:hideMark/>
          </w:tcPr>
          <w:p w14:paraId="43B65FBC" w14:textId="353B1290"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Secteur de la</w:t>
            </w:r>
            <w:r w:rsidRPr="00236418">
              <w:rPr>
                <w:rFonts w:asciiTheme="minorHAnsi" w:hAnsiTheme="minorHAnsi"/>
                <w:sz w:val="14"/>
                <w:szCs w:val="14"/>
              </w:rPr>
              <w:br/>
              <w:t>normalisation des télécom</w:t>
            </w:r>
            <w:r w:rsidR="00B93AE4">
              <w:rPr>
                <w:rFonts w:asciiTheme="minorHAnsi" w:hAnsiTheme="minorHAnsi"/>
                <w:sz w:val="14"/>
                <w:szCs w:val="14"/>
              </w:rPr>
              <w:t>-</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47" w:type="pct"/>
            <w:tcBorders>
              <w:top w:val="single" w:sz="4" w:space="0" w:color="auto"/>
              <w:left w:val="nil"/>
              <w:bottom w:val="single" w:sz="4" w:space="0" w:color="auto"/>
              <w:right w:val="single" w:sz="4" w:space="0" w:color="auto"/>
            </w:tcBorders>
            <w:shd w:val="clear" w:color="auto" w:fill="auto"/>
            <w:noWrap/>
            <w:hideMark/>
          </w:tcPr>
          <w:p w14:paraId="46839726"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Secteur du </w:t>
            </w:r>
            <w:proofErr w:type="spellStart"/>
            <w:r w:rsidRPr="00236418">
              <w:rPr>
                <w:rFonts w:asciiTheme="minorHAnsi" w:hAnsiTheme="minorHAnsi"/>
                <w:sz w:val="14"/>
                <w:szCs w:val="14"/>
              </w:rPr>
              <w:t>dével</w:t>
            </w:r>
            <w:proofErr w:type="spellEnd"/>
            <w:r w:rsidRPr="00236418">
              <w:rPr>
                <w:rFonts w:asciiTheme="minorHAnsi" w:hAnsiTheme="minorHAnsi"/>
                <w:sz w:val="14"/>
                <w:szCs w:val="14"/>
              </w:rPr>
              <w:t>. des télécom-</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04" w:type="pct"/>
            <w:tcBorders>
              <w:top w:val="single" w:sz="4" w:space="0" w:color="auto"/>
              <w:left w:val="nil"/>
              <w:bottom w:val="single" w:sz="4" w:space="0" w:color="auto"/>
              <w:right w:val="nil"/>
            </w:tcBorders>
            <w:shd w:val="clear" w:color="auto" w:fill="auto"/>
            <w:noWrap/>
            <w:hideMark/>
          </w:tcPr>
          <w:p w14:paraId="414A5D34"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Non attribuable à un segment</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14:paraId="5CE669E8"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Total Fonds 1000+</w:t>
            </w:r>
            <w:r w:rsidRPr="00236418">
              <w:rPr>
                <w:rFonts w:asciiTheme="minorHAnsi" w:hAnsiTheme="minorHAnsi"/>
                <w:sz w:val="14"/>
                <w:szCs w:val="14"/>
              </w:rPr>
              <w:br/>
              <w:t>1010</w:t>
            </w:r>
          </w:p>
        </w:tc>
        <w:tc>
          <w:tcPr>
            <w:tcW w:w="262" w:type="pct"/>
            <w:tcBorders>
              <w:top w:val="single" w:sz="4" w:space="0" w:color="auto"/>
              <w:left w:val="nil"/>
              <w:bottom w:val="single" w:sz="4" w:space="0" w:color="auto"/>
              <w:right w:val="single" w:sz="4" w:space="0" w:color="auto"/>
            </w:tcBorders>
            <w:shd w:val="clear" w:color="auto" w:fill="auto"/>
            <w:noWrap/>
            <w:hideMark/>
          </w:tcPr>
          <w:p w14:paraId="0E79D734"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Fonds pour le nouveau bâtiment</w:t>
            </w:r>
          </w:p>
        </w:tc>
        <w:tc>
          <w:tcPr>
            <w:tcW w:w="245" w:type="pct"/>
            <w:tcBorders>
              <w:top w:val="single" w:sz="4" w:space="0" w:color="auto"/>
              <w:left w:val="nil"/>
              <w:bottom w:val="single" w:sz="4" w:space="0" w:color="auto"/>
              <w:right w:val="nil"/>
            </w:tcBorders>
          </w:tcPr>
          <w:p w14:paraId="7341AB45"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Fonds de réserve pour le nouveau bâtiment</w:t>
            </w:r>
          </w:p>
        </w:tc>
        <w:tc>
          <w:tcPr>
            <w:tcW w:w="249" w:type="pct"/>
            <w:tcBorders>
              <w:top w:val="single" w:sz="4" w:space="0" w:color="auto"/>
              <w:left w:val="nil"/>
              <w:bottom w:val="single" w:sz="4" w:space="0" w:color="auto"/>
              <w:right w:val="single" w:sz="4" w:space="0" w:color="auto"/>
            </w:tcBorders>
            <w:shd w:val="clear" w:color="auto" w:fill="auto"/>
            <w:noWrap/>
            <w:hideMark/>
          </w:tcPr>
          <w:p w14:paraId="39547DEA"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Caisse assurance </w:t>
            </w:r>
          </w:p>
        </w:tc>
        <w:tc>
          <w:tcPr>
            <w:tcW w:w="322" w:type="pct"/>
            <w:tcBorders>
              <w:top w:val="single" w:sz="4" w:space="0" w:color="auto"/>
              <w:left w:val="nil"/>
              <w:bottom w:val="single" w:sz="4" w:space="0" w:color="auto"/>
              <w:right w:val="single" w:sz="4" w:space="0" w:color="auto"/>
            </w:tcBorders>
            <w:shd w:val="clear" w:color="auto" w:fill="auto"/>
            <w:noWrap/>
            <w:hideMark/>
          </w:tcPr>
          <w:p w14:paraId="796F399E"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Contributions volontaires </w:t>
            </w:r>
          </w:p>
        </w:tc>
        <w:tc>
          <w:tcPr>
            <w:tcW w:w="227" w:type="pct"/>
            <w:tcBorders>
              <w:top w:val="single" w:sz="4" w:space="0" w:color="auto"/>
              <w:left w:val="nil"/>
              <w:bottom w:val="single" w:sz="4" w:space="0" w:color="auto"/>
              <w:right w:val="single" w:sz="4" w:space="0" w:color="auto"/>
            </w:tcBorders>
            <w:shd w:val="clear" w:color="auto" w:fill="auto"/>
            <w:noWrap/>
            <w:hideMark/>
          </w:tcPr>
          <w:p w14:paraId="3B026AC5"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FIT</w:t>
            </w:r>
          </w:p>
        </w:tc>
        <w:tc>
          <w:tcPr>
            <w:tcW w:w="218" w:type="pct"/>
            <w:tcBorders>
              <w:top w:val="single" w:sz="4" w:space="0" w:color="auto"/>
              <w:left w:val="nil"/>
              <w:bottom w:val="single" w:sz="4" w:space="0" w:color="auto"/>
              <w:right w:val="single" w:sz="4" w:space="0" w:color="auto"/>
            </w:tcBorders>
            <w:shd w:val="clear" w:color="auto" w:fill="auto"/>
            <w:noWrap/>
            <w:hideMark/>
          </w:tcPr>
          <w:p w14:paraId="66C6D185"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FDTIC</w:t>
            </w:r>
          </w:p>
        </w:tc>
        <w:tc>
          <w:tcPr>
            <w:tcW w:w="174" w:type="pct"/>
            <w:tcBorders>
              <w:top w:val="single" w:sz="4" w:space="0" w:color="auto"/>
              <w:left w:val="nil"/>
              <w:bottom w:val="single" w:sz="4" w:space="0" w:color="auto"/>
              <w:right w:val="single" w:sz="4" w:space="0" w:color="auto"/>
            </w:tcBorders>
            <w:shd w:val="clear" w:color="auto" w:fill="auto"/>
            <w:noWrap/>
            <w:hideMark/>
          </w:tcPr>
          <w:p w14:paraId="7460BFDE"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PNUD </w:t>
            </w:r>
          </w:p>
        </w:tc>
        <w:tc>
          <w:tcPr>
            <w:tcW w:w="261" w:type="pct"/>
            <w:tcBorders>
              <w:top w:val="single" w:sz="4" w:space="0" w:color="auto"/>
              <w:left w:val="nil"/>
              <w:bottom w:val="single" w:sz="4" w:space="0" w:color="auto"/>
              <w:right w:val="single" w:sz="4" w:space="0" w:color="auto"/>
            </w:tcBorders>
            <w:shd w:val="clear" w:color="auto" w:fill="auto"/>
            <w:noWrap/>
            <w:hideMark/>
          </w:tcPr>
          <w:p w14:paraId="3EAD9EB6"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 xml:space="preserve">TELECOM </w:t>
            </w:r>
          </w:p>
        </w:tc>
        <w:tc>
          <w:tcPr>
            <w:tcW w:w="348" w:type="pct"/>
            <w:tcBorders>
              <w:top w:val="single" w:sz="4" w:space="0" w:color="auto"/>
              <w:left w:val="nil"/>
              <w:bottom w:val="single" w:sz="4" w:space="0" w:color="auto"/>
              <w:right w:val="single" w:sz="4" w:space="0" w:color="auto"/>
            </w:tcBorders>
            <w:shd w:val="clear" w:color="auto" w:fill="auto"/>
            <w:noWrap/>
            <w:hideMark/>
          </w:tcPr>
          <w:p w14:paraId="25AE77B9"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Ajustements de consolidation</w:t>
            </w:r>
          </w:p>
        </w:tc>
        <w:tc>
          <w:tcPr>
            <w:tcW w:w="302" w:type="pct"/>
            <w:tcBorders>
              <w:top w:val="single" w:sz="4" w:space="0" w:color="auto"/>
              <w:left w:val="nil"/>
              <w:bottom w:val="single" w:sz="4" w:space="0" w:color="auto"/>
              <w:right w:val="single" w:sz="4" w:space="0" w:color="auto"/>
            </w:tcBorders>
            <w:shd w:val="clear" w:color="auto" w:fill="auto"/>
            <w:noWrap/>
            <w:hideMark/>
          </w:tcPr>
          <w:p w14:paraId="3133B240" w14:textId="77777777" w:rsidR="00761B6C" w:rsidRPr="00236418" w:rsidRDefault="00761B6C" w:rsidP="00761B6C">
            <w:pPr>
              <w:pStyle w:val="TableHead0"/>
              <w:spacing w:before="0"/>
              <w:rPr>
                <w:rFonts w:asciiTheme="minorHAnsi" w:hAnsiTheme="minorHAnsi"/>
                <w:sz w:val="14"/>
                <w:szCs w:val="14"/>
              </w:rPr>
            </w:pPr>
            <w:r w:rsidRPr="00236418">
              <w:rPr>
                <w:rFonts w:asciiTheme="minorHAnsi" w:hAnsiTheme="minorHAnsi"/>
                <w:sz w:val="14"/>
                <w:szCs w:val="14"/>
              </w:rPr>
              <w:t>Total</w:t>
            </w:r>
          </w:p>
        </w:tc>
      </w:tr>
      <w:tr w:rsidR="00761B6C" w:rsidRPr="00236418" w14:paraId="2F19E933"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5D88BADC" w14:textId="77777777" w:rsidR="00761B6C" w:rsidRPr="00236418" w:rsidRDefault="00761B6C" w:rsidP="00761B6C">
            <w:pPr>
              <w:pStyle w:val="Tabletext"/>
              <w:spacing w:before="0" w:after="0"/>
              <w:rPr>
                <w:b/>
                <w:bCs/>
                <w:sz w:val="14"/>
                <w:szCs w:val="14"/>
                <w:lang w:eastAsia="zh-CN"/>
              </w:rPr>
            </w:pPr>
            <w:r w:rsidRPr="00236418">
              <w:rPr>
                <w:b/>
                <w:bCs/>
                <w:sz w:val="14"/>
                <w:szCs w:val="14"/>
                <w:lang w:eastAsia="zh-CN"/>
              </w:rPr>
              <w:t>PRODUITS</w:t>
            </w:r>
          </w:p>
        </w:tc>
        <w:tc>
          <w:tcPr>
            <w:tcW w:w="305" w:type="pct"/>
            <w:tcBorders>
              <w:top w:val="nil"/>
              <w:left w:val="single" w:sz="4" w:space="0" w:color="auto"/>
              <w:bottom w:val="nil"/>
              <w:right w:val="single" w:sz="4" w:space="0" w:color="auto"/>
            </w:tcBorders>
            <w:shd w:val="clear" w:color="auto" w:fill="auto"/>
            <w:noWrap/>
            <w:vAlign w:val="center"/>
          </w:tcPr>
          <w:p w14:paraId="6175669B" w14:textId="77777777" w:rsidR="00761B6C" w:rsidRPr="00236418" w:rsidRDefault="00761B6C" w:rsidP="00761B6C">
            <w:pPr>
              <w:pStyle w:val="Tabletext"/>
              <w:spacing w:before="0" w:after="0"/>
              <w:jc w:val="right"/>
              <w:rPr>
                <w:sz w:val="14"/>
                <w:szCs w:val="14"/>
                <w:lang w:eastAsia="zh-CN"/>
              </w:rPr>
            </w:pPr>
          </w:p>
        </w:tc>
        <w:tc>
          <w:tcPr>
            <w:tcW w:w="305" w:type="pct"/>
            <w:tcBorders>
              <w:top w:val="nil"/>
              <w:left w:val="nil"/>
              <w:bottom w:val="nil"/>
              <w:right w:val="single" w:sz="4" w:space="0" w:color="auto"/>
            </w:tcBorders>
            <w:shd w:val="clear" w:color="auto" w:fill="auto"/>
            <w:noWrap/>
            <w:vAlign w:val="center"/>
          </w:tcPr>
          <w:p w14:paraId="6FEE3C98" w14:textId="77777777" w:rsidR="00761B6C" w:rsidRPr="00236418" w:rsidRDefault="00761B6C" w:rsidP="00761B6C">
            <w:pPr>
              <w:pStyle w:val="Tabletext"/>
              <w:spacing w:before="0" w:after="0"/>
              <w:jc w:val="right"/>
              <w:rPr>
                <w:sz w:val="14"/>
                <w:szCs w:val="14"/>
                <w:lang w:eastAsia="zh-CN"/>
              </w:rPr>
            </w:pPr>
          </w:p>
        </w:tc>
        <w:tc>
          <w:tcPr>
            <w:tcW w:w="348" w:type="pct"/>
            <w:tcBorders>
              <w:top w:val="nil"/>
              <w:left w:val="nil"/>
              <w:bottom w:val="nil"/>
              <w:right w:val="single" w:sz="4" w:space="0" w:color="auto"/>
            </w:tcBorders>
            <w:shd w:val="clear" w:color="auto" w:fill="auto"/>
            <w:noWrap/>
            <w:vAlign w:val="center"/>
          </w:tcPr>
          <w:p w14:paraId="21978FD4" w14:textId="77777777" w:rsidR="00761B6C" w:rsidRPr="00236418" w:rsidRDefault="00761B6C" w:rsidP="00761B6C">
            <w:pPr>
              <w:pStyle w:val="Tabletext"/>
              <w:spacing w:before="0" w:after="0"/>
              <w:jc w:val="right"/>
              <w:rPr>
                <w:sz w:val="14"/>
                <w:szCs w:val="14"/>
                <w:lang w:eastAsia="zh-CN"/>
              </w:rPr>
            </w:pPr>
          </w:p>
        </w:tc>
        <w:tc>
          <w:tcPr>
            <w:tcW w:w="347" w:type="pct"/>
            <w:tcBorders>
              <w:top w:val="nil"/>
              <w:left w:val="nil"/>
              <w:bottom w:val="nil"/>
              <w:right w:val="single" w:sz="4" w:space="0" w:color="auto"/>
            </w:tcBorders>
            <w:shd w:val="clear" w:color="auto" w:fill="auto"/>
            <w:noWrap/>
            <w:vAlign w:val="center"/>
          </w:tcPr>
          <w:p w14:paraId="4E756E30" w14:textId="77777777" w:rsidR="00761B6C" w:rsidRPr="00236418" w:rsidRDefault="00761B6C" w:rsidP="00761B6C">
            <w:pPr>
              <w:pStyle w:val="Tabletext"/>
              <w:spacing w:before="0" w:after="0"/>
              <w:jc w:val="right"/>
              <w:rPr>
                <w:sz w:val="14"/>
                <w:szCs w:val="14"/>
                <w:lang w:eastAsia="zh-CN"/>
              </w:rPr>
            </w:pPr>
          </w:p>
        </w:tc>
        <w:tc>
          <w:tcPr>
            <w:tcW w:w="304" w:type="pct"/>
            <w:tcBorders>
              <w:top w:val="nil"/>
              <w:left w:val="nil"/>
              <w:bottom w:val="nil"/>
              <w:right w:val="nil"/>
            </w:tcBorders>
            <w:shd w:val="clear" w:color="auto" w:fill="auto"/>
            <w:noWrap/>
            <w:vAlign w:val="center"/>
          </w:tcPr>
          <w:p w14:paraId="0A110DCB" w14:textId="77777777" w:rsidR="00761B6C" w:rsidRPr="00236418" w:rsidRDefault="00761B6C" w:rsidP="00761B6C">
            <w:pPr>
              <w:pStyle w:val="Tabletext"/>
              <w:spacing w:before="0" w:after="0"/>
              <w:jc w:val="right"/>
              <w:rPr>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center"/>
          </w:tcPr>
          <w:p w14:paraId="4B4ADCDE" w14:textId="77777777" w:rsidR="00761B6C" w:rsidRPr="00236418" w:rsidRDefault="00761B6C" w:rsidP="00761B6C">
            <w:pPr>
              <w:pStyle w:val="Tabletext"/>
              <w:spacing w:before="0" w:after="0"/>
              <w:jc w:val="right"/>
              <w:rPr>
                <w:sz w:val="14"/>
                <w:szCs w:val="14"/>
                <w:lang w:eastAsia="zh-CN"/>
              </w:rPr>
            </w:pPr>
          </w:p>
        </w:tc>
        <w:tc>
          <w:tcPr>
            <w:tcW w:w="262" w:type="pct"/>
            <w:tcBorders>
              <w:top w:val="nil"/>
              <w:left w:val="nil"/>
              <w:bottom w:val="nil"/>
              <w:right w:val="single" w:sz="4" w:space="0" w:color="auto"/>
            </w:tcBorders>
            <w:shd w:val="clear" w:color="auto" w:fill="auto"/>
            <w:noWrap/>
            <w:vAlign w:val="center"/>
            <w:hideMark/>
          </w:tcPr>
          <w:p w14:paraId="12080C5D"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245" w:type="pct"/>
            <w:tcBorders>
              <w:top w:val="nil"/>
              <w:left w:val="nil"/>
              <w:bottom w:val="nil"/>
              <w:right w:val="nil"/>
            </w:tcBorders>
          </w:tcPr>
          <w:p w14:paraId="59CF0BD9" w14:textId="77777777" w:rsidR="00761B6C" w:rsidRPr="00236418" w:rsidRDefault="00761B6C" w:rsidP="00761B6C">
            <w:pPr>
              <w:pStyle w:val="Tabletext"/>
              <w:spacing w:before="0" w:after="0"/>
              <w:jc w:val="right"/>
              <w:rPr>
                <w:sz w:val="14"/>
                <w:szCs w:val="14"/>
                <w:lang w:eastAsia="zh-CN"/>
              </w:rPr>
            </w:pPr>
          </w:p>
        </w:tc>
        <w:tc>
          <w:tcPr>
            <w:tcW w:w="249" w:type="pct"/>
            <w:tcBorders>
              <w:top w:val="nil"/>
              <w:left w:val="nil"/>
              <w:bottom w:val="nil"/>
              <w:right w:val="single" w:sz="4" w:space="0" w:color="auto"/>
            </w:tcBorders>
            <w:shd w:val="clear" w:color="auto" w:fill="auto"/>
            <w:noWrap/>
            <w:vAlign w:val="center"/>
            <w:hideMark/>
          </w:tcPr>
          <w:p w14:paraId="77066948"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322" w:type="pct"/>
            <w:tcBorders>
              <w:top w:val="nil"/>
              <w:left w:val="nil"/>
              <w:bottom w:val="nil"/>
              <w:right w:val="single" w:sz="4" w:space="0" w:color="auto"/>
            </w:tcBorders>
            <w:shd w:val="clear" w:color="auto" w:fill="auto"/>
            <w:noWrap/>
            <w:vAlign w:val="center"/>
            <w:hideMark/>
          </w:tcPr>
          <w:p w14:paraId="4C01ED1C"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227" w:type="pct"/>
            <w:tcBorders>
              <w:top w:val="nil"/>
              <w:left w:val="nil"/>
              <w:bottom w:val="nil"/>
              <w:right w:val="single" w:sz="4" w:space="0" w:color="auto"/>
            </w:tcBorders>
            <w:shd w:val="clear" w:color="auto" w:fill="auto"/>
            <w:noWrap/>
            <w:vAlign w:val="center"/>
            <w:hideMark/>
          </w:tcPr>
          <w:p w14:paraId="00F2320D"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218" w:type="pct"/>
            <w:tcBorders>
              <w:top w:val="nil"/>
              <w:left w:val="nil"/>
              <w:bottom w:val="nil"/>
              <w:right w:val="single" w:sz="4" w:space="0" w:color="auto"/>
            </w:tcBorders>
            <w:shd w:val="clear" w:color="auto" w:fill="auto"/>
            <w:noWrap/>
            <w:vAlign w:val="center"/>
            <w:hideMark/>
          </w:tcPr>
          <w:p w14:paraId="6676DF42"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174" w:type="pct"/>
            <w:tcBorders>
              <w:top w:val="nil"/>
              <w:left w:val="nil"/>
              <w:bottom w:val="nil"/>
              <w:right w:val="single" w:sz="4" w:space="0" w:color="auto"/>
            </w:tcBorders>
            <w:shd w:val="clear" w:color="auto" w:fill="auto"/>
            <w:noWrap/>
            <w:vAlign w:val="center"/>
            <w:hideMark/>
          </w:tcPr>
          <w:p w14:paraId="795FCC34"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261" w:type="pct"/>
            <w:tcBorders>
              <w:top w:val="nil"/>
              <w:left w:val="nil"/>
              <w:bottom w:val="nil"/>
              <w:right w:val="single" w:sz="4" w:space="0" w:color="auto"/>
            </w:tcBorders>
            <w:shd w:val="clear" w:color="auto" w:fill="auto"/>
            <w:noWrap/>
            <w:vAlign w:val="center"/>
            <w:hideMark/>
          </w:tcPr>
          <w:p w14:paraId="6B29DB67"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348" w:type="pct"/>
            <w:tcBorders>
              <w:top w:val="nil"/>
              <w:left w:val="nil"/>
              <w:bottom w:val="nil"/>
              <w:right w:val="single" w:sz="4" w:space="0" w:color="auto"/>
            </w:tcBorders>
            <w:shd w:val="clear" w:color="auto" w:fill="auto"/>
            <w:noWrap/>
            <w:vAlign w:val="center"/>
            <w:hideMark/>
          </w:tcPr>
          <w:p w14:paraId="3FD2E9A4"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c>
          <w:tcPr>
            <w:tcW w:w="302" w:type="pct"/>
            <w:tcBorders>
              <w:top w:val="nil"/>
              <w:left w:val="nil"/>
              <w:bottom w:val="nil"/>
              <w:right w:val="single" w:sz="4" w:space="0" w:color="auto"/>
            </w:tcBorders>
            <w:shd w:val="clear" w:color="auto" w:fill="auto"/>
            <w:noWrap/>
            <w:vAlign w:val="center"/>
            <w:hideMark/>
          </w:tcPr>
          <w:p w14:paraId="195A0FB9" w14:textId="77777777" w:rsidR="00761B6C" w:rsidRPr="00236418" w:rsidRDefault="00761B6C" w:rsidP="00761B6C">
            <w:pPr>
              <w:pStyle w:val="Tabletext"/>
              <w:spacing w:before="0" w:after="0"/>
              <w:jc w:val="right"/>
              <w:rPr>
                <w:sz w:val="14"/>
                <w:szCs w:val="14"/>
                <w:lang w:eastAsia="zh-CN"/>
              </w:rPr>
            </w:pPr>
            <w:r w:rsidRPr="00236418">
              <w:rPr>
                <w:sz w:val="14"/>
                <w:szCs w:val="14"/>
                <w:lang w:eastAsia="zh-CN"/>
              </w:rPr>
              <w:t> </w:t>
            </w:r>
          </w:p>
        </w:tc>
      </w:tr>
      <w:tr w:rsidR="00761B6C" w:rsidRPr="00236418" w14:paraId="6399266E"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10141DD3" w14:textId="77777777" w:rsidR="00761B6C" w:rsidRPr="00236418" w:rsidRDefault="00761B6C" w:rsidP="00761B6C">
            <w:pPr>
              <w:pStyle w:val="Tabletext"/>
              <w:spacing w:before="0" w:after="0"/>
              <w:rPr>
                <w:sz w:val="14"/>
                <w:szCs w:val="14"/>
                <w:lang w:eastAsia="zh-CN"/>
              </w:rPr>
            </w:pPr>
            <w:r w:rsidRPr="00236418">
              <w:rPr>
                <w:sz w:val="14"/>
                <w:szCs w:val="14"/>
              </w:rPr>
              <w:t>Contributions mise en recouvrement</w:t>
            </w:r>
          </w:p>
        </w:tc>
        <w:tc>
          <w:tcPr>
            <w:tcW w:w="305" w:type="pct"/>
            <w:tcBorders>
              <w:top w:val="nil"/>
              <w:left w:val="single" w:sz="4" w:space="0" w:color="auto"/>
              <w:bottom w:val="nil"/>
              <w:right w:val="single" w:sz="4" w:space="0" w:color="auto"/>
            </w:tcBorders>
            <w:shd w:val="clear" w:color="auto" w:fill="auto"/>
            <w:noWrap/>
            <w:vAlign w:val="bottom"/>
          </w:tcPr>
          <w:p w14:paraId="6EC8E86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2C881BC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6 565</w:t>
            </w:r>
          </w:p>
        </w:tc>
        <w:tc>
          <w:tcPr>
            <w:tcW w:w="348" w:type="pct"/>
            <w:tcBorders>
              <w:top w:val="nil"/>
              <w:left w:val="nil"/>
              <w:bottom w:val="nil"/>
              <w:right w:val="single" w:sz="4" w:space="0" w:color="auto"/>
            </w:tcBorders>
            <w:shd w:val="clear" w:color="auto" w:fill="auto"/>
            <w:noWrap/>
            <w:vAlign w:val="bottom"/>
          </w:tcPr>
          <w:p w14:paraId="7C9E2D8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8 161</w:t>
            </w:r>
          </w:p>
        </w:tc>
        <w:tc>
          <w:tcPr>
            <w:tcW w:w="347" w:type="pct"/>
            <w:tcBorders>
              <w:top w:val="nil"/>
              <w:left w:val="nil"/>
              <w:bottom w:val="nil"/>
              <w:right w:val="single" w:sz="4" w:space="0" w:color="auto"/>
            </w:tcBorders>
            <w:shd w:val="clear" w:color="auto" w:fill="auto"/>
            <w:noWrap/>
            <w:vAlign w:val="bottom"/>
          </w:tcPr>
          <w:p w14:paraId="5B449F0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1 500 </w:t>
            </w:r>
          </w:p>
        </w:tc>
        <w:tc>
          <w:tcPr>
            <w:tcW w:w="304" w:type="pct"/>
            <w:tcBorders>
              <w:top w:val="nil"/>
              <w:left w:val="nil"/>
              <w:bottom w:val="nil"/>
              <w:right w:val="nil"/>
            </w:tcBorders>
            <w:shd w:val="clear" w:color="auto" w:fill="auto"/>
            <w:noWrap/>
            <w:vAlign w:val="bottom"/>
          </w:tcPr>
          <w:p w14:paraId="7294CDF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110 259 </w:t>
            </w:r>
          </w:p>
        </w:tc>
        <w:tc>
          <w:tcPr>
            <w:tcW w:w="304" w:type="pct"/>
            <w:tcBorders>
              <w:top w:val="nil"/>
              <w:left w:val="single" w:sz="4" w:space="0" w:color="auto"/>
              <w:bottom w:val="nil"/>
              <w:right w:val="single" w:sz="4" w:space="0" w:color="auto"/>
            </w:tcBorders>
            <w:shd w:val="clear" w:color="auto" w:fill="auto"/>
            <w:noWrap/>
            <w:vAlign w:val="bottom"/>
          </w:tcPr>
          <w:p w14:paraId="51AF60F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126 485 </w:t>
            </w:r>
          </w:p>
        </w:tc>
        <w:tc>
          <w:tcPr>
            <w:tcW w:w="262" w:type="pct"/>
            <w:tcBorders>
              <w:top w:val="nil"/>
              <w:left w:val="nil"/>
              <w:bottom w:val="nil"/>
              <w:right w:val="single" w:sz="4" w:space="0" w:color="auto"/>
            </w:tcBorders>
            <w:shd w:val="clear" w:color="auto" w:fill="auto"/>
            <w:noWrap/>
            <w:vAlign w:val="bottom"/>
          </w:tcPr>
          <w:p w14:paraId="5026C51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7A64888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7DD7911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22" w:type="pct"/>
            <w:tcBorders>
              <w:top w:val="nil"/>
              <w:left w:val="nil"/>
              <w:bottom w:val="nil"/>
              <w:right w:val="nil"/>
            </w:tcBorders>
            <w:shd w:val="clear" w:color="auto" w:fill="auto"/>
            <w:noWrap/>
            <w:vAlign w:val="bottom"/>
          </w:tcPr>
          <w:p w14:paraId="51E51F2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Arial"/>
                <w:color w:val="000000"/>
                <w:sz w:val="14"/>
                <w:szCs w:val="14"/>
                <w:lang w:eastAsia="zh-CN"/>
              </w:rPr>
              <w:t>–</w:t>
            </w:r>
          </w:p>
        </w:tc>
        <w:tc>
          <w:tcPr>
            <w:tcW w:w="227" w:type="pct"/>
            <w:tcBorders>
              <w:top w:val="nil"/>
              <w:left w:val="single" w:sz="4" w:space="0" w:color="auto"/>
              <w:bottom w:val="nil"/>
              <w:right w:val="nil"/>
            </w:tcBorders>
            <w:shd w:val="clear" w:color="auto" w:fill="auto"/>
            <w:noWrap/>
            <w:vAlign w:val="bottom"/>
          </w:tcPr>
          <w:p w14:paraId="5DE8FD3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18" w:type="pct"/>
            <w:tcBorders>
              <w:top w:val="nil"/>
              <w:left w:val="single" w:sz="4" w:space="0" w:color="auto"/>
              <w:bottom w:val="nil"/>
              <w:right w:val="nil"/>
            </w:tcBorders>
            <w:shd w:val="clear" w:color="auto" w:fill="auto"/>
            <w:noWrap/>
            <w:vAlign w:val="bottom"/>
          </w:tcPr>
          <w:p w14:paraId="4E48512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single" w:sz="4" w:space="0" w:color="auto"/>
              <w:bottom w:val="nil"/>
              <w:right w:val="single" w:sz="4" w:space="0" w:color="auto"/>
            </w:tcBorders>
            <w:shd w:val="clear" w:color="auto" w:fill="auto"/>
            <w:noWrap/>
            <w:vAlign w:val="bottom"/>
          </w:tcPr>
          <w:p w14:paraId="475EE56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1E940AF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nil"/>
            </w:tcBorders>
            <w:shd w:val="clear" w:color="auto" w:fill="auto"/>
            <w:noWrap/>
            <w:vAlign w:val="bottom"/>
          </w:tcPr>
          <w:p w14:paraId="3074ADE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single" w:sz="4" w:space="0" w:color="auto"/>
              <w:bottom w:val="nil"/>
              <w:right w:val="single" w:sz="4" w:space="0" w:color="auto"/>
            </w:tcBorders>
            <w:shd w:val="clear" w:color="auto" w:fill="auto"/>
            <w:noWrap/>
            <w:vAlign w:val="bottom"/>
          </w:tcPr>
          <w:p w14:paraId="0740FF9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126 485</w:t>
            </w:r>
          </w:p>
        </w:tc>
      </w:tr>
      <w:tr w:rsidR="00761B6C" w:rsidRPr="00236418" w14:paraId="62BB9705"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0564321D" w14:textId="77777777" w:rsidR="00761B6C" w:rsidRPr="00236418" w:rsidRDefault="00761B6C" w:rsidP="00761B6C">
            <w:pPr>
              <w:pStyle w:val="Tabletext"/>
              <w:spacing w:before="0" w:after="0"/>
              <w:rPr>
                <w:sz w:val="14"/>
                <w:szCs w:val="14"/>
                <w:lang w:eastAsia="zh-CN"/>
              </w:rPr>
            </w:pPr>
            <w:r w:rsidRPr="00236418">
              <w:rPr>
                <w:sz w:val="14"/>
                <w:szCs w:val="14"/>
              </w:rPr>
              <w:t>Contributions volontaires</w:t>
            </w:r>
          </w:p>
        </w:tc>
        <w:tc>
          <w:tcPr>
            <w:tcW w:w="305" w:type="pct"/>
            <w:tcBorders>
              <w:top w:val="nil"/>
              <w:left w:val="single" w:sz="4" w:space="0" w:color="auto"/>
              <w:bottom w:val="nil"/>
              <w:right w:val="single" w:sz="4" w:space="0" w:color="auto"/>
            </w:tcBorders>
            <w:shd w:val="clear" w:color="auto" w:fill="auto"/>
            <w:noWrap/>
            <w:vAlign w:val="bottom"/>
          </w:tcPr>
          <w:p w14:paraId="6FE3487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7D5F02F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4100ED5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5B9DB39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4" w:type="pct"/>
            <w:tcBorders>
              <w:top w:val="nil"/>
              <w:left w:val="nil"/>
              <w:bottom w:val="nil"/>
              <w:right w:val="nil"/>
            </w:tcBorders>
            <w:shd w:val="clear" w:color="auto" w:fill="auto"/>
            <w:noWrap/>
            <w:vAlign w:val="bottom"/>
          </w:tcPr>
          <w:p w14:paraId="4C0070C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 </w:t>
            </w:r>
          </w:p>
        </w:tc>
        <w:tc>
          <w:tcPr>
            <w:tcW w:w="304" w:type="pct"/>
            <w:tcBorders>
              <w:top w:val="nil"/>
              <w:left w:val="single" w:sz="4" w:space="0" w:color="auto"/>
              <w:bottom w:val="nil"/>
              <w:right w:val="single" w:sz="4" w:space="0" w:color="auto"/>
            </w:tcBorders>
            <w:shd w:val="clear" w:color="auto" w:fill="auto"/>
            <w:noWrap/>
            <w:vAlign w:val="bottom"/>
          </w:tcPr>
          <w:p w14:paraId="47F3DEA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1 </w:t>
            </w:r>
          </w:p>
        </w:tc>
        <w:tc>
          <w:tcPr>
            <w:tcW w:w="262" w:type="pct"/>
            <w:tcBorders>
              <w:top w:val="nil"/>
              <w:left w:val="nil"/>
              <w:bottom w:val="nil"/>
              <w:right w:val="single" w:sz="4" w:space="0" w:color="auto"/>
            </w:tcBorders>
            <w:shd w:val="clear" w:color="auto" w:fill="auto"/>
            <w:noWrap/>
            <w:vAlign w:val="bottom"/>
          </w:tcPr>
          <w:p w14:paraId="71B1B4B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496F8B1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5738598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27D0991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3 740</w:t>
            </w:r>
          </w:p>
        </w:tc>
        <w:tc>
          <w:tcPr>
            <w:tcW w:w="227" w:type="pct"/>
            <w:tcBorders>
              <w:top w:val="nil"/>
              <w:left w:val="nil"/>
              <w:bottom w:val="nil"/>
              <w:right w:val="single" w:sz="4" w:space="0" w:color="auto"/>
            </w:tcBorders>
            <w:shd w:val="clear" w:color="auto" w:fill="auto"/>
            <w:noWrap/>
            <w:vAlign w:val="bottom"/>
          </w:tcPr>
          <w:p w14:paraId="088EE96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6 603</w:t>
            </w:r>
          </w:p>
        </w:tc>
        <w:tc>
          <w:tcPr>
            <w:tcW w:w="218" w:type="pct"/>
            <w:tcBorders>
              <w:top w:val="nil"/>
              <w:left w:val="nil"/>
              <w:bottom w:val="nil"/>
              <w:right w:val="single" w:sz="4" w:space="0" w:color="auto"/>
            </w:tcBorders>
            <w:shd w:val="clear" w:color="auto" w:fill="auto"/>
            <w:noWrap/>
            <w:vAlign w:val="bottom"/>
          </w:tcPr>
          <w:p w14:paraId="6D9C84D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566</w:t>
            </w:r>
          </w:p>
        </w:tc>
        <w:tc>
          <w:tcPr>
            <w:tcW w:w="174" w:type="pct"/>
            <w:tcBorders>
              <w:top w:val="nil"/>
              <w:left w:val="nil"/>
              <w:bottom w:val="nil"/>
              <w:right w:val="single" w:sz="4" w:space="0" w:color="auto"/>
            </w:tcBorders>
            <w:shd w:val="clear" w:color="auto" w:fill="auto"/>
            <w:noWrap/>
            <w:vAlign w:val="bottom"/>
          </w:tcPr>
          <w:p w14:paraId="28A0C19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–453</w:t>
            </w:r>
          </w:p>
        </w:tc>
        <w:tc>
          <w:tcPr>
            <w:tcW w:w="261" w:type="pct"/>
            <w:tcBorders>
              <w:top w:val="nil"/>
              <w:left w:val="nil"/>
              <w:bottom w:val="nil"/>
              <w:right w:val="single" w:sz="4" w:space="0" w:color="auto"/>
            </w:tcBorders>
            <w:shd w:val="clear" w:color="auto" w:fill="auto"/>
            <w:noWrap/>
            <w:vAlign w:val="bottom"/>
          </w:tcPr>
          <w:p w14:paraId="3A305C9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6C5D857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5AD61A4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10 456</w:t>
            </w:r>
          </w:p>
        </w:tc>
      </w:tr>
      <w:tr w:rsidR="00761B6C" w:rsidRPr="00236418" w14:paraId="7031DD6D"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519D8A9C" w14:textId="77777777" w:rsidR="00761B6C" w:rsidRPr="00236418" w:rsidRDefault="00761B6C" w:rsidP="00761B6C">
            <w:pPr>
              <w:pStyle w:val="Tabletext"/>
              <w:spacing w:before="0" w:after="0"/>
              <w:rPr>
                <w:sz w:val="14"/>
                <w:szCs w:val="14"/>
                <w:lang w:eastAsia="zh-CN"/>
              </w:rPr>
            </w:pPr>
            <w:r w:rsidRPr="00236418">
              <w:rPr>
                <w:sz w:val="14"/>
                <w:szCs w:val="14"/>
              </w:rPr>
              <w:t>Publications</w:t>
            </w:r>
          </w:p>
        </w:tc>
        <w:tc>
          <w:tcPr>
            <w:tcW w:w="305" w:type="pct"/>
            <w:tcBorders>
              <w:top w:val="nil"/>
              <w:left w:val="single" w:sz="4" w:space="0" w:color="auto"/>
              <w:bottom w:val="nil"/>
              <w:right w:val="single" w:sz="4" w:space="0" w:color="auto"/>
            </w:tcBorders>
            <w:shd w:val="clear" w:color="auto" w:fill="auto"/>
            <w:noWrap/>
            <w:vAlign w:val="bottom"/>
          </w:tcPr>
          <w:p w14:paraId="23DB5CD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31845EB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3E338E4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5AE6A2F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4" w:type="pct"/>
            <w:tcBorders>
              <w:top w:val="nil"/>
              <w:left w:val="nil"/>
              <w:bottom w:val="nil"/>
              <w:right w:val="nil"/>
            </w:tcBorders>
            <w:shd w:val="clear" w:color="auto" w:fill="auto"/>
            <w:noWrap/>
            <w:vAlign w:val="bottom"/>
          </w:tcPr>
          <w:p w14:paraId="5D06E81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w:t>
            </w:r>
          </w:p>
        </w:tc>
        <w:tc>
          <w:tcPr>
            <w:tcW w:w="304" w:type="pct"/>
            <w:tcBorders>
              <w:top w:val="nil"/>
              <w:left w:val="single" w:sz="4" w:space="0" w:color="auto"/>
              <w:bottom w:val="nil"/>
              <w:right w:val="single" w:sz="4" w:space="0" w:color="auto"/>
            </w:tcBorders>
            <w:shd w:val="clear" w:color="auto" w:fill="auto"/>
            <w:noWrap/>
            <w:vAlign w:val="bottom"/>
          </w:tcPr>
          <w:p w14:paraId="6D03D9E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w:t>
            </w:r>
          </w:p>
        </w:tc>
        <w:tc>
          <w:tcPr>
            <w:tcW w:w="262" w:type="pct"/>
            <w:tcBorders>
              <w:top w:val="nil"/>
              <w:left w:val="nil"/>
              <w:bottom w:val="nil"/>
              <w:right w:val="single" w:sz="4" w:space="0" w:color="auto"/>
            </w:tcBorders>
            <w:shd w:val="clear" w:color="auto" w:fill="auto"/>
            <w:noWrap/>
            <w:vAlign w:val="bottom"/>
          </w:tcPr>
          <w:p w14:paraId="47CB81A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6539E4E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790FF1D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73BEE46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27" w:type="pct"/>
            <w:tcBorders>
              <w:top w:val="nil"/>
              <w:left w:val="nil"/>
              <w:bottom w:val="nil"/>
              <w:right w:val="single" w:sz="4" w:space="0" w:color="auto"/>
            </w:tcBorders>
            <w:shd w:val="clear" w:color="auto" w:fill="auto"/>
            <w:noWrap/>
            <w:vAlign w:val="bottom"/>
          </w:tcPr>
          <w:p w14:paraId="7D4E49D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18" w:type="pct"/>
            <w:tcBorders>
              <w:top w:val="nil"/>
              <w:left w:val="nil"/>
              <w:bottom w:val="nil"/>
              <w:right w:val="single" w:sz="4" w:space="0" w:color="auto"/>
            </w:tcBorders>
            <w:shd w:val="clear" w:color="auto" w:fill="auto"/>
            <w:noWrap/>
            <w:vAlign w:val="bottom"/>
          </w:tcPr>
          <w:p w14:paraId="3F74B7D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7BBEA0F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5B32952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3E90B63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50ABF70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w:t>
            </w:r>
          </w:p>
        </w:tc>
      </w:tr>
      <w:tr w:rsidR="00761B6C" w:rsidRPr="00236418" w14:paraId="53E5263B"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44089CC7" w14:textId="77777777" w:rsidR="00761B6C" w:rsidRPr="00236418" w:rsidRDefault="00761B6C" w:rsidP="00761B6C">
            <w:pPr>
              <w:pStyle w:val="Tabletext"/>
              <w:spacing w:before="0" w:after="0"/>
              <w:rPr>
                <w:sz w:val="14"/>
                <w:szCs w:val="14"/>
                <w:lang w:eastAsia="zh-CN"/>
              </w:rPr>
            </w:pPr>
            <w:r w:rsidRPr="00236418">
              <w:rPr>
                <w:sz w:val="14"/>
                <w:szCs w:val="14"/>
              </w:rPr>
              <w:t>Recouvrement des coûts</w:t>
            </w:r>
          </w:p>
        </w:tc>
        <w:tc>
          <w:tcPr>
            <w:tcW w:w="305" w:type="pct"/>
            <w:tcBorders>
              <w:top w:val="nil"/>
              <w:left w:val="single" w:sz="4" w:space="0" w:color="auto"/>
              <w:bottom w:val="nil"/>
              <w:right w:val="single" w:sz="4" w:space="0" w:color="auto"/>
            </w:tcBorders>
            <w:shd w:val="clear" w:color="auto" w:fill="auto"/>
            <w:noWrap/>
            <w:vAlign w:val="bottom"/>
          </w:tcPr>
          <w:p w14:paraId="197353A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1 585</w:t>
            </w:r>
          </w:p>
        </w:tc>
        <w:tc>
          <w:tcPr>
            <w:tcW w:w="305" w:type="pct"/>
            <w:tcBorders>
              <w:top w:val="nil"/>
              <w:left w:val="nil"/>
              <w:bottom w:val="nil"/>
              <w:right w:val="single" w:sz="4" w:space="0" w:color="auto"/>
            </w:tcBorders>
            <w:shd w:val="clear" w:color="auto" w:fill="auto"/>
            <w:noWrap/>
            <w:vAlign w:val="bottom"/>
          </w:tcPr>
          <w:p w14:paraId="785C69C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27 507</w:t>
            </w:r>
          </w:p>
        </w:tc>
        <w:tc>
          <w:tcPr>
            <w:tcW w:w="348" w:type="pct"/>
            <w:tcBorders>
              <w:top w:val="nil"/>
              <w:left w:val="nil"/>
              <w:bottom w:val="nil"/>
              <w:right w:val="single" w:sz="4" w:space="0" w:color="auto"/>
            </w:tcBorders>
            <w:shd w:val="clear" w:color="auto" w:fill="auto"/>
            <w:noWrap/>
            <w:vAlign w:val="bottom"/>
          </w:tcPr>
          <w:p w14:paraId="0C53082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141</w:t>
            </w:r>
          </w:p>
        </w:tc>
        <w:tc>
          <w:tcPr>
            <w:tcW w:w="347" w:type="pct"/>
            <w:tcBorders>
              <w:top w:val="nil"/>
              <w:left w:val="nil"/>
              <w:bottom w:val="nil"/>
              <w:right w:val="single" w:sz="4" w:space="0" w:color="auto"/>
            </w:tcBorders>
            <w:shd w:val="clear" w:color="auto" w:fill="auto"/>
            <w:noWrap/>
            <w:vAlign w:val="bottom"/>
          </w:tcPr>
          <w:p w14:paraId="686BB82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110 </w:t>
            </w:r>
          </w:p>
        </w:tc>
        <w:tc>
          <w:tcPr>
            <w:tcW w:w="304" w:type="pct"/>
            <w:tcBorders>
              <w:top w:val="nil"/>
              <w:left w:val="nil"/>
              <w:bottom w:val="nil"/>
              <w:right w:val="nil"/>
            </w:tcBorders>
            <w:shd w:val="clear" w:color="auto" w:fill="auto"/>
            <w:noWrap/>
            <w:vAlign w:val="bottom"/>
          </w:tcPr>
          <w:p w14:paraId="0785563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881 </w:t>
            </w:r>
          </w:p>
        </w:tc>
        <w:tc>
          <w:tcPr>
            <w:tcW w:w="304" w:type="pct"/>
            <w:tcBorders>
              <w:top w:val="nil"/>
              <w:left w:val="single" w:sz="4" w:space="0" w:color="auto"/>
              <w:bottom w:val="nil"/>
              <w:right w:val="single" w:sz="4" w:space="0" w:color="auto"/>
            </w:tcBorders>
            <w:shd w:val="clear" w:color="auto" w:fill="auto"/>
            <w:noWrap/>
            <w:vAlign w:val="bottom"/>
          </w:tcPr>
          <w:p w14:paraId="21483FF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30 224 </w:t>
            </w:r>
          </w:p>
        </w:tc>
        <w:tc>
          <w:tcPr>
            <w:tcW w:w="262" w:type="pct"/>
            <w:tcBorders>
              <w:top w:val="nil"/>
              <w:left w:val="nil"/>
              <w:bottom w:val="nil"/>
              <w:right w:val="single" w:sz="4" w:space="0" w:color="auto"/>
            </w:tcBorders>
            <w:shd w:val="clear" w:color="auto" w:fill="auto"/>
            <w:noWrap/>
            <w:vAlign w:val="bottom"/>
          </w:tcPr>
          <w:p w14:paraId="6BCB8A8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7A8D362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166448E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204E40D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27" w:type="pct"/>
            <w:tcBorders>
              <w:top w:val="nil"/>
              <w:left w:val="nil"/>
              <w:bottom w:val="nil"/>
              <w:right w:val="single" w:sz="4" w:space="0" w:color="auto"/>
            </w:tcBorders>
            <w:shd w:val="clear" w:color="auto" w:fill="auto"/>
            <w:noWrap/>
            <w:vAlign w:val="bottom"/>
          </w:tcPr>
          <w:p w14:paraId="751AD11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18" w:type="pct"/>
            <w:tcBorders>
              <w:top w:val="nil"/>
              <w:left w:val="nil"/>
              <w:bottom w:val="nil"/>
              <w:right w:val="single" w:sz="4" w:space="0" w:color="auto"/>
            </w:tcBorders>
            <w:shd w:val="clear" w:color="auto" w:fill="auto"/>
            <w:noWrap/>
            <w:vAlign w:val="bottom"/>
          </w:tcPr>
          <w:p w14:paraId="20D4871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14507E6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6F0E6D4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1783A65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–1 971 </w:t>
            </w:r>
          </w:p>
        </w:tc>
        <w:tc>
          <w:tcPr>
            <w:tcW w:w="302" w:type="pct"/>
            <w:tcBorders>
              <w:top w:val="nil"/>
              <w:left w:val="nil"/>
              <w:bottom w:val="nil"/>
              <w:right w:val="single" w:sz="4" w:space="0" w:color="auto"/>
            </w:tcBorders>
            <w:shd w:val="clear" w:color="auto" w:fill="auto"/>
            <w:noWrap/>
            <w:vAlign w:val="bottom"/>
          </w:tcPr>
          <w:p w14:paraId="30915E8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28 253</w:t>
            </w:r>
          </w:p>
        </w:tc>
      </w:tr>
      <w:tr w:rsidR="00761B6C" w:rsidRPr="00236418" w14:paraId="71A31530"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18F88B90" w14:textId="77777777" w:rsidR="00761B6C" w:rsidRPr="00236418" w:rsidRDefault="00761B6C" w:rsidP="00761B6C">
            <w:pPr>
              <w:pStyle w:val="Tabletext"/>
              <w:spacing w:before="0" w:after="0"/>
              <w:rPr>
                <w:sz w:val="14"/>
                <w:szCs w:val="14"/>
                <w:lang w:eastAsia="zh-CN"/>
              </w:rPr>
            </w:pPr>
            <w:r w:rsidRPr="00236418">
              <w:rPr>
                <w:sz w:val="14"/>
                <w:szCs w:val="14"/>
              </w:rPr>
              <w:t>Autres produits</w:t>
            </w:r>
          </w:p>
        </w:tc>
        <w:tc>
          <w:tcPr>
            <w:tcW w:w="305" w:type="pct"/>
            <w:tcBorders>
              <w:top w:val="nil"/>
              <w:left w:val="single" w:sz="4" w:space="0" w:color="auto"/>
              <w:bottom w:val="nil"/>
              <w:right w:val="single" w:sz="4" w:space="0" w:color="auto"/>
            </w:tcBorders>
            <w:shd w:val="clear" w:color="auto" w:fill="auto"/>
            <w:noWrap/>
            <w:vAlign w:val="bottom"/>
          </w:tcPr>
          <w:p w14:paraId="120EDCE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47</w:t>
            </w:r>
          </w:p>
        </w:tc>
        <w:tc>
          <w:tcPr>
            <w:tcW w:w="305" w:type="pct"/>
            <w:tcBorders>
              <w:top w:val="nil"/>
              <w:left w:val="nil"/>
              <w:bottom w:val="nil"/>
              <w:right w:val="single" w:sz="4" w:space="0" w:color="auto"/>
            </w:tcBorders>
            <w:shd w:val="clear" w:color="auto" w:fill="auto"/>
            <w:noWrap/>
            <w:vAlign w:val="bottom"/>
          </w:tcPr>
          <w:p w14:paraId="5F3CFEE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178</w:t>
            </w:r>
          </w:p>
        </w:tc>
        <w:tc>
          <w:tcPr>
            <w:tcW w:w="348" w:type="pct"/>
            <w:tcBorders>
              <w:top w:val="nil"/>
              <w:left w:val="nil"/>
              <w:bottom w:val="nil"/>
              <w:right w:val="single" w:sz="4" w:space="0" w:color="auto"/>
            </w:tcBorders>
            <w:shd w:val="clear" w:color="auto" w:fill="auto"/>
            <w:noWrap/>
            <w:vAlign w:val="bottom"/>
          </w:tcPr>
          <w:p w14:paraId="420BC93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w:t>
            </w:r>
          </w:p>
        </w:tc>
        <w:tc>
          <w:tcPr>
            <w:tcW w:w="347" w:type="pct"/>
            <w:tcBorders>
              <w:top w:val="nil"/>
              <w:left w:val="nil"/>
              <w:bottom w:val="nil"/>
              <w:right w:val="single" w:sz="4" w:space="0" w:color="auto"/>
            </w:tcBorders>
            <w:shd w:val="clear" w:color="auto" w:fill="auto"/>
            <w:noWrap/>
            <w:vAlign w:val="bottom"/>
          </w:tcPr>
          <w:p w14:paraId="5933595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 </w:t>
            </w:r>
          </w:p>
        </w:tc>
        <w:tc>
          <w:tcPr>
            <w:tcW w:w="304" w:type="pct"/>
            <w:tcBorders>
              <w:top w:val="nil"/>
              <w:left w:val="nil"/>
              <w:bottom w:val="nil"/>
              <w:right w:val="nil"/>
            </w:tcBorders>
            <w:shd w:val="clear" w:color="auto" w:fill="auto"/>
            <w:noWrap/>
            <w:vAlign w:val="bottom"/>
          </w:tcPr>
          <w:p w14:paraId="21F80D7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1 104 </w:t>
            </w:r>
          </w:p>
        </w:tc>
        <w:tc>
          <w:tcPr>
            <w:tcW w:w="304" w:type="pct"/>
            <w:tcBorders>
              <w:top w:val="nil"/>
              <w:left w:val="single" w:sz="4" w:space="0" w:color="auto"/>
              <w:bottom w:val="nil"/>
              <w:right w:val="single" w:sz="4" w:space="0" w:color="auto"/>
            </w:tcBorders>
            <w:shd w:val="clear" w:color="auto" w:fill="auto"/>
            <w:noWrap/>
            <w:vAlign w:val="bottom"/>
          </w:tcPr>
          <w:p w14:paraId="44296F6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1 332 </w:t>
            </w:r>
          </w:p>
        </w:tc>
        <w:tc>
          <w:tcPr>
            <w:tcW w:w="262" w:type="pct"/>
            <w:tcBorders>
              <w:top w:val="nil"/>
              <w:left w:val="nil"/>
              <w:bottom w:val="nil"/>
              <w:right w:val="single" w:sz="4" w:space="0" w:color="auto"/>
            </w:tcBorders>
            <w:shd w:val="clear" w:color="auto" w:fill="auto"/>
            <w:noWrap/>
            <w:vAlign w:val="bottom"/>
          </w:tcPr>
          <w:p w14:paraId="04A3FF8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228F164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3 040 </w:t>
            </w:r>
          </w:p>
        </w:tc>
        <w:tc>
          <w:tcPr>
            <w:tcW w:w="249" w:type="pct"/>
            <w:tcBorders>
              <w:top w:val="nil"/>
              <w:left w:val="nil"/>
              <w:bottom w:val="nil"/>
              <w:right w:val="single" w:sz="4" w:space="0" w:color="auto"/>
            </w:tcBorders>
            <w:shd w:val="clear" w:color="auto" w:fill="auto"/>
            <w:noWrap/>
            <w:vAlign w:val="bottom"/>
          </w:tcPr>
          <w:p w14:paraId="665707D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33D3F58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116 </w:t>
            </w:r>
          </w:p>
        </w:tc>
        <w:tc>
          <w:tcPr>
            <w:tcW w:w="227" w:type="pct"/>
            <w:tcBorders>
              <w:top w:val="nil"/>
              <w:left w:val="nil"/>
              <w:bottom w:val="nil"/>
              <w:right w:val="single" w:sz="4" w:space="0" w:color="auto"/>
            </w:tcBorders>
            <w:shd w:val="clear" w:color="auto" w:fill="auto"/>
            <w:noWrap/>
            <w:vAlign w:val="bottom"/>
          </w:tcPr>
          <w:p w14:paraId="6580227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132 </w:t>
            </w:r>
          </w:p>
        </w:tc>
        <w:tc>
          <w:tcPr>
            <w:tcW w:w="218" w:type="pct"/>
            <w:tcBorders>
              <w:top w:val="nil"/>
              <w:left w:val="nil"/>
              <w:bottom w:val="nil"/>
              <w:right w:val="single" w:sz="4" w:space="0" w:color="auto"/>
            </w:tcBorders>
            <w:shd w:val="clear" w:color="auto" w:fill="auto"/>
            <w:noWrap/>
            <w:vAlign w:val="bottom"/>
          </w:tcPr>
          <w:p w14:paraId="7FB8612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5F73775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6BB6601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6 908 </w:t>
            </w:r>
          </w:p>
        </w:tc>
        <w:tc>
          <w:tcPr>
            <w:tcW w:w="348" w:type="pct"/>
            <w:tcBorders>
              <w:top w:val="nil"/>
              <w:left w:val="nil"/>
              <w:bottom w:val="nil"/>
              <w:right w:val="single" w:sz="4" w:space="0" w:color="auto"/>
            </w:tcBorders>
            <w:shd w:val="clear" w:color="auto" w:fill="auto"/>
            <w:noWrap/>
            <w:vAlign w:val="bottom"/>
          </w:tcPr>
          <w:p w14:paraId="4E90DBC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–415 </w:t>
            </w:r>
          </w:p>
        </w:tc>
        <w:tc>
          <w:tcPr>
            <w:tcW w:w="302" w:type="pct"/>
            <w:tcBorders>
              <w:top w:val="nil"/>
              <w:left w:val="nil"/>
              <w:bottom w:val="nil"/>
              <w:right w:val="single" w:sz="4" w:space="0" w:color="auto"/>
            </w:tcBorders>
            <w:shd w:val="clear" w:color="auto" w:fill="auto"/>
            <w:noWrap/>
            <w:vAlign w:val="bottom"/>
          </w:tcPr>
          <w:p w14:paraId="264CF6C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11 113 </w:t>
            </w:r>
          </w:p>
        </w:tc>
      </w:tr>
      <w:tr w:rsidR="00761B6C" w:rsidRPr="00236418" w14:paraId="5F0D85A0"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1870D2CB" w14:textId="77777777" w:rsidR="00761B6C" w:rsidRPr="00236418" w:rsidRDefault="00761B6C" w:rsidP="00761B6C">
            <w:pPr>
              <w:pStyle w:val="Tabletext"/>
              <w:spacing w:before="0" w:after="0"/>
              <w:rPr>
                <w:sz w:val="14"/>
                <w:szCs w:val="14"/>
                <w:lang w:eastAsia="zh-CN"/>
              </w:rPr>
            </w:pPr>
            <w:r w:rsidRPr="00236418">
              <w:rPr>
                <w:sz w:val="14"/>
                <w:szCs w:val="14"/>
              </w:rPr>
              <w:t>Produits financiers</w:t>
            </w:r>
          </w:p>
        </w:tc>
        <w:tc>
          <w:tcPr>
            <w:tcW w:w="305" w:type="pct"/>
            <w:tcBorders>
              <w:top w:val="nil"/>
              <w:left w:val="single" w:sz="4" w:space="0" w:color="auto"/>
              <w:bottom w:val="nil"/>
              <w:right w:val="single" w:sz="4" w:space="0" w:color="auto"/>
            </w:tcBorders>
            <w:shd w:val="clear" w:color="auto" w:fill="auto"/>
            <w:noWrap/>
            <w:vAlign w:val="bottom"/>
          </w:tcPr>
          <w:p w14:paraId="3B536F1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0AD8B74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36FC831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103E418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 </w:t>
            </w:r>
          </w:p>
        </w:tc>
        <w:tc>
          <w:tcPr>
            <w:tcW w:w="304" w:type="pct"/>
            <w:tcBorders>
              <w:top w:val="nil"/>
              <w:left w:val="nil"/>
              <w:bottom w:val="nil"/>
              <w:right w:val="nil"/>
            </w:tcBorders>
            <w:shd w:val="clear" w:color="auto" w:fill="auto"/>
            <w:noWrap/>
            <w:vAlign w:val="bottom"/>
          </w:tcPr>
          <w:p w14:paraId="3F64C40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9 940 </w:t>
            </w:r>
          </w:p>
        </w:tc>
        <w:tc>
          <w:tcPr>
            <w:tcW w:w="304" w:type="pct"/>
            <w:tcBorders>
              <w:top w:val="nil"/>
              <w:left w:val="single" w:sz="4" w:space="0" w:color="auto"/>
              <w:bottom w:val="nil"/>
              <w:right w:val="single" w:sz="4" w:space="0" w:color="auto"/>
            </w:tcBorders>
            <w:shd w:val="clear" w:color="auto" w:fill="auto"/>
            <w:noWrap/>
            <w:vAlign w:val="bottom"/>
          </w:tcPr>
          <w:p w14:paraId="17C09D7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9 942 </w:t>
            </w:r>
          </w:p>
        </w:tc>
        <w:tc>
          <w:tcPr>
            <w:tcW w:w="262" w:type="pct"/>
            <w:tcBorders>
              <w:top w:val="nil"/>
              <w:left w:val="nil"/>
              <w:bottom w:val="nil"/>
              <w:right w:val="single" w:sz="4" w:space="0" w:color="auto"/>
            </w:tcBorders>
            <w:shd w:val="clear" w:color="auto" w:fill="auto"/>
            <w:noWrap/>
            <w:vAlign w:val="bottom"/>
          </w:tcPr>
          <w:p w14:paraId="53662AD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1187161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06670D8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3A7DDA9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12 </w:t>
            </w:r>
          </w:p>
        </w:tc>
        <w:tc>
          <w:tcPr>
            <w:tcW w:w="227" w:type="pct"/>
            <w:tcBorders>
              <w:top w:val="nil"/>
              <w:left w:val="nil"/>
              <w:bottom w:val="nil"/>
              <w:right w:val="single" w:sz="4" w:space="0" w:color="auto"/>
            </w:tcBorders>
            <w:shd w:val="clear" w:color="auto" w:fill="auto"/>
            <w:noWrap/>
            <w:vAlign w:val="bottom"/>
          </w:tcPr>
          <w:p w14:paraId="0937ACB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709 </w:t>
            </w:r>
          </w:p>
        </w:tc>
        <w:tc>
          <w:tcPr>
            <w:tcW w:w="218" w:type="pct"/>
            <w:tcBorders>
              <w:top w:val="nil"/>
              <w:left w:val="nil"/>
              <w:bottom w:val="nil"/>
              <w:right w:val="single" w:sz="4" w:space="0" w:color="auto"/>
            </w:tcBorders>
            <w:shd w:val="clear" w:color="auto" w:fill="auto"/>
            <w:noWrap/>
            <w:vAlign w:val="bottom"/>
          </w:tcPr>
          <w:p w14:paraId="37E8FA5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110</w:t>
            </w:r>
          </w:p>
        </w:tc>
        <w:tc>
          <w:tcPr>
            <w:tcW w:w="174" w:type="pct"/>
            <w:tcBorders>
              <w:top w:val="nil"/>
              <w:left w:val="nil"/>
              <w:bottom w:val="nil"/>
              <w:right w:val="single" w:sz="4" w:space="0" w:color="auto"/>
            </w:tcBorders>
            <w:shd w:val="clear" w:color="auto" w:fill="auto"/>
            <w:noWrap/>
            <w:vAlign w:val="bottom"/>
          </w:tcPr>
          <w:p w14:paraId="7FD88EA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 96 </w:t>
            </w:r>
          </w:p>
        </w:tc>
        <w:tc>
          <w:tcPr>
            <w:tcW w:w="261" w:type="pct"/>
            <w:tcBorders>
              <w:top w:val="nil"/>
              <w:left w:val="nil"/>
              <w:bottom w:val="nil"/>
              <w:right w:val="single" w:sz="4" w:space="0" w:color="auto"/>
            </w:tcBorders>
            <w:shd w:val="clear" w:color="auto" w:fill="auto"/>
            <w:noWrap/>
            <w:vAlign w:val="bottom"/>
          </w:tcPr>
          <w:p w14:paraId="31E4AB1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w:t>
            </w:r>
          </w:p>
        </w:tc>
        <w:tc>
          <w:tcPr>
            <w:tcW w:w="348" w:type="pct"/>
            <w:tcBorders>
              <w:top w:val="nil"/>
              <w:left w:val="nil"/>
              <w:bottom w:val="nil"/>
              <w:right w:val="single" w:sz="4" w:space="0" w:color="auto"/>
            </w:tcBorders>
            <w:shd w:val="clear" w:color="auto" w:fill="auto"/>
            <w:noWrap/>
            <w:vAlign w:val="bottom"/>
          </w:tcPr>
          <w:p w14:paraId="2C83EA0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5BB58DC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10 871</w:t>
            </w:r>
          </w:p>
        </w:tc>
      </w:tr>
      <w:tr w:rsidR="00761B6C" w:rsidRPr="00236418" w14:paraId="6FF93CD4"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24CC4602" w14:textId="77777777" w:rsidR="00761B6C" w:rsidRPr="00236418" w:rsidRDefault="00761B6C" w:rsidP="00761B6C">
            <w:pPr>
              <w:pStyle w:val="Tabletext"/>
              <w:spacing w:before="0" w:after="0"/>
              <w:rPr>
                <w:sz w:val="14"/>
                <w:szCs w:val="14"/>
                <w:lang w:eastAsia="zh-CN"/>
              </w:rPr>
            </w:pPr>
            <w:r w:rsidRPr="00236418">
              <w:rPr>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4BA6905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4FFD579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451615D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7B50DF1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4" w:type="pct"/>
            <w:tcBorders>
              <w:top w:val="nil"/>
              <w:left w:val="nil"/>
              <w:bottom w:val="nil"/>
              <w:right w:val="nil"/>
            </w:tcBorders>
            <w:shd w:val="clear" w:color="auto" w:fill="auto"/>
            <w:noWrap/>
            <w:vAlign w:val="bottom"/>
          </w:tcPr>
          <w:p w14:paraId="688AD36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4" w:type="pct"/>
            <w:tcBorders>
              <w:top w:val="nil"/>
              <w:left w:val="single" w:sz="4" w:space="0" w:color="auto"/>
              <w:bottom w:val="nil"/>
              <w:right w:val="single" w:sz="4" w:space="0" w:color="auto"/>
            </w:tcBorders>
            <w:shd w:val="clear" w:color="auto" w:fill="auto"/>
            <w:noWrap/>
            <w:vAlign w:val="bottom"/>
          </w:tcPr>
          <w:p w14:paraId="30DD588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62" w:type="pct"/>
            <w:tcBorders>
              <w:top w:val="nil"/>
              <w:left w:val="nil"/>
              <w:bottom w:val="nil"/>
              <w:right w:val="single" w:sz="4" w:space="0" w:color="auto"/>
            </w:tcBorders>
            <w:shd w:val="clear" w:color="auto" w:fill="auto"/>
            <w:noWrap/>
            <w:vAlign w:val="bottom"/>
          </w:tcPr>
          <w:p w14:paraId="369B31A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45" w:type="pct"/>
            <w:tcBorders>
              <w:top w:val="nil"/>
              <w:left w:val="nil"/>
              <w:bottom w:val="nil"/>
              <w:right w:val="single" w:sz="4" w:space="0" w:color="auto"/>
            </w:tcBorders>
            <w:shd w:val="clear" w:color="auto" w:fill="auto"/>
            <w:vAlign w:val="bottom"/>
          </w:tcPr>
          <w:p w14:paraId="7ACBB27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738B972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4D32143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27" w:type="pct"/>
            <w:tcBorders>
              <w:top w:val="nil"/>
              <w:left w:val="nil"/>
              <w:bottom w:val="nil"/>
              <w:right w:val="single" w:sz="4" w:space="0" w:color="auto"/>
            </w:tcBorders>
            <w:shd w:val="clear" w:color="auto" w:fill="auto"/>
            <w:noWrap/>
            <w:vAlign w:val="bottom"/>
          </w:tcPr>
          <w:p w14:paraId="153EA7F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18" w:type="pct"/>
            <w:tcBorders>
              <w:top w:val="nil"/>
              <w:left w:val="nil"/>
              <w:bottom w:val="nil"/>
              <w:right w:val="single" w:sz="4" w:space="0" w:color="auto"/>
            </w:tcBorders>
            <w:shd w:val="clear" w:color="auto" w:fill="auto"/>
            <w:noWrap/>
            <w:vAlign w:val="bottom"/>
          </w:tcPr>
          <w:p w14:paraId="1FBDD59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174" w:type="pct"/>
            <w:tcBorders>
              <w:top w:val="nil"/>
              <w:left w:val="nil"/>
              <w:bottom w:val="nil"/>
              <w:right w:val="single" w:sz="4" w:space="0" w:color="auto"/>
            </w:tcBorders>
            <w:shd w:val="clear" w:color="auto" w:fill="auto"/>
            <w:noWrap/>
            <w:vAlign w:val="bottom"/>
          </w:tcPr>
          <w:p w14:paraId="50B6EFA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151564B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70C5820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641AB75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p>
        </w:tc>
      </w:tr>
      <w:tr w:rsidR="00761B6C" w:rsidRPr="00236418" w14:paraId="50A29B32" w14:textId="77777777" w:rsidTr="00B93AE4">
        <w:trPr>
          <w:trHeight w:val="255"/>
          <w:jc w:val="center"/>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479F8D3F" w14:textId="77777777" w:rsidR="00761B6C" w:rsidRPr="00236418" w:rsidRDefault="00761B6C" w:rsidP="00761B6C">
            <w:pPr>
              <w:pStyle w:val="Tabletext"/>
              <w:spacing w:before="0" w:after="0"/>
              <w:rPr>
                <w:b/>
                <w:bCs/>
                <w:sz w:val="14"/>
                <w:szCs w:val="14"/>
                <w:lang w:eastAsia="zh-CN"/>
              </w:rPr>
            </w:pPr>
            <w:r w:rsidRPr="00236418">
              <w:rPr>
                <w:b/>
                <w:bCs/>
                <w:sz w:val="14"/>
                <w:szCs w:val="14"/>
                <w:lang w:eastAsia="zh-CN"/>
              </w:rPr>
              <w:t>Total des produits</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A8A0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1 632</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7C8DBD6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34 250</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4A70AB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8 304</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77536F5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1 612 </w:t>
            </w:r>
          </w:p>
        </w:tc>
        <w:tc>
          <w:tcPr>
            <w:tcW w:w="304" w:type="pct"/>
            <w:tcBorders>
              <w:top w:val="single" w:sz="4" w:space="0" w:color="auto"/>
              <w:left w:val="nil"/>
              <w:bottom w:val="single" w:sz="4" w:space="0" w:color="auto"/>
              <w:right w:val="nil"/>
            </w:tcBorders>
            <w:shd w:val="clear" w:color="auto" w:fill="auto"/>
            <w:noWrap/>
            <w:vAlign w:val="center"/>
          </w:tcPr>
          <w:p w14:paraId="56E33A6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22,184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4DE3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167 983 </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0E629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w:t>
            </w:r>
          </w:p>
        </w:tc>
        <w:tc>
          <w:tcPr>
            <w:tcW w:w="245" w:type="pct"/>
            <w:tcBorders>
              <w:top w:val="single" w:sz="4" w:space="0" w:color="auto"/>
              <w:left w:val="nil"/>
              <w:bottom w:val="single" w:sz="4" w:space="0" w:color="auto"/>
              <w:right w:val="single" w:sz="4" w:space="0" w:color="auto"/>
            </w:tcBorders>
            <w:shd w:val="clear" w:color="auto" w:fill="auto"/>
            <w:vAlign w:val="center"/>
          </w:tcPr>
          <w:p w14:paraId="71E8F69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3 040 </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1148366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 </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1A5BCE8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3 867 </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4F0F0B5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7 443 </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0F3259C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675 </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19AAECF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–357</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4D5209D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6 910 </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5F4F45F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–2 385 </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7F3C8AB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187 177 </w:t>
            </w:r>
          </w:p>
        </w:tc>
      </w:tr>
      <w:tr w:rsidR="00761B6C" w:rsidRPr="00236418" w14:paraId="1E4271A6"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0928ABCD" w14:textId="77777777" w:rsidR="00761B6C" w:rsidRPr="00236418" w:rsidRDefault="00761B6C" w:rsidP="00761B6C">
            <w:pPr>
              <w:pStyle w:val="Tabletext"/>
              <w:spacing w:before="0" w:after="0"/>
              <w:rPr>
                <w:b/>
                <w:bCs/>
                <w:sz w:val="14"/>
                <w:szCs w:val="14"/>
                <w:lang w:eastAsia="zh-CN"/>
              </w:rPr>
            </w:pPr>
            <w:r w:rsidRPr="00236418">
              <w:rPr>
                <w:b/>
                <w:bCs/>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78539AC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3A64E2A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4B5853A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168EC50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4" w:type="pct"/>
            <w:tcBorders>
              <w:top w:val="nil"/>
              <w:left w:val="nil"/>
              <w:bottom w:val="nil"/>
              <w:right w:val="nil"/>
            </w:tcBorders>
            <w:shd w:val="clear" w:color="auto" w:fill="auto"/>
            <w:noWrap/>
            <w:vAlign w:val="bottom"/>
          </w:tcPr>
          <w:p w14:paraId="7E2870D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4" w:type="pct"/>
            <w:tcBorders>
              <w:top w:val="nil"/>
              <w:left w:val="single" w:sz="4" w:space="0" w:color="auto"/>
              <w:bottom w:val="nil"/>
              <w:right w:val="single" w:sz="4" w:space="0" w:color="auto"/>
            </w:tcBorders>
            <w:shd w:val="clear" w:color="auto" w:fill="auto"/>
            <w:noWrap/>
            <w:vAlign w:val="bottom"/>
          </w:tcPr>
          <w:p w14:paraId="707D816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62" w:type="pct"/>
            <w:tcBorders>
              <w:top w:val="nil"/>
              <w:left w:val="nil"/>
              <w:bottom w:val="nil"/>
              <w:right w:val="single" w:sz="4" w:space="0" w:color="auto"/>
            </w:tcBorders>
            <w:shd w:val="clear" w:color="auto" w:fill="auto"/>
            <w:noWrap/>
            <w:vAlign w:val="bottom"/>
          </w:tcPr>
          <w:p w14:paraId="19DB421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45" w:type="pct"/>
            <w:tcBorders>
              <w:top w:val="nil"/>
              <w:left w:val="nil"/>
              <w:bottom w:val="nil"/>
              <w:right w:val="single" w:sz="4" w:space="0" w:color="auto"/>
            </w:tcBorders>
            <w:shd w:val="clear" w:color="auto" w:fill="auto"/>
            <w:vAlign w:val="bottom"/>
          </w:tcPr>
          <w:p w14:paraId="0B8319D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3F830A6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2132B4D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27" w:type="pct"/>
            <w:tcBorders>
              <w:top w:val="nil"/>
              <w:left w:val="nil"/>
              <w:bottom w:val="nil"/>
              <w:right w:val="single" w:sz="4" w:space="0" w:color="auto"/>
            </w:tcBorders>
            <w:shd w:val="clear" w:color="auto" w:fill="auto"/>
            <w:noWrap/>
            <w:vAlign w:val="bottom"/>
          </w:tcPr>
          <w:p w14:paraId="3151328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18" w:type="pct"/>
            <w:tcBorders>
              <w:top w:val="nil"/>
              <w:left w:val="nil"/>
              <w:bottom w:val="nil"/>
              <w:right w:val="single" w:sz="4" w:space="0" w:color="auto"/>
            </w:tcBorders>
            <w:shd w:val="clear" w:color="auto" w:fill="auto"/>
            <w:noWrap/>
            <w:vAlign w:val="bottom"/>
          </w:tcPr>
          <w:p w14:paraId="130CB11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174" w:type="pct"/>
            <w:tcBorders>
              <w:top w:val="nil"/>
              <w:left w:val="nil"/>
              <w:bottom w:val="nil"/>
              <w:right w:val="single" w:sz="4" w:space="0" w:color="auto"/>
            </w:tcBorders>
            <w:shd w:val="clear" w:color="auto" w:fill="auto"/>
            <w:noWrap/>
            <w:vAlign w:val="bottom"/>
          </w:tcPr>
          <w:p w14:paraId="68F1F0A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24AB27B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551E7B0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0D62B18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r>
      <w:tr w:rsidR="00761B6C" w:rsidRPr="00236418" w14:paraId="1D666C8C" w14:textId="77777777" w:rsidTr="00B93AE4">
        <w:trPr>
          <w:trHeight w:val="74"/>
          <w:jc w:val="center"/>
        </w:trPr>
        <w:tc>
          <w:tcPr>
            <w:tcW w:w="479" w:type="pct"/>
            <w:tcBorders>
              <w:top w:val="nil"/>
              <w:left w:val="single" w:sz="4" w:space="0" w:color="auto"/>
              <w:bottom w:val="nil"/>
              <w:right w:val="nil"/>
            </w:tcBorders>
            <w:shd w:val="clear" w:color="auto" w:fill="auto"/>
            <w:hideMark/>
          </w:tcPr>
          <w:p w14:paraId="760EB7B5" w14:textId="77777777" w:rsidR="00761B6C" w:rsidRPr="00236418" w:rsidRDefault="00761B6C" w:rsidP="00761B6C">
            <w:pPr>
              <w:pStyle w:val="Tabletext"/>
              <w:spacing w:before="0" w:after="0"/>
              <w:rPr>
                <w:b/>
                <w:bCs/>
                <w:sz w:val="14"/>
                <w:szCs w:val="14"/>
                <w:lang w:eastAsia="zh-CN"/>
              </w:rPr>
            </w:pPr>
            <w:r w:rsidRPr="00236418">
              <w:rPr>
                <w:b/>
                <w:bCs/>
                <w:sz w:val="14"/>
                <w:szCs w:val="14"/>
                <w:lang w:eastAsia="zh-CN"/>
              </w:rPr>
              <w:t>CHARGES</w:t>
            </w:r>
          </w:p>
        </w:tc>
        <w:tc>
          <w:tcPr>
            <w:tcW w:w="305" w:type="pct"/>
            <w:tcBorders>
              <w:top w:val="nil"/>
              <w:left w:val="single" w:sz="4" w:space="0" w:color="auto"/>
              <w:bottom w:val="nil"/>
              <w:right w:val="single" w:sz="4" w:space="0" w:color="auto"/>
            </w:tcBorders>
            <w:shd w:val="clear" w:color="auto" w:fill="auto"/>
            <w:noWrap/>
            <w:vAlign w:val="bottom"/>
          </w:tcPr>
          <w:p w14:paraId="2DAA82C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0167047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68227D8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0E3778E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04" w:type="pct"/>
            <w:tcBorders>
              <w:top w:val="nil"/>
              <w:left w:val="nil"/>
              <w:bottom w:val="nil"/>
              <w:right w:val="nil"/>
            </w:tcBorders>
            <w:shd w:val="clear" w:color="auto" w:fill="auto"/>
            <w:noWrap/>
            <w:vAlign w:val="bottom"/>
          </w:tcPr>
          <w:p w14:paraId="0125B30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bottom"/>
          </w:tcPr>
          <w:p w14:paraId="1E50B74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62" w:type="pct"/>
            <w:tcBorders>
              <w:top w:val="nil"/>
              <w:left w:val="nil"/>
              <w:bottom w:val="nil"/>
              <w:right w:val="single" w:sz="4" w:space="0" w:color="auto"/>
            </w:tcBorders>
            <w:shd w:val="clear" w:color="auto" w:fill="auto"/>
            <w:noWrap/>
            <w:vAlign w:val="bottom"/>
          </w:tcPr>
          <w:p w14:paraId="1993118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45" w:type="pct"/>
            <w:tcBorders>
              <w:top w:val="nil"/>
              <w:left w:val="nil"/>
              <w:bottom w:val="nil"/>
              <w:right w:val="single" w:sz="4" w:space="0" w:color="auto"/>
            </w:tcBorders>
            <w:shd w:val="clear" w:color="auto" w:fill="auto"/>
            <w:vAlign w:val="bottom"/>
          </w:tcPr>
          <w:p w14:paraId="3A154AD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5DE5F36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59B7F3B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27" w:type="pct"/>
            <w:tcBorders>
              <w:top w:val="nil"/>
              <w:left w:val="nil"/>
              <w:bottom w:val="nil"/>
              <w:right w:val="single" w:sz="4" w:space="0" w:color="auto"/>
            </w:tcBorders>
            <w:shd w:val="clear" w:color="auto" w:fill="auto"/>
            <w:noWrap/>
            <w:vAlign w:val="bottom"/>
          </w:tcPr>
          <w:p w14:paraId="010C7A0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18" w:type="pct"/>
            <w:tcBorders>
              <w:top w:val="nil"/>
              <w:left w:val="nil"/>
              <w:bottom w:val="nil"/>
              <w:right w:val="single" w:sz="4" w:space="0" w:color="auto"/>
            </w:tcBorders>
            <w:shd w:val="clear" w:color="auto" w:fill="auto"/>
            <w:noWrap/>
            <w:vAlign w:val="bottom"/>
          </w:tcPr>
          <w:p w14:paraId="56B26F9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174" w:type="pct"/>
            <w:tcBorders>
              <w:top w:val="nil"/>
              <w:left w:val="nil"/>
              <w:bottom w:val="nil"/>
              <w:right w:val="single" w:sz="4" w:space="0" w:color="auto"/>
            </w:tcBorders>
            <w:shd w:val="clear" w:color="auto" w:fill="auto"/>
            <w:noWrap/>
            <w:vAlign w:val="bottom"/>
          </w:tcPr>
          <w:p w14:paraId="167059F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6F3810B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54E5972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06E5151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r>
      <w:tr w:rsidR="00761B6C" w:rsidRPr="00236418" w14:paraId="2EA61AB3"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7D5EE6E3" w14:textId="77777777" w:rsidR="00761B6C" w:rsidRPr="00236418" w:rsidRDefault="00761B6C" w:rsidP="00761B6C">
            <w:pPr>
              <w:pStyle w:val="Tabletext"/>
              <w:spacing w:before="0" w:after="0"/>
              <w:rPr>
                <w:sz w:val="14"/>
                <w:szCs w:val="14"/>
                <w:lang w:eastAsia="zh-CN"/>
              </w:rPr>
            </w:pPr>
            <w:r w:rsidRPr="00236418">
              <w:rPr>
                <w:sz w:val="14"/>
                <w:szCs w:val="14"/>
              </w:rPr>
              <w:t>Charges de personnel</w:t>
            </w:r>
          </w:p>
        </w:tc>
        <w:tc>
          <w:tcPr>
            <w:tcW w:w="305" w:type="pct"/>
            <w:tcBorders>
              <w:top w:val="nil"/>
              <w:left w:val="single" w:sz="4" w:space="0" w:color="auto"/>
              <w:bottom w:val="nil"/>
              <w:right w:val="single" w:sz="4" w:space="0" w:color="auto"/>
            </w:tcBorders>
            <w:shd w:val="clear" w:color="auto" w:fill="auto"/>
            <w:noWrap/>
            <w:vAlign w:val="bottom"/>
          </w:tcPr>
          <w:p w14:paraId="3CCC7CD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66 704</w:t>
            </w:r>
          </w:p>
        </w:tc>
        <w:tc>
          <w:tcPr>
            <w:tcW w:w="305" w:type="pct"/>
            <w:tcBorders>
              <w:top w:val="nil"/>
              <w:left w:val="nil"/>
              <w:bottom w:val="nil"/>
              <w:right w:val="single" w:sz="4" w:space="0" w:color="auto"/>
            </w:tcBorders>
            <w:shd w:val="clear" w:color="auto" w:fill="auto"/>
            <w:noWrap/>
            <w:vAlign w:val="bottom"/>
          </w:tcPr>
          <w:p w14:paraId="0BDF016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25 865</w:t>
            </w:r>
          </w:p>
        </w:tc>
        <w:tc>
          <w:tcPr>
            <w:tcW w:w="348" w:type="pct"/>
            <w:tcBorders>
              <w:top w:val="nil"/>
              <w:left w:val="nil"/>
              <w:bottom w:val="nil"/>
              <w:right w:val="single" w:sz="4" w:space="0" w:color="auto"/>
            </w:tcBorders>
            <w:shd w:val="clear" w:color="auto" w:fill="auto"/>
            <w:noWrap/>
            <w:vAlign w:val="bottom"/>
          </w:tcPr>
          <w:p w14:paraId="054695F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11 662</w:t>
            </w:r>
          </w:p>
        </w:tc>
        <w:tc>
          <w:tcPr>
            <w:tcW w:w="347" w:type="pct"/>
            <w:tcBorders>
              <w:top w:val="nil"/>
              <w:left w:val="nil"/>
              <w:bottom w:val="nil"/>
              <w:right w:val="single" w:sz="4" w:space="0" w:color="auto"/>
            </w:tcBorders>
            <w:shd w:val="clear" w:color="auto" w:fill="auto"/>
            <w:noWrap/>
            <w:vAlign w:val="bottom"/>
          </w:tcPr>
          <w:p w14:paraId="7FF385E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21 543 </w:t>
            </w:r>
          </w:p>
        </w:tc>
        <w:tc>
          <w:tcPr>
            <w:tcW w:w="304" w:type="pct"/>
            <w:tcBorders>
              <w:top w:val="nil"/>
              <w:left w:val="nil"/>
              <w:bottom w:val="nil"/>
              <w:right w:val="nil"/>
            </w:tcBorders>
            <w:shd w:val="clear" w:color="auto" w:fill="auto"/>
            <w:noWrap/>
            <w:vAlign w:val="bottom"/>
          </w:tcPr>
          <w:p w14:paraId="3C6608E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71 694 </w:t>
            </w:r>
          </w:p>
        </w:tc>
        <w:tc>
          <w:tcPr>
            <w:tcW w:w="304" w:type="pct"/>
            <w:tcBorders>
              <w:top w:val="nil"/>
              <w:left w:val="single" w:sz="4" w:space="0" w:color="auto"/>
              <w:bottom w:val="nil"/>
              <w:right w:val="single" w:sz="4" w:space="0" w:color="auto"/>
            </w:tcBorders>
            <w:shd w:val="clear" w:color="auto" w:fill="auto"/>
            <w:noWrap/>
            <w:vAlign w:val="bottom"/>
          </w:tcPr>
          <w:p w14:paraId="3171438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197 468</w:t>
            </w:r>
          </w:p>
        </w:tc>
        <w:tc>
          <w:tcPr>
            <w:tcW w:w="262" w:type="pct"/>
            <w:tcBorders>
              <w:top w:val="nil"/>
              <w:left w:val="nil"/>
              <w:bottom w:val="nil"/>
              <w:right w:val="single" w:sz="4" w:space="0" w:color="auto"/>
            </w:tcBorders>
            <w:shd w:val="clear" w:color="auto" w:fill="auto"/>
            <w:noWrap/>
            <w:vAlign w:val="bottom"/>
          </w:tcPr>
          <w:p w14:paraId="6138DDF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5DA969C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474D12C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17 </w:t>
            </w:r>
          </w:p>
        </w:tc>
        <w:tc>
          <w:tcPr>
            <w:tcW w:w="322" w:type="pct"/>
            <w:tcBorders>
              <w:top w:val="nil"/>
              <w:left w:val="nil"/>
              <w:bottom w:val="nil"/>
              <w:right w:val="single" w:sz="4" w:space="0" w:color="auto"/>
            </w:tcBorders>
            <w:shd w:val="clear" w:color="auto" w:fill="auto"/>
            <w:noWrap/>
            <w:vAlign w:val="bottom"/>
          </w:tcPr>
          <w:p w14:paraId="72D70BD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1 394 </w:t>
            </w:r>
          </w:p>
        </w:tc>
        <w:tc>
          <w:tcPr>
            <w:tcW w:w="227" w:type="pct"/>
            <w:tcBorders>
              <w:top w:val="nil"/>
              <w:left w:val="nil"/>
              <w:bottom w:val="nil"/>
              <w:right w:val="single" w:sz="4" w:space="0" w:color="auto"/>
            </w:tcBorders>
            <w:shd w:val="clear" w:color="auto" w:fill="auto"/>
            <w:noWrap/>
            <w:vAlign w:val="bottom"/>
          </w:tcPr>
          <w:p w14:paraId="3EED973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2 490 </w:t>
            </w:r>
          </w:p>
        </w:tc>
        <w:tc>
          <w:tcPr>
            <w:tcW w:w="218" w:type="pct"/>
            <w:tcBorders>
              <w:top w:val="nil"/>
              <w:left w:val="nil"/>
              <w:bottom w:val="nil"/>
              <w:right w:val="single" w:sz="4" w:space="0" w:color="auto"/>
            </w:tcBorders>
            <w:shd w:val="clear" w:color="auto" w:fill="auto"/>
            <w:noWrap/>
            <w:vAlign w:val="bottom"/>
          </w:tcPr>
          <w:p w14:paraId="3BCDD7E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62E01C4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4AAA5A9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2 574</w:t>
            </w:r>
          </w:p>
        </w:tc>
        <w:tc>
          <w:tcPr>
            <w:tcW w:w="348" w:type="pct"/>
            <w:tcBorders>
              <w:top w:val="nil"/>
              <w:left w:val="nil"/>
              <w:bottom w:val="nil"/>
              <w:right w:val="single" w:sz="4" w:space="0" w:color="auto"/>
            </w:tcBorders>
            <w:shd w:val="clear" w:color="auto" w:fill="auto"/>
            <w:noWrap/>
            <w:vAlign w:val="bottom"/>
          </w:tcPr>
          <w:p w14:paraId="04630C0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66D258D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203 942 </w:t>
            </w:r>
          </w:p>
        </w:tc>
      </w:tr>
      <w:tr w:rsidR="00761B6C" w:rsidRPr="00236418" w14:paraId="7178133A" w14:textId="77777777" w:rsidTr="00B93AE4">
        <w:trPr>
          <w:trHeight w:val="255"/>
          <w:jc w:val="center"/>
        </w:trPr>
        <w:tc>
          <w:tcPr>
            <w:tcW w:w="479" w:type="pct"/>
            <w:tcBorders>
              <w:top w:val="nil"/>
              <w:left w:val="single" w:sz="4" w:space="0" w:color="auto"/>
              <w:bottom w:val="nil"/>
              <w:right w:val="nil"/>
            </w:tcBorders>
            <w:shd w:val="clear" w:color="auto" w:fill="auto"/>
          </w:tcPr>
          <w:p w14:paraId="355B1786" w14:textId="77777777" w:rsidR="00761B6C" w:rsidRPr="00236418" w:rsidRDefault="00761B6C" w:rsidP="00761B6C">
            <w:pPr>
              <w:pStyle w:val="Tabletext"/>
              <w:spacing w:before="0" w:after="0"/>
              <w:jc w:val="right"/>
              <w:rPr>
                <w:sz w:val="14"/>
                <w:szCs w:val="14"/>
              </w:rPr>
            </w:pPr>
            <w:r w:rsidRPr="00236418">
              <w:rPr>
                <w:sz w:val="14"/>
                <w:szCs w:val="14"/>
              </w:rPr>
              <w:t>30</w:t>
            </w:r>
          </w:p>
        </w:tc>
        <w:tc>
          <w:tcPr>
            <w:tcW w:w="305" w:type="pct"/>
            <w:tcBorders>
              <w:top w:val="nil"/>
              <w:left w:val="single" w:sz="4" w:space="0" w:color="auto"/>
              <w:bottom w:val="nil"/>
              <w:right w:val="single" w:sz="4" w:space="0" w:color="auto"/>
            </w:tcBorders>
            <w:shd w:val="clear" w:color="auto" w:fill="auto"/>
            <w:noWrap/>
            <w:vAlign w:val="bottom"/>
          </w:tcPr>
          <w:p w14:paraId="02A2490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46 326</w:t>
            </w:r>
          </w:p>
        </w:tc>
        <w:tc>
          <w:tcPr>
            <w:tcW w:w="305" w:type="pct"/>
            <w:tcBorders>
              <w:top w:val="nil"/>
              <w:left w:val="nil"/>
              <w:bottom w:val="nil"/>
              <w:right w:val="single" w:sz="4" w:space="0" w:color="auto"/>
            </w:tcBorders>
            <w:shd w:val="clear" w:color="auto" w:fill="auto"/>
            <w:noWrap/>
            <w:vAlign w:val="bottom"/>
          </w:tcPr>
          <w:p w14:paraId="26D725E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19 723</w:t>
            </w:r>
          </w:p>
        </w:tc>
        <w:tc>
          <w:tcPr>
            <w:tcW w:w="348" w:type="pct"/>
            <w:tcBorders>
              <w:top w:val="nil"/>
              <w:left w:val="nil"/>
              <w:bottom w:val="nil"/>
              <w:right w:val="single" w:sz="4" w:space="0" w:color="auto"/>
            </w:tcBorders>
            <w:shd w:val="clear" w:color="auto" w:fill="auto"/>
            <w:noWrap/>
            <w:vAlign w:val="bottom"/>
          </w:tcPr>
          <w:p w14:paraId="26D5921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8 811</w:t>
            </w:r>
          </w:p>
        </w:tc>
        <w:tc>
          <w:tcPr>
            <w:tcW w:w="347" w:type="pct"/>
            <w:tcBorders>
              <w:top w:val="nil"/>
              <w:left w:val="nil"/>
              <w:bottom w:val="nil"/>
              <w:right w:val="single" w:sz="4" w:space="0" w:color="auto"/>
            </w:tcBorders>
            <w:shd w:val="clear" w:color="auto" w:fill="auto"/>
            <w:noWrap/>
            <w:vAlign w:val="bottom"/>
          </w:tcPr>
          <w:p w14:paraId="6A5178C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 xml:space="preserve">15 787 </w:t>
            </w:r>
          </w:p>
        </w:tc>
        <w:tc>
          <w:tcPr>
            <w:tcW w:w="304" w:type="pct"/>
            <w:tcBorders>
              <w:top w:val="nil"/>
              <w:left w:val="nil"/>
              <w:bottom w:val="nil"/>
              <w:right w:val="nil"/>
            </w:tcBorders>
            <w:shd w:val="clear" w:color="auto" w:fill="auto"/>
            <w:noWrap/>
            <w:vAlign w:val="bottom"/>
          </w:tcPr>
          <w:p w14:paraId="52936BF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w:t>
            </w:r>
          </w:p>
        </w:tc>
        <w:tc>
          <w:tcPr>
            <w:tcW w:w="304" w:type="pct"/>
            <w:tcBorders>
              <w:top w:val="nil"/>
              <w:left w:val="single" w:sz="4" w:space="0" w:color="auto"/>
              <w:bottom w:val="nil"/>
              <w:right w:val="single" w:sz="4" w:space="0" w:color="auto"/>
            </w:tcBorders>
            <w:shd w:val="clear" w:color="auto" w:fill="auto"/>
            <w:noWrap/>
            <w:vAlign w:val="bottom"/>
          </w:tcPr>
          <w:p w14:paraId="7CA2D93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4"/>
                <w:szCs w:val="14"/>
                <w:lang w:eastAsia="en-GB"/>
              </w:rPr>
            </w:pPr>
            <w:r w:rsidRPr="00236418">
              <w:rPr>
                <w:rFonts w:cs="Calibri"/>
                <w:b/>
                <w:bCs/>
                <w:color w:val="000000"/>
                <w:sz w:val="14"/>
                <w:szCs w:val="14"/>
                <w:lang w:eastAsia="en-GB"/>
              </w:rPr>
              <w:t>90 647</w:t>
            </w:r>
          </w:p>
        </w:tc>
        <w:tc>
          <w:tcPr>
            <w:tcW w:w="262" w:type="pct"/>
            <w:tcBorders>
              <w:top w:val="nil"/>
              <w:left w:val="nil"/>
              <w:bottom w:val="nil"/>
              <w:right w:val="single" w:sz="4" w:space="0" w:color="auto"/>
            </w:tcBorders>
            <w:shd w:val="clear" w:color="auto" w:fill="auto"/>
            <w:noWrap/>
            <w:vAlign w:val="bottom"/>
          </w:tcPr>
          <w:p w14:paraId="0E74336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1AE4CC3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567B0CA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w:t>
            </w:r>
          </w:p>
        </w:tc>
        <w:tc>
          <w:tcPr>
            <w:tcW w:w="322" w:type="pct"/>
            <w:tcBorders>
              <w:top w:val="nil"/>
              <w:left w:val="nil"/>
              <w:bottom w:val="nil"/>
              <w:right w:val="single" w:sz="4" w:space="0" w:color="auto"/>
            </w:tcBorders>
            <w:shd w:val="clear" w:color="auto" w:fill="auto"/>
            <w:noWrap/>
            <w:vAlign w:val="bottom"/>
          </w:tcPr>
          <w:p w14:paraId="49A0749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 xml:space="preserve">1 112 </w:t>
            </w:r>
          </w:p>
        </w:tc>
        <w:tc>
          <w:tcPr>
            <w:tcW w:w="227" w:type="pct"/>
            <w:tcBorders>
              <w:top w:val="nil"/>
              <w:left w:val="nil"/>
              <w:bottom w:val="nil"/>
              <w:right w:val="single" w:sz="4" w:space="0" w:color="auto"/>
            </w:tcBorders>
            <w:shd w:val="clear" w:color="auto" w:fill="auto"/>
            <w:noWrap/>
            <w:vAlign w:val="bottom"/>
          </w:tcPr>
          <w:p w14:paraId="2BA5F1F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 xml:space="preserve">2 010 </w:t>
            </w:r>
          </w:p>
        </w:tc>
        <w:tc>
          <w:tcPr>
            <w:tcW w:w="218" w:type="pct"/>
            <w:tcBorders>
              <w:top w:val="nil"/>
              <w:left w:val="nil"/>
              <w:bottom w:val="nil"/>
              <w:right w:val="single" w:sz="4" w:space="0" w:color="auto"/>
            </w:tcBorders>
            <w:shd w:val="clear" w:color="auto" w:fill="auto"/>
            <w:noWrap/>
            <w:vAlign w:val="bottom"/>
          </w:tcPr>
          <w:p w14:paraId="183F74A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556B1D2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094A765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1 987</w:t>
            </w:r>
          </w:p>
        </w:tc>
        <w:tc>
          <w:tcPr>
            <w:tcW w:w="348" w:type="pct"/>
            <w:tcBorders>
              <w:top w:val="nil"/>
              <w:left w:val="nil"/>
              <w:bottom w:val="nil"/>
              <w:right w:val="single" w:sz="4" w:space="0" w:color="auto"/>
            </w:tcBorders>
            <w:shd w:val="clear" w:color="auto" w:fill="auto"/>
            <w:noWrap/>
            <w:vAlign w:val="bottom"/>
          </w:tcPr>
          <w:p w14:paraId="08AB26F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2902F4D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4"/>
                <w:szCs w:val="14"/>
                <w:lang w:eastAsia="en-GB"/>
              </w:rPr>
            </w:pPr>
            <w:r w:rsidRPr="00236418">
              <w:rPr>
                <w:rFonts w:cs="Calibri"/>
                <w:b/>
                <w:bCs/>
                <w:sz w:val="14"/>
                <w:szCs w:val="14"/>
                <w:lang w:eastAsia="en-GB"/>
              </w:rPr>
              <w:t xml:space="preserve">95 756 </w:t>
            </w:r>
          </w:p>
        </w:tc>
      </w:tr>
      <w:tr w:rsidR="00761B6C" w:rsidRPr="00236418" w14:paraId="4DF8B337" w14:textId="77777777" w:rsidTr="00B93AE4">
        <w:trPr>
          <w:trHeight w:val="255"/>
          <w:jc w:val="center"/>
        </w:trPr>
        <w:tc>
          <w:tcPr>
            <w:tcW w:w="479" w:type="pct"/>
            <w:tcBorders>
              <w:top w:val="nil"/>
              <w:left w:val="single" w:sz="4" w:space="0" w:color="auto"/>
              <w:bottom w:val="nil"/>
              <w:right w:val="nil"/>
            </w:tcBorders>
            <w:shd w:val="clear" w:color="auto" w:fill="auto"/>
          </w:tcPr>
          <w:p w14:paraId="26869594" w14:textId="77777777" w:rsidR="00761B6C" w:rsidRPr="00236418" w:rsidRDefault="00761B6C" w:rsidP="00761B6C">
            <w:pPr>
              <w:pStyle w:val="Tabletext"/>
              <w:spacing w:before="0" w:after="0"/>
              <w:jc w:val="right"/>
              <w:rPr>
                <w:sz w:val="14"/>
                <w:szCs w:val="14"/>
              </w:rPr>
            </w:pPr>
            <w:r w:rsidRPr="00236418">
              <w:rPr>
                <w:sz w:val="14"/>
                <w:szCs w:val="14"/>
              </w:rPr>
              <w:t>31</w:t>
            </w:r>
          </w:p>
        </w:tc>
        <w:tc>
          <w:tcPr>
            <w:tcW w:w="305" w:type="pct"/>
            <w:tcBorders>
              <w:top w:val="nil"/>
              <w:left w:val="single" w:sz="4" w:space="0" w:color="auto"/>
              <w:bottom w:val="nil"/>
              <w:right w:val="single" w:sz="4" w:space="0" w:color="auto"/>
            </w:tcBorders>
            <w:shd w:val="clear" w:color="auto" w:fill="auto"/>
            <w:noWrap/>
            <w:vAlign w:val="bottom"/>
          </w:tcPr>
          <w:p w14:paraId="14250BD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20 378</w:t>
            </w:r>
          </w:p>
        </w:tc>
        <w:tc>
          <w:tcPr>
            <w:tcW w:w="305" w:type="pct"/>
            <w:tcBorders>
              <w:top w:val="nil"/>
              <w:left w:val="nil"/>
              <w:bottom w:val="nil"/>
              <w:right w:val="single" w:sz="4" w:space="0" w:color="auto"/>
            </w:tcBorders>
            <w:shd w:val="clear" w:color="auto" w:fill="auto"/>
            <w:noWrap/>
            <w:vAlign w:val="bottom"/>
          </w:tcPr>
          <w:p w14:paraId="6C43C5A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6 142</w:t>
            </w:r>
          </w:p>
        </w:tc>
        <w:tc>
          <w:tcPr>
            <w:tcW w:w="348" w:type="pct"/>
            <w:tcBorders>
              <w:top w:val="nil"/>
              <w:left w:val="nil"/>
              <w:bottom w:val="nil"/>
              <w:right w:val="single" w:sz="4" w:space="0" w:color="auto"/>
            </w:tcBorders>
            <w:shd w:val="clear" w:color="auto" w:fill="auto"/>
            <w:noWrap/>
            <w:vAlign w:val="bottom"/>
          </w:tcPr>
          <w:p w14:paraId="7F02078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2 851</w:t>
            </w:r>
          </w:p>
        </w:tc>
        <w:tc>
          <w:tcPr>
            <w:tcW w:w="347" w:type="pct"/>
            <w:tcBorders>
              <w:top w:val="nil"/>
              <w:left w:val="nil"/>
              <w:bottom w:val="nil"/>
              <w:right w:val="single" w:sz="4" w:space="0" w:color="auto"/>
            </w:tcBorders>
            <w:shd w:val="clear" w:color="auto" w:fill="auto"/>
            <w:noWrap/>
            <w:vAlign w:val="bottom"/>
          </w:tcPr>
          <w:p w14:paraId="0BE8D0D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 xml:space="preserve">5 756 </w:t>
            </w:r>
          </w:p>
        </w:tc>
        <w:tc>
          <w:tcPr>
            <w:tcW w:w="304" w:type="pct"/>
            <w:tcBorders>
              <w:top w:val="nil"/>
              <w:left w:val="nil"/>
              <w:bottom w:val="nil"/>
              <w:right w:val="nil"/>
            </w:tcBorders>
            <w:shd w:val="clear" w:color="auto" w:fill="auto"/>
            <w:noWrap/>
            <w:vAlign w:val="bottom"/>
          </w:tcPr>
          <w:p w14:paraId="7DA0A47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 xml:space="preserve">71 694 </w:t>
            </w:r>
          </w:p>
        </w:tc>
        <w:tc>
          <w:tcPr>
            <w:tcW w:w="304" w:type="pct"/>
            <w:tcBorders>
              <w:top w:val="nil"/>
              <w:left w:val="single" w:sz="4" w:space="0" w:color="auto"/>
              <w:bottom w:val="nil"/>
              <w:right w:val="single" w:sz="4" w:space="0" w:color="auto"/>
            </w:tcBorders>
            <w:shd w:val="clear" w:color="auto" w:fill="auto"/>
            <w:noWrap/>
            <w:vAlign w:val="bottom"/>
          </w:tcPr>
          <w:p w14:paraId="16D34E3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4"/>
                <w:szCs w:val="14"/>
                <w:lang w:eastAsia="en-GB"/>
              </w:rPr>
            </w:pPr>
            <w:r w:rsidRPr="00236418">
              <w:rPr>
                <w:rFonts w:cs="Calibri"/>
                <w:b/>
                <w:bCs/>
                <w:color w:val="000000"/>
                <w:sz w:val="14"/>
                <w:szCs w:val="14"/>
                <w:lang w:eastAsia="en-GB"/>
              </w:rPr>
              <w:t>106 821</w:t>
            </w:r>
          </w:p>
        </w:tc>
        <w:tc>
          <w:tcPr>
            <w:tcW w:w="262" w:type="pct"/>
            <w:tcBorders>
              <w:top w:val="nil"/>
              <w:left w:val="nil"/>
              <w:bottom w:val="nil"/>
              <w:right w:val="single" w:sz="4" w:space="0" w:color="auto"/>
            </w:tcBorders>
            <w:shd w:val="clear" w:color="auto" w:fill="auto"/>
            <w:noWrap/>
            <w:vAlign w:val="bottom"/>
          </w:tcPr>
          <w:p w14:paraId="436B6E2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0B6E1C3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1A3D7DD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17</w:t>
            </w:r>
          </w:p>
        </w:tc>
        <w:tc>
          <w:tcPr>
            <w:tcW w:w="322" w:type="pct"/>
            <w:tcBorders>
              <w:top w:val="nil"/>
              <w:left w:val="nil"/>
              <w:bottom w:val="nil"/>
              <w:right w:val="single" w:sz="4" w:space="0" w:color="auto"/>
            </w:tcBorders>
            <w:shd w:val="clear" w:color="auto" w:fill="auto"/>
            <w:noWrap/>
            <w:vAlign w:val="bottom"/>
          </w:tcPr>
          <w:p w14:paraId="44107CD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 xml:space="preserve">282 </w:t>
            </w:r>
          </w:p>
        </w:tc>
        <w:tc>
          <w:tcPr>
            <w:tcW w:w="227" w:type="pct"/>
            <w:tcBorders>
              <w:top w:val="nil"/>
              <w:left w:val="nil"/>
              <w:bottom w:val="nil"/>
              <w:right w:val="single" w:sz="4" w:space="0" w:color="auto"/>
            </w:tcBorders>
            <w:shd w:val="clear" w:color="auto" w:fill="auto"/>
            <w:noWrap/>
            <w:vAlign w:val="bottom"/>
          </w:tcPr>
          <w:p w14:paraId="4792FE2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 xml:space="preserve">480 </w:t>
            </w:r>
          </w:p>
        </w:tc>
        <w:tc>
          <w:tcPr>
            <w:tcW w:w="218" w:type="pct"/>
            <w:tcBorders>
              <w:top w:val="nil"/>
              <w:left w:val="nil"/>
              <w:bottom w:val="nil"/>
              <w:right w:val="single" w:sz="4" w:space="0" w:color="auto"/>
            </w:tcBorders>
            <w:shd w:val="clear" w:color="auto" w:fill="auto"/>
            <w:noWrap/>
            <w:vAlign w:val="bottom"/>
          </w:tcPr>
          <w:p w14:paraId="6D2C1BA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502D52B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75CC401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586</w:t>
            </w:r>
          </w:p>
        </w:tc>
        <w:tc>
          <w:tcPr>
            <w:tcW w:w="348" w:type="pct"/>
            <w:tcBorders>
              <w:top w:val="nil"/>
              <w:left w:val="nil"/>
              <w:bottom w:val="nil"/>
              <w:right w:val="single" w:sz="4" w:space="0" w:color="auto"/>
            </w:tcBorders>
            <w:shd w:val="clear" w:color="auto" w:fill="auto"/>
            <w:noWrap/>
            <w:vAlign w:val="bottom"/>
          </w:tcPr>
          <w:p w14:paraId="37C31F2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538FC80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4"/>
                <w:szCs w:val="14"/>
                <w:lang w:eastAsia="en-GB"/>
              </w:rPr>
            </w:pPr>
            <w:r w:rsidRPr="00236418">
              <w:rPr>
                <w:rFonts w:cs="Calibri"/>
                <w:b/>
                <w:bCs/>
                <w:sz w:val="14"/>
                <w:szCs w:val="14"/>
                <w:lang w:eastAsia="en-GB"/>
              </w:rPr>
              <w:t xml:space="preserve">108 186 </w:t>
            </w:r>
          </w:p>
        </w:tc>
      </w:tr>
      <w:tr w:rsidR="00761B6C" w:rsidRPr="00236418" w14:paraId="6EA350CD"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5900318D" w14:textId="77777777" w:rsidR="00761B6C" w:rsidRPr="00236418" w:rsidRDefault="00761B6C" w:rsidP="00761B6C">
            <w:pPr>
              <w:pStyle w:val="Tabletext"/>
              <w:spacing w:before="0" w:after="0"/>
              <w:rPr>
                <w:sz w:val="14"/>
                <w:szCs w:val="14"/>
                <w:lang w:eastAsia="zh-CN"/>
              </w:rPr>
            </w:pPr>
            <w:r w:rsidRPr="00236418">
              <w:rPr>
                <w:sz w:val="14"/>
                <w:szCs w:val="14"/>
              </w:rPr>
              <w:t>Frais de missions</w:t>
            </w:r>
          </w:p>
        </w:tc>
        <w:tc>
          <w:tcPr>
            <w:tcW w:w="305" w:type="pct"/>
            <w:tcBorders>
              <w:top w:val="nil"/>
              <w:left w:val="single" w:sz="4" w:space="0" w:color="auto"/>
              <w:bottom w:val="nil"/>
              <w:right w:val="single" w:sz="4" w:space="0" w:color="auto"/>
            </w:tcBorders>
            <w:shd w:val="clear" w:color="auto" w:fill="auto"/>
            <w:noWrap/>
            <w:vAlign w:val="bottom"/>
          </w:tcPr>
          <w:p w14:paraId="7779CFA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943</w:t>
            </w:r>
          </w:p>
        </w:tc>
        <w:tc>
          <w:tcPr>
            <w:tcW w:w="305" w:type="pct"/>
            <w:tcBorders>
              <w:top w:val="nil"/>
              <w:left w:val="nil"/>
              <w:bottom w:val="nil"/>
              <w:right w:val="single" w:sz="4" w:space="0" w:color="auto"/>
            </w:tcBorders>
            <w:shd w:val="clear" w:color="auto" w:fill="auto"/>
            <w:noWrap/>
            <w:vAlign w:val="bottom"/>
          </w:tcPr>
          <w:p w14:paraId="171F326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1 150</w:t>
            </w:r>
          </w:p>
        </w:tc>
        <w:tc>
          <w:tcPr>
            <w:tcW w:w="348" w:type="pct"/>
            <w:tcBorders>
              <w:top w:val="nil"/>
              <w:left w:val="nil"/>
              <w:bottom w:val="nil"/>
              <w:right w:val="single" w:sz="4" w:space="0" w:color="auto"/>
            </w:tcBorders>
            <w:shd w:val="clear" w:color="auto" w:fill="auto"/>
            <w:noWrap/>
            <w:vAlign w:val="bottom"/>
          </w:tcPr>
          <w:p w14:paraId="22DE387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986</w:t>
            </w:r>
          </w:p>
        </w:tc>
        <w:tc>
          <w:tcPr>
            <w:tcW w:w="347" w:type="pct"/>
            <w:tcBorders>
              <w:top w:val="nil"/>
              <w:left w:val="nil"/>
              <w:bottom w:val="nil"/>
              <w:right w:val="single" w:sz="4" w:space="0" w:color="auto"/>
            </w:tcBorders>
            <w:shd w:val="clear" w:color="auto" w:fill="auto"/>
            <w:noWrap/>
            <w:vAlign w:val="bottom"/>
          </w:tcPr>
          <w:p w14:paraId="4229284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2 512 </w:t>
            </w:r>
          </w:p>
        </w:tc>
        <w:tc>
          <w:tcPr>
            <w:tcW w:w="304" w:type="pct"/>
            <w:tcBorders>
              <w:top w:val="nil"/>
              <w:left w:val="nil"/>
              <w:bottom w:val="nil"/>
              <w:right w:val="nil"/>
            </w:tcBorders>
            <w:shd w:val="clear" w:color="auto" w:fill="auto"/>
            <w:noWrap/>
            <w:vAlign w:val="bottom"/>
          </w:tcPr>
          <w:p w14:paraId="3FFA75E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19 </w:t>
            </w:r>
          </w:p>
        </w:tc>
        <w:tc>
          <w:tcPr>
            <w:tcW w:w="304" w:type="pct"/>
            <w:tcBorders>
              <w:top w:val="nil"/>
              <w:left w:val="single" w:sz="4" w:space="0" w:color="auto"/>
              <w:bottom w:val="nil"/>
              <w:right w:val="single" w:sz="4" w:space="0" w:color="auto"/>
            </w:tcBorders>
            <w:shd w:val="clear" w:color="auto" w:fill="auto"/>
            <w:noWrap/>
            <w:vAlign w:val="bottom"/>
          </w:tcPr>
          <w:p w14:paraId="068AA19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5 609</w:t>
            </w:r>
          </w:p>
        </w:tc>
        <w:tc>
          <w:tcPr>
            <w:tcW w:w="262" w:type="pct"/>
            <w:tcBorders>
              <w:top w:val="nil"/>
              <w:left w:val="nil"/>
              <w:bottom w:val="nil"/>
              <w:right w:val="single" w:sz="4" w:space="0" w:color="auto"/>
            </w:tcBorders>
            <w:shd w:val="clear" w:color="auto" w:fill="auto"/>
            <w:noWrap/>
            <w:vAlign w:val="bottom"/>
          </w:tcPr>
          <w:p w14:paraId="0F6538C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394002D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67BA803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w:t>
            </w:r>
          </w:p>
        </w:tc>
        <w:tc>
          <w:tcPr>
            <w:tcW w:w="322" w:type="pct"/>
            <w:tcBorders>
              <w:top w:val="nil"/>
              <w:left w:val="nil"/>
              <w:bottom w:val="nil"/>
              <w:right w:val="single" w:sz="4" w:space="0" w:color="auto"/>
            </w:tcBorders>
            <w:shd w:val="clear" w:color="auto" w:fill="auto"/>
            <w:noWrap/>
            <w:vAlign w:val="bottom"/>
          </w:tcPr>
          <w:p w14:paraId="78D5DD6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405 </w:t>
            </w:r>
          </w:p>
        </w:tc>
        <w:tc>
          <w:tcPr>
            <w:tcW w:w="227" w:type="pct"/>
            <w:tcBorders>
              <w:top w:val="nil"/>
              <w:left w:val="nil"/>
              <w:bottom w:val="nil"/>
              <w:right w:val="single" w:sz="4" w:space="0" w:color="auto"/>
            </w:tcBorders>
            <w:shd w:val="clear" w:color="auto" w:fill="auto"/>
            <w:noWrap/>
            <w:vAlign w:val="bottom"/>
          </w:tcPr>
          <w:p w14:paraId="3F9C8CD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1 500 </w:t>
            </w:r>
          </w:p>
        </w:tc>
        <w:tc>
          <w:tcPr>
            <w:tcW w:w="218" w:type="pct"/>
            <w:tcBorders>
              <w:top w:val="nil"/>
              <w:left w:val="nil"/>
              <w:bottom w:val="nil"/>
              <w:right w:val="single" w:sz="4" w:space="0" w:color="auto"/>
            </w:tcBorders>
            <w:shd w:val="clear" w:color="auto" w:fill="auto"/>
            <w:noWrap/>
            <w:vAlign w:val="bottom"/>
          </w:tcPr>
          <w:p w14:paraId="73D30F4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02FD2EF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45FEB6F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253</w:t>
            </w:r>
          </w:p>
        </w:tc>
        <w:tc>
          <w:tcPr>
            <w:tcW w:w="348" w:type="pct"/>
            <w:tcBorders>
              <w:top w:val="nil"/>
              <w:left w:val="nil"/>
              <w:bottom w:val="nil"/>
              <w:right w:val="single" w:sz="4" w:space="0" w:color="auto"/>
            </w:tcBorders>
            <w:shd w:val="clear" w:color="auto" w:fill="auto"/>
            <w:noWrap/>
            <w:vAlign w:val="bottom"/>
          </w:tcPr>
          <w:p w14:paraId="57BE967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459E8D6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7 767 </w:t>
            </w:r>
          </w:p>
        </w:tc>
      </w:tr>
      <w:tr w:rsidR="00761B6C" w:rsidRPr="00236418" w14:paraId="1E40BFCD"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0A5FC502" w14:textId="77777777" w:rsidR="00761B6C" w:rsidRPr="00236418" w:rsidRDefault="00761B6C" w:rsidP="00761B6C">
            <w:pPr>
              <w:pStyle w:val="Tabletext"/>
              <w:spacing w:before="0" w:after="0"/>
              <w:rPr>
                <w:sz w:val="14"/>
                <w:szCs w:val="14"/>
                <w:lang w:eastAsia="zh-CN"/>
              </w:rPr>
            </w:pPr>
            <w:r w:rsidRPr="00236418">
              <w:rPr>
                <w:sz w:val="14"/>
                <w:szCs w:val="14"/>
              </w:rPr>
              <w:t>Services contractuels</w:t>
            </w:r>
          </w:p>
        </w:tc>
        <w:tc>
          <w:tcPr>
            <w:tcW w:w="305" w:type="pct"/>
            <w:tcBorders>
              <w:top w:val="nil"/>
              <w:left w:val="single" w:sz="4" w:space="0" w:color="auto"/>
              <w:bottom w:val="nil"/>
              <w:right w:val="single" w:sz="4" w:space="0" w:color="auto"/>
            </w:tcBorders>
            <w:shd w:val="clear" w:color="auto" w:fill="auto"/>
            <w:noWrap/>
            <w:vAlign w:val="bottom"/>
          </w:tcPr>
          <w:p w14:paraId="17158D0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5 854</w:t>
            </w:r>
          </w:p>
        </w:tc>
        <w:tc>
          <w:tcPr>
            <w:tcW w:w="305" w:type="pct"/>
            <w:tcBorders>
              <w:top w:val="nil"/>
              <w:left w:val="nil"/>
              <w:bottom w:val="nil"/>
              <w:right w:val="single" w:sz="4" w:space="0" w:color="auto"/>
            </w:tcBorders>
            <w:shd w:val="clear" w:color="auto" w:fill="auto"/>
            <w:noWrap/>
            <w:vAlign w:val="bottom"/>
          </w:tcPr>
          <w:p w14:paraId="30CF50C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397</w:t>
            </w:r>
          </w:p>
        </w:tc>
        <w:tc>
          <w:tcPr>
            <w:tcW w:w="348" w:type="pct"/>
            <w:tcBorders>
              <w:top w:val="nil"/>
              <w:left w:val="nil"/>
              <w:bottom w:val="nil"/>
              <w:right w:val="single" w:sz="4" w:space="0" w:color="auto"/>
            </w:tcBorders>
            <w:shd w:val="clear" w:color="auto" w:fill="auto"/>
            <w:noWrap/>
            <w:vAlign w:val="bottom"/>
          </w:tcPr>
          <w:p w14:paraId="1C5BC8D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531</w:t>
            </w:r>
          </w:p>
        </w:tc>
        <w:tc>
          <w:tcPr>
            <w:tcW w:w="347" w:type="pct"/>
            <w:tcBorders>
              <w:top w:val="nil"/>
              <w:left w:val="nil"/>
              <w:bottom w:val="nil"/>
              <w:right w:val="single" w:sz="4" w:space="0" w:color="auto"/>
            </w:tcBorders>
            <w:shd w:val="clear" w:color="auto" w:fill="auto"/>
            <w:noWrap/>
            <w:vAlign w:val="bottom"/>
          </w:tcPr>
          <w:p w14:paraId="0834264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2 399 </w:t>
            </w:r>
          </w:p>
        </w:tc>
        <w:tc>
          <w:tcPr>
            <w:tcW w:w="304" w:type="pct"/>
            <w:tcBorders>
              <w:top w:val="nil"/>
              <w:left w:val="nil"/>
              <w:bottom w:val="nil"/>
              <w:right w:val="nil"/>
            </w:tcBorders>
            <w:shd w:val="clear" w:color="auto" w:fill="auto"/>
            <w:noWrap/>
            <w:vAlign w:val="bottom"/>
          </w:tcPr>
          <w:p w14:paraId="53ACA97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546 </w:t>
            </w:r>
          </w:p>
        </w:tc>
        <w:tc>
          <w:tcPr>
            <w:tcW w:w="304" w:type="pct"/>
            <w:tcBorders>
              <w:top w:val="nil"/>
              <w:left w:val="single" w:sz="4" w:space="0" w:color="auto"/>
              <w:bottom w:val="nil"/>
              <w:right w:val="single" w:sz="4" w:space="0" w:color="auto"/>
            </w:tcBorders>
            <w:shd w:val="clear" w:color="auto" w:fill="auto"/>
            <w:noWrap/>
            <w:vAlign w:val="bottom"/>
          </w:tcPr>
          <w:p w14:paraId="21EEEF6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9 727</w:t>
            </w:r>
          </w:p>
        </w:tc>
        <w:tc>
          <w:tcPr>
            <w:tcW w:w="262" w:type="pct"/>
            <w:tcBorders>
              <w:top w:val="nil"/>
              <w:left w:val="nil"/>
              <w:bottom w:val="nil"/>
              <w:right w:val="single" w:sz="4" w:space="0" w:color="auto"/>
            </w:tcBorders>
            <w:shd w:val="clear" w:color="auto" w:fill="auto"/>
            <w:noWrap/>
            <w:vAlign w:val="bottom"/>
          </w:tcPr>
          <w:p w14:paraId="66626DA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5</w:t>
            </w:r>
          </w:p>
        </w:tc>
        <w:tc>
          <w:tcPr>
            <w:tcW w:w="245" w:type="pct"/>
            <w:tcBorders>
              <w:top w:val="nil"/>
              <w:left w:val="nil"/>
              <w:bottom w:val="nil"/>
              <w:right w:val="single" w:sz="4" w:space="0" w:color="auto"/>
            </w:tcBorders>
            <w:shd w:val="clear" w:color="auto" w:fill="auto"/>
            <w:vAlign w:val="bottom"/>
          </w:tcPr>
          <w:p w14:paraId="69164EF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17E0B17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2204607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1 303 </w:t>
            </w:r>
          </w:p>
        </w:tc>
        <w:tc>
          <w:tcPr>
            <w:tcW w:w="227" w:type="pct"/>
            <w:tcBorders>
              <w:top w:val="nil"/>
              <w:left w:val="nil"/>
              <w:bottom w:val="nil"/>
              <w:right w:val="single" w:sz="4" w:space="0" w:color="auto"/>
            </w:tcBorders>
            <w:shd w:val="clear" w:color="auto" w:fill="auto"/>
            <w:noWrap/>
            <w:vAlign w:val="bottom"/>
          </w:tcPr>
          <w:p w14:paraId="1CF4BCD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1 518 </w:t>
            </w:r>
          </w:p>
        </w:tc>
        <w:tc>
          <w:tcPr>
            <w:tcW w:w="218" w:type="pct"/>
            <w:tcBorders>
              <w:top w:val="nil"/>
              <w:left w:val="nil"/>
              <w:bottom w:val="nil"/>
              <w:right w:val="single" w:sz="4" w:space="0" w:color="auto"/>
            </w:tcBorders>
            <w:shd w:val="clear" w:color="auto" w:fill="auto"/>
            <w:noWrap/>
            <w:vAlign w:val="bottom"/>
          </w:tcPr>
          <w:p w14:paraId="73FCA21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DE382C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5C1DFE1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1 269</w:t>
            </w:r>
          </w:p>
        </w:tc>
        <w:tc>
          <w:tcPr>
            <w:tcW w:w="348" w:type="pct"/>
            <w:tcBorders>
              <w:top w:val="nil"/>
              <w:left w:val="nil"/>
              <w:bottom w:val="nil"/>
              <w:right w:val="single" w:sz="4" w:space="0" w:color="auto"/>
            </w:tcBorders>
            <w:shd w:val="clear" w:color="auto" w:fill="auto"/>
            <w:noWrap/>
            <w:vAlign w:val="bottom"/>
          </w:tcPr>
          <w:p w14:paraId="05A894D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2F63AF1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13 821 </w:t>
            </w:r>
          </w:p>
        </w:tc>
      </w:tr>
      <w:tr w:rsidR="00761B6C" w:rsidRPr="00236418" w14:paraId="17CD2ADE" w14:textId="77777777" w:rsidTr="00B93AE4">
        <w:trPr>
          <w:trHeight w:val="765"/>
          <w:jc w:val="center"/>
        </w:trPr>
        <w:tc>
          <w:tcPr>
            <w:tcW w:w="479" w:type="pct"/>
            <w:tcBorders>
              <w:top w:val="nil"/>
              <w:left w:val="single" w:sz="4" w:space="0" w:color="auto"/>
              <w:bottom w:val="nil"/>
              <w:right w:val="nil"/>
            </w:tcBorders>
            <w:shd w:val="clear" w:color="auto" w:fill="auto"/>
            <w:vAlign w:val="center"/>
            <w:hideMark/>
          </w:tcPr>
          <w:p w14:paraId="350AE906" w14:textId="77777777" w:rsidR="00761B6C" w:rsidRPr="00236418" w:rsidRDefault="00761B6C" w:rsidP="00761B6C">
            <w:pPr>
              <w:pStyle w:val="Tabletext"/>
              <w:spacing w:before="0" w:after="0"/>
              <w:rPr>
                <w:sz w:val="14"/>
                <w:szCs w:val="14"/>
                <w:lang w:eastAsia="zh-CN"/>
              </w:rPr>
            </w:pPr>
            <w:r w:rsidRPr="00236418">
              <w:rPr>
                <w:sz w:val="14"/>
                <w:szCs w:val="14"/>
              </w:rPr>
              <w:t>Location et entretien des locaux et équipements</w:t>
            </w:r>
          </w:p>
        </w:tc>
        <w:tc>
          <w:tcPr>
            <w:tcW w:w="305" w:type="pct"/>
            <w:tcBorders>
              <w:top w:val="nil"/>
              <w:left w:val="single" w:sz="4" w:space="0" w:color="auto"/>
              <w:bottom w:val="nil"/>
              <w:right w:val="single" w:sz="4" w:space="0" w:color="auto"/>
            </w:tcBorders>
            <w:shd w:val="clear" w:color="auto" w:fill="auto"/>
            <w:noWrap/>
            <w:vAlign w:val="center"/>
          </w:tcPr>
          <w:p w14:paraId="7E9A64F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3 285</w:t>
            </w:r>
          </w:p>
        </w:tc>
        <w:tc>
          <w:tcPr>
            <w:tcW w:w="305" w:type="pct"/>
            <w:tcBorders>
              <w:top w:val="nil"/>
              <w:left w:val="nil"/>
              <w:bottom w:val="nil"/>
              <w:right w:val="single" w:sz="4" w:space="0" w:color="auto"/>
            </w:tcBorders>
            <w:shd w:val="clear" w:color="auto" w:fill="auto"/>
            <w:noWrap/>
            <w:vAlign w:val="center"/>
          </w:tcPr>
          <w:p w14:paraId="041F629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103</w:t>
            </w:r>
          </w:p>
        </w:tc>
        <w:tc>
          <w:tcPr>
            <w:tcW w:w="348" w:type="pct"/>
            <w:tcBorders>
              <w:top w:val="nil"/>
              <w:left w:val="nil"/>
              <w:bottom w:val="nil"/>
              <w:right w:val="single" w:sz="4" w:space="0" w:color="auto"/>
            </w:tcBorders>
            <w:shd w:val="clear" w:color="auto" w:fill="auto"/>
            <w:noWrap/>
            <w:vAlign w:val="center"/>
          </w:tcPr>
          <w:p w14:paraId="431724F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55</w:t>
            </w:r>
          </w:p>
        </w:tc>
        <w:tc>
          <w:tcPr>
            <w:tcW w:w="347" w:type="pct"/>
            <w:tcBorders>
              <w:top w:val="nil"/>
              <w:left w:val="nil"/>
              <w:bottom w:val="nil"/>
              <w:right w:val="single" w:sz="4" w:space="0" w:color="auto"/>
            </w:tcBorders>
            <w:shd w:val="clear" w:color="auto" w:fill="auto"/>
            <w:noWrap/>
            <w:vAlign w:val="center"/>
          </w:tcPr>
          <w:p w14:paraId="69F2AC5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86</w:t>
            </w:r>
          </w:p>
        </w:tc>
        <w:tc>
          <w:tcPr>
            <w:tcW w:w="304" w:type="pct"/>
            <w:tcBorders>
              <w:top w:val="nil"/>
              <w:left w:val="nil"/>
              <w:bottom w:val="nil"/>
              <w:right w:val="nil"/>
            </w:tcBorders>
            <w:shd w:val="clear" w:color="auto" w:fill="auto"/>
            <w:noWrap/>
            <w:vAlign w:val="center"/>
          </w:tcPr>
          <w:p w14:paraId="1DCB5D4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36</w:t>
            </w:r>
          </w:p>
        </w:tc>
        <w:tc>
          <w:tcPr>
            <w:tcW w:w="304" w:type="pct"/>
            <w:tcBorders>
              <w:top w:val="nil"/>
              <w:left w:val="single" w:sz="4" w:space="0" w:color="auto"/>
              <w:bottom w:val="nil"/>
              <w:right w:val="single" w:sz="4" w:space="0" w:color="auto"/>
            </w:tcBorders>
            <w:shd w:val="clear" w:color="auto" w:fill="auto"/>
            <w:noWrap/>
            <w:vAlign w:val="center"/>
          </w:tcPr>
          <w:p w14:paraId="1DC733E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3 565</w:t>
            </w:r>
          </w:p>
        </w:tc>
        <w:tc>
          <w:tcPr>
            <w:tcW w:w="262" w:type="pct"/>
            <w:tcBorders>
              <w:top w:val="nil"/>
              <w:left w:val="nil"/>
              <w:bottom w:val="nil"/>
              <w:right w:val="single" w:sz="4" w:space="0" w:color="auto"/>
            </w:tcBorders>
            <w:shd w:val="clear" w:color="auto" w:fill="auto"/>
            <w:noWrap/>
            <w:vAlign w:val="center"/>
          </w:tcPr>
          <w:p w14:paraId="7E200CF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center"/>
          </w:tcPr>
          <w:p w14:paraId="2E9D97C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center"/>
          </w:tcPr>
          <w:p w14:paraId="6ED55EE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center"/>
          </w:tcPr>
          <w:p w14:paraId="0AA7809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381</w:t>
            </w:r>
          </w:p>
        </w:tc>
        <w:tc>
          <w:tcPr>
            <w:tcW w:w="227" w:type="pct"/>
            <w:tcBorders>
              <w:top w:val="nil"/>
              <w:left w:val="nil"/>
              <w:bottom w:val="nil"/>
              <w:right w:val="single" w:sz="4" w:space="0" w:color="auto"/>
            </w:tcBorders>
            <w:shd w:val="clear" w:color="auto" w:fill="auto"/>
            <w:noWrap/>
            <w:vAlign w:val="center"/>
          </w:tcPr>
          <w:p w14:paraId="56FC05D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18" w:type="pct"/>
            <w:tcBorders>
              <w:top w:val="nil"/>
              <w:left w:val="nil"/>
              <w:bottom w:val="nil"/>
              <w:right w:val="single" w:sz="4" w:space="0" w:color="auto"/>
            </w:tcBorders>
            <w:shd w:val="clear" w:color="auto" w:fill="auto"/>
            <w:noWrap/>
            <w:vAlign w:val="center"/>
          </w:tcPr>
          <w:p w14:paraId="1D7876F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center"/>
          </w:tcPr>
          <w:p w14:paraId="317909F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center"/>
          </w:tcPr>
          <w:p w14:paraId="0B7F5A7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229</w:t>
            </w:r>
          </w:p>
        </w:tc>
        <w:tc>
          <w:tcPr>
            <w:tcW w:w="348" w:type="pct"/>
            <w:tcBorders>
              <w:top w:val="nil"/>
              <w:left w:val="nil"/>
              <w:bottom w:val="nil"/>
              <w:right w:val="single" w:sz="4" w:space="0" w:color="auto"/>
            </w:tcBorders>
            <w:shd w:val="clear" w:color="auto" w:fill="auto"/>
            <w:noWrap/>
            <w:vAlign w:val="center"/>
          </w:tcPr>
          <w:p w14:paraId="2FBD462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center"/>
          </w:tcPr>
          <w:p w14:paraId="0B38A98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4 175</w:t>
            </w:r>
          </w:p>
        </w:tc>
      </w:tr>
      <w:tr w:rsidR="00761B6C" w:rsidRPr="00236418" w14:paraId="190FDFFE"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34F2334F" w14:textId="77777777" w:rsidR="00761B6C" w:rsidRPr="00236418" w:rsidRDefault="00761B6C" w:rsidP="00761B6C">
            <w:pPr>
              <w:pStyle w:val="Tabletext"/>
              <w:spacing w:before="0" w:after="0"/>
              <w:rPr>
                <w:sz w:val="14"/>
                <w:szCs w:val="14"/>
                <w:lang w:eastAsia="zh-CN"/>
              </w:rPr>
            </w:pPr>
            <w:r w:rsidRPr="00236418">
              <w:rPr>
                <w:sz w:val="14"/>
                <w:szCs w:val="14"/>
              </w:rPr>
              <w:t>Matériels et fournitures</w:t>
            </w:r>
          </w:p>
        </w:tc>
        <w:tc>
          <w:tcPr>
            <w:tcW w:w="305" w:type="pct"/>
            <w:tcBorders>
              <w:top w:val="nil"/>
              <w:left w:val="single" w:sz="4" w:space="0" w:color="auto"/>
              <w:bottom w:val="nil"/>
              <w:right w:val="single" w:sz="4" w:space="0" w:color="auto"/>
            </w:tcBorders>
            <w:shd w:val="clear" w:color="auto" w:fill="auto"/>
            <w:noWrap/>
            <w:vAlign w:val="bottom"/>
          </w:tcPr>
          <w:p w14:paraId="4AA71B1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1 513</w:t>
            </w:r>
          </w:p>
        </w:tc>
        <w:tc>
          <w:tcPr>
            <w:tcW w:w="305" w:type="pct"/>
            <w:tcBorders>
              <w:top w:val="nil"/>
              <w:left w:val="nil"/>
              <w:bottom w:val="nil"/>
              <w:right w:val="single" w:sz="4" w:space="0" w:color="auto"/>
            </w:tcBorders>
            <w:shd w:val="clear" w:color="auto" w:fill="auto"/>
            <w:noWrap/>
            <w:vAlign w:val="bottom"/>
          </w:tcPr>
          <w:p w14:paraId="07C62BF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497</w:t>
            </w:r>
          </w:p>
        </w:tc>
        <w:tc>
          <w:tcPr>
            <w:tcW w:w="348" w:type="pct"/>
            <w:tcBorders>
              <w:top w:val="nil"/>
              <w:left w:val="nil"/>
              <w:bottom w:val="nil"/>
              <w:right w:val="single" w:sz="4" w:space="0" w:color="auto"/>
            </w:tcBorders>
            <w:shd w:val="clear" w:color="auto" w:fill="auto"/>
            <w:noWrap/>
            <w:vAlign w:val="bottom"/>
          </w:tcPr>
          <w:p w14:paraId="5890DBC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164</w:t>
            </w:r>
          </w:p>
        </w:tc>
        <w:tc>
          <w:tcPr>
            <w:tcW w:w="347" w:type="pct"/>
            <w:tcBorders>
              <w:top w:val="nil"/>
              <w:left w:val="nil"/>
              <w:bottom w:val="nil"/>
              <w:right w:val="single" w:sz="4" w:space="0" w:color="auto"/>
            </w:tcBorders>
            <w:shd w:val="clear" w:color="auto" w:fill="auto"/>
            <w:noWrap/>
            <w:vAlign w:val="bottom"/>
          </w:tcPr>
          <w:p w14:paraId="484C143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315 </w:t>
            </w:r>
          </w:p>
        </w:tc>
        <w:tc>
          <w:tcPr>
            <w:tcW w:w="304" w:type="pct"/>
            <w:tcBorders>
              <w:top w:val="nil"/>
              <w:left w:val="nil"/>
              <w:bottom w:val="nil"/>
              <w:right w:val="nil"/>
            </w:tcBorders>
            <w:shd w:val="clear" w:color="auto" w:fill="auto"/>
            <w:noWrap/>
            <w:vAlign w:val="bottom"/>
          </w:tcPr>
          <w:p w14:paraId="29B17C2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35 </w:t>
            </w:r>
          </w:p>
        </w:tc>
        <w:tc>
          <w:tcPr>
            <w:tcW w:w="304" w:type="pct"/>
            <w:tcBorders>
              <w:top w:val="nil"/>
              <w:left w:val="single" w:sz="4" w:space="0" w:color="auto"/>
              <w:bottom w:val="nil"/>
              <w:right w:val="single" w:sz="4" w:space="0" w:color="auto"/>
            </w:tcBorders>
            <w:shd w:val="clear" w:color="auto" w:fill="auto"/>
            <w:noWrap/>
            <w:vAlign w:val="bottom"/>
          </w:tcPr>
          <w:p w14:paraId="18F4675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2 523 </w:t>
            </w:r>
          </w:p>
        </w:tc>
        <w:tc>
          <w:tcPr>
            <w:tcW w:w="262" w:type="pct"/>
            <w:tcBorders>
              <w:top w:val="nil"/>
              <w:left w:val="nil"/>
              <w:bottom w:val="nil"/>
              <w:right w:val="single" w:sz="4" w:space="0" w:color="auto"/>
            </w:tcBorders>
            <w:shd w:val="clear" w:color="auto" w:fill="auto"/>
            <w:noWrap/>
            <w:vAlign w:val="bottom"/>
          </w:tcPr>
          <w:p w14:paraId="732C5A0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w:t>
            </w:r>
          </w:p>
        </w:tc>
        <w:tc>
          <w:tcPr>
            <w:tcW w:w="245" w:type="pct"/>
            <w:tcBorders>
              <w:top w:val="nil"/>
              <w:left w:val="nil"/>
              <w:bottom w:val="nil"/>
              <w:right w:val="single" w:sz="4" w:space="0" w:color="auto"/>
            </w:tcBorders>
            <w:shd w:val="clear" w:color="auto" w:fill="auto"/>
            <w:vAlign w:val="bottom"/>
          </w:tcPr>
          <w:p w14:paraId="0786A2F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5326070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74E8DE6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305</w:t>
            </w:r>
          </w:p>
        </w:tc>
        <w:tc>
          <w:tcPr>
            <w:tcW w:w="227" w:type="pct"/>
            <w:tcBorders>
              <w:top w:val="nil"/>
              <w:left w:val="nil"/>
              <w:bottom w:val="nil"/>
              <w:right w:val="single" w:sz="4" w:space="0" w:color="auto"/>
            </w:tcBorders>
            <w:shd w:val="clear" w:color="auto" w:fill="auto"/>
            <w:noWrap/>
            <w:vAlign w:val="bottom"/>
          </w:tcPr>
          <w:p w14:paraId="24A8F21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823 </w:t>
            </w:r>
          </w:p>
        </w:tc>
        <w:tc>
          <w:tcPr>
            <w:tcW w:w="218" w:type="pct"/>
            <w:tcBorders>
              <w:top w:val="nil"/>
              <w:left w:val="nil"/>
              <w:bottom w:val="nil"/>
              <w:right w:val="single" w:sz="4" w:space="0" w:color="auto"/>
            </w:tcBorders>
            <w:shd w:val="clear" w:color="auto" w:fill="auto"/>
            <w:noWrap/>
            <w:vAlign w:val="bottom"/>
          </w:tcPr>
          <w:p w14:paraId="005CC3D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01D0B96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3F65C97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161</w:t>
            </w:r>
          </w:p>
        </w:tc>
        <w:tc>
          <w:tcPr>
            <w:tcW w:w="348" w:type="pct"/>
            <w:tcBorders>
              <w:top w:val="nil"/>
              <w:left w:val="nil"/>
              <w:bottom w:val="nil"/>
              <w:right w:val="single" w:sz="4" w:space="0" w:color="auto"/>
            </w:tcBorders>
            <w:shd w:val="clear" w:color="auto" w:fill="auto"/>
            <w:noWrap/>
            <w:vAlign w:val="bottom"/>
          </w:tcPr>
          <w:p w14:paraId="3EEF882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0648271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3 816</w:t>
            </w:r>
          </w:p>
        </w:tc>
      </w:tr>
      <w:tr w:rsidR="00761B6C" w:rsidRPr="00236418" w14:paraId="39CB4555"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1110CFD2" w14:textId="77777777" w:rsidR="00761B6C" w:rsidRPr="00236418" w:rsidRDefault="00761B6C" w:rsidP="00761B6C">
            <w:pPr>
              <w:pStyle w:val="Tabletext"/>
              <w:spacing w:before="0" w:after="0"/>
              <w:rPr>
                <w:sz w:val="14"/>
                <w:szCs w:val="14"/>
                <w:lang w:eastAsia="zh-CN"/>
              </w:rPr>
            </w:pPr>
            <w:r w:rsidRPr="00236418">
              <w:rPr>
                <w:sz w:val="14"/>
                <w:szCs w:val="14"/>
              </w:rPr>
              <w:t>Amortissements</w:t>
            </w:r>
          </w:p>
        </w:tc>
        <w:tc>
          <w:tcPr>
            <w:tcW w:w="305" w:type="pct"/>
            <w:tcBorders>
              <w:top w:val="nil"/>
              <w:left w:val="single" w:sz="4" w:space="0" w:color="auto"/>
              <w:bottom w:val="nil"/>
              <w:right w:val="single" w:sz="4" w:space="0" w:color="auto"/>
            </w:tcBorders>
            <w:shd w:val="clear" w:color="auto" w:fill="auto"/>
            <w:noWrap/>
            <w:vAlign w:val="bottom"/>
          </w:tcPr>
          <w:p w14:paraId="4D0155C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4744666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261905E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29039D1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w:t>
            </w:r>
          </w:p>
        </w:tc>
        <w:tc>
          <w:tcPr>
            <w:tcW w:w="304" w:type="pct"/>
            <w:tcBorders>
              <w:top w:val="nil"/>
              <w:left w:val="nil"/>
              <w:bottom w:val="nil"/>
              <w:right w:val="nil"/>
            </w:tcBorders>
            <w:shd w:val="clear" w:color="auto" w:fill="auto"/>
            <w:noWrap/>
            <w:vAlign w:val="bottom"/>
          </w:tcPr>
          <w:p w14:paraId="0AAE947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4 452 </w:t>
            </w:r>
          </w:p>
        </w:tc>
        <w:tc>
          <w:tcPr>
            <w:tcW w:w="304" w:type="pct"/>
            <w:tcBorders>
              <w:top w:val="nil"/>
              <w:left w:val="single" w:sz="4" w:space="0" w:color="auto"/>
              <w:bottom w:val="nil"/>
              <w:right w:val="single" w:sz="4" w:space="0" w:color="auto"/>
            </w:tcBorders>
            <w:shd w:val="clear" w:color="auto" w:fill="auto"/>
            <w:noWrap/>
            <w:vAlign w:val="bottom"/>
          </w:tcPr>
          <w:p w14:paraId="668143A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4 452 </w:t>
            </w:r>
          </w:p>
        </w:tc>
        <w:tc>
          <w:tcPr>
            <w:tcW w:w="262" w:type="pct"/>
            <w:tcBorders>
              <w:top w:val="nil"/>
              <w:left w:val="nil"/>
              <w:bottom w:val="nil"/>
              <w:right w:val="single" w:sz="4" w:space="0" w:color="auto"/>
            </w:tcBorders>
            <w:shd w:val="clear" w:color="auto" w:fill="auto"/>
            <w:noWrap/>
            <w:vAlign w:val="bottom"/>
          </w:tcPr>
          <w:p w14:paraId="080E76D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2DF260B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467505F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272215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105 </w:t>
            </w:r>
          </w:p>
        </w:tc>
        <w:tc>
          <w:tcPr>
            <w:tcW w:w="227" w:type="pct"/>
            <w:tcBorders>
              <w:top w:val="nil"/>
              <w:left w:val="nil"/>
              <w:bottom w:val="nil"/>
              <w:right w:val="single" w:sz="4" w:space="0" w:color="auto"/>
            </w:tcBorders>
            <w:shd w:val="clear" w:color="auto" w:fill="auto"/>
            <w:noWrap/>
            <w:vAlign w:val="bottom"/>
          </w:tcPr>
          <w:p w14:paraId="3F757C7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13 </w:t>
            </w:r>
          </w:p>
        </w:tc>
        <w:tc>
          <w:tcPr>
            <w:tcW w:w="218" w:type="pct"/>
            <w:tcBorders>
              <w:top w:val="nil"/>
              <w:left w:val="nil"/>
              <w:bottom w:val="nil"/>
              <w:right w:val="single" w:sz="4" w:space="0" w:color="auto"/>
            </w:tcBorders>
            <w:shd w:val="clear" w:color="auto" w:fill="auto"/>
            <w:noWrap/>
            <w:vAlign w:val="bottom"/>
          </w:tcPr>
          <w:p w14:paraId="1935B39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C38263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511FBF5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49FC238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68EBD15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4 570 </w:t>
            </w:r>
          </w:p>
        </w:tc>
      </w:tr>
      <w:tr w:rsidR="00761B6C" w:rsidRPr="00236418" w14:paraId="4BC7D14C" w14:textId="77777777" w:rsidTr="00B93AE4">
        <w:trPr>
          <w:trHeight w:val="513"/>
          <w:jc w:val="center"/>
        </w:trPr>
        <w:tc>
          <w:tcPr>
            <w:tcW w:w="479" w:type="pct"/>
            <w:tcBorders>
              <w:top w:val="nil"/>
              <w:left w:val="single" w:sz="4" w:space="0" w:color="auto"/>
              <w:right w:val="nil"/>
            </w:tcBorders>
            <w:shd w:val="clear" w:color="auto" w:fill="auto"/>
            <w:hideMark/>
          </w:tcPr>
          <w:p w14:paraId="462FAD56" w14:textId="77777777" w:rsidR="00761B6C" w:rsidRPr="00236418" w:rsidRDefault="00761B6C" w:rsidP="00761B6C">
            <w:pPr>
              <w:pStyle w:val="Tabletext"/>
              <w:spacing w:before="0" w:after="0"/>
              <w:rPr>
                <w:sz w:val="14"/>
                <w:szCs w:val="14"/>
                <w:lang w:eastAsia="zh-CN"/>
              </w:rPr>
            </w:pPr>
            <w:r w:rsidRPr="00236418">
              <w:rPr>
                <w:sz w:val="14"/>
                <w:szCs w:val="14"/>
              </w:rPr>
              <w:t>Frais d</w:t>
            </w:r>
            <w:r>
              <w:rPr>
                <w:sz w:val="14"/>
                <w:szCs w:val="14"/>
              </w:rPr>
              <w:t>'</w:t>
            </w:r>
            <w:r w:rsidRPr="00236418">
              <w:rPr>
                <w:sz w:val="14"/>
                <w:szCs w:val="14"/>
              </w:rPr>
              <w:t>expédition, de télécommunications et de services</w:t>
            </w:r>
          </w:p>
        </w:tc>
        <w:tc>
          <w:tcPr>
            <w:tcW w:w="305" w:type="pct"/>
            <w:tcBorders>
              <w:top w:val="nil"/>
              <w:left w:val="single" w:sz="4" w:space="0" w:color="auto"/>
              <w:right w:val="single" w:sz="4" w:space="0" w:color="auto"/>
            </w:tcBorders>
            <w:shd w:val="clear" w:color="auto" w:fill="auto"/>
            <w:noWrap/>
            <w:vAlign w:val="center"/>
          </w:tcPr>
          <w:p w14:paraId="2E19A5D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1 218</w:t>
            </w:r>
          </w:p>
        </w:tc>
        <w:tc>
          <w:tcPr>
            <w:tcW w:w="305" w:type="pct"/>
            <w:tcBorders>
              <w:top w:val="nil"/>
              <w:left w:val="nil"/>
              <w:right w:val="single" w:sz="4" w:space="0" w:color="auto"/>
            </w:tcBorders>
            <w:shd w:val="clear" w:color="auto" w:fill="auto"/>
            <w:noWrap/>
            <w:vAlign w:val="center"/>
          </w:tcPr>
          <w:p w14:paraId="28FB1A2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162</w:t>
            </w:r>
          </w:p>
        </w:tc>
        <w:tc>
          <w:tcPr>
            <w:tcW w:w="348" w:type="pct"/>
            <w:tcBorders>
              <w:top w:val="nil"/>
              <w:left w:val="nil"/>
              <w:right w:val="single" w:sz="4" w:space="0" w:color="auto"/>
            </w:tcBorders>
            <w:shd w:val="clear" w:color="auto" w:fill="auto"/>
            <w:noWrap/>
            <w:vAlign w:val="center"/>
          </w:tcPr>
          <w:p w14:paraId="4426C16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41</w:t>
            </w:r>
          </w:p>
        </w:tc>
        <w:tc>
          <w:tcPr>
            <w:tcW w:w="347" w:type="pct"/>
            <w:tcBorders>
              <w:top w:val="nil"/>
              <w:left w:val="nil"/>
              <w:right w:val="single" w:sz="4" w:space="0" w:color="auto"/>
            </w:tcBorders>
            <w:shd w:val="clear" w:color="auto" w:fill="auto"/>
            <w:noWrap/>
            <w:vAlign w:val="center"/>
          </w:tcPr>
          <w:p w14:paraId="1DD65C9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127 </w:t>
            </w:r>
          </w:p>
        </w:tc>
        <w:tc>
          <w:tcPr>
            <w:tcW w:w="304" w:type="pct"/>
            <w:tcBorders>
              <w:top w:val="nil"/>
              <w:left w:val="nil"/>
              <w:right w:val="nil"/>
            </w:tcBorders>
            <w:shd w:val="clear" w:color="auto" w:fill="auto"/>
            <w:noWrap/>
            <w:vAlign w:val="center"/>
          </w:tcPr>
          <w:p w14:paraId="43AAF45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21 </w:t>
            </w:r>
          </w:p>
        </w:tc>
        <w:tc>
          <w:tcPr>
            <w:tcW w:w="304" w:type="pct"/>
            <w:tcBorders>
              <w:top w:val="nil"/>
              <w:left w:val="single" w:sz="4" w:space="0" w:color="auto"/>
              <w:right w:val="single" w:sz="4" w:space="0" w:color="auto"/>
            </w:tcBorders>
            <w:shd w:val="clear" w:color="auto" w:fill="auto"/>
            <w:noWrap/>
            <w:vAlign w:val="center"/>
          </w:tcPr>
          <w:p w14:paraId="106C34C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1 570 </w:t>
            </w:r>
          </w:p>
        </w:tc>
        <w:tc>
          <w:tcPr>
            <w:tcW w:w="262" w:type="pct"/>
            <w:tcBorders>
              <w:top w:val="nil"/>
              <w:left w:val="nil"/>
              <w:right w:val="single" w:sz="4" w:space="0" w:color="auto"/>
            </w:tcBorders>
            <w:shd w:val="clear" w:color="auto" w:fill="auto"/>
            <w:noWrap/>
            <w:vAlign w:val="center"/>
          </w:tcPr>
          <w:p w14:paraId="223260B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right w:val="single" w:sz="4" w:space="0" w:color="auto"/>
            </w:tcBorders>
            <w:shd w:val="clear" w:color="auto" w:fill="auto"/>
            <w:vAlign w:val="center"/>
          </w:tcPr>
          <w:p w14:paraId="01B5D1F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right w:val="single" w:sz="4" w:space="0" w:color="auto"/>
            </w:tcBorders>
            <w:shd w:val="clear" w:color="auto" w:fill="auto"/>
            <w:noWrap/>
            <w:vAlign w:val="center"/>
          </w:tcPr>
          <w:p w14:paraId="3745612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right w:val="single" w:sz="4" w:space="0" w:color="auto"/>
            </w:tcBorders>
            <w:shd w:val="clear" w:color="auto" w:fill="auto"/>
            <w:noWrap/>
            <w:vAlign w:val="center"/>
          </w:tcPr>
          <w:p w14:paraId="7BADD0C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27" w:type="pct"/>
            <w:tcBorders>
              <w:top w:val="nil"/>
              <w:left w:val="nil"/>
              <w:right w:val="single" w:sz="4" w:space="0" w:color="auto"/>
            </w:tcBorders>
            <w:shd w:val="clear" w:color="auto" w:fill="auto"/>
            <w:noWrap/>
            <w:vAlign w:val="center"/>
          </w:tcPr>
          <w:p w14:paraId="562EE2B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39 </w:t>
            </w:r>
          </w:p>
        </w:tc>
        <w:tc>
          <w:tcPr>
            <w:tcW w:w="218" w:type="pct"/>
            <w:tcBorders>
              <w:top w:val="nil"/>
              <w:left w:val="nil"/>
              <w:right w:val="single" w:sz="4" w:space="0" w:color="auto"/>
            </w:tcBorders>
            <w:shd w:val="clear" w:color="auto" w:fill="auto"/>
            <w:noWrap/>
            <w:vAlign w:val="center"/>
          </w:tcPr>
          <w:p w14:paraId="5FBD707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right w:val="single" w:sz="4" w:space="0" w:color="auto"/>
            </w:tcBorders>
            <w:shd w:val="clear" w:color="auto" w:fill="auto"/>
            <w:noWrap/>
            <w:vAlign w:val="center"/>
          </w:tcPr>
          <w:p w14:paraId="019025C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right w:val="single" w:sz="4" w:space="0" w:color="auto"/>
            </w:tcBorders>
            <w:shd w:val="clear" w:color="auto" w:fill="auto"/>
            <w:noWrap/>
            <w:vAlign w:val="center"/>
          </w:tcPr>
          <w:p w14:paraId="12050A2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10</w:t>
            </w:r>
          </w:p>
        </w:tc>
        <w:tc>
          <w:tcPr>
            <w:tcW w:w="348" w:type="pct"/>
            <w:tcBorders>
              <w:top w:val="nil"/>
              <w:left w:val="nil"/>
              <w:right w:val="single" w:sz="4" w:space="0" w:color="auto"/>
            </w:tcBorders>
            <w:shd w:val="clear" w:color="auto" w:fill="auto"/>
            <w:noWrap/>
            <w:vAlign w:val="center"/>
          </w:tcPr>
          <w:p w14:paraId="66630DA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right w:val="single" w:sz="4" w:space="0" w:color="auto"/>
            </w:tcBorders>
            <w:shd w:val="clear" w:color="auto" w:fill="auto"/>
            <w:noWrap/>
            <w:vAlign w:val="center"/>
          </w:tcPr>
          <w:p w14:paraId="010F875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1 619 </w:t>
            </w:r>
          </w:p>
        </w:tc>
      </w:tr>
      <w:tr w:rsidR="00761B6C" w:rsidRPr="00236418" w14:paraId="7F2F84EA" w14:textId="77777777" w:rsidTr="00B93AE4">
        <w:trPr>
          <w:trHeight w:val="684"/>
          <w:jc w:val="center"/>
        </w:trPr>
        <w:tc>
          <w:tcPr>
            <w:tcW w:w="479" w:type="pct"/>
            <w:tcBorders>
              <w:top w:val="nil"/>
              <w:left w:val="single" w:sz="4" w:space="0" w:color="auto"/>
              <w:right w:val="nil"/>
            </w:tcBorders>
            <w:shd w:val="clear" w:color="auto" w:fill="auto"/>
            <w:hideMark/>
          </w:tcPr>
          <w:p w14:paraId="4BB52F65" w14:textId="77777777" w:rsidR="00761B6C" w:rsidRPr="00236418" w:rsidRDefault="00761B6C" w:rsidP="00761B6C">
            <w:pPr>
              <w:pStyle w:val="Tabletext"/>
              <w:spacing w:before="0" w:after="0"/>
              <w:rPr>
                <w:sz w:val="14"/>
                <w:szCs w:val="14"/>
                <w:lang w:eastAsia="zh-CN"/>
              </w:rPr>
            </w:pPr>
            <w:r w:rsidRPr="00236418">
              <w:rPr>
                <w:sz w:val="14"/>
                <w:szCs w:val="14"/>
              </w:rPr>
              <w:t>Vérification des comptes et contributions interorganisations</w:t>
            </w:r>
          </w:p>
        </w:tc>
        <w:tc>
          <w:tcPr>
            <w:tcW w:w="305" w:type="pct"/>
            <w:tcBorders>
              <w:top w:val="nil"/>
              <w:left w:val="single" w:sz="4" w:space="0" w:color="auto"/>
              <w:right w:val="single" w:sz="4" w:space="0" w:color="auto"/>
            </w:tcBorders>
            <w:shd w:val="clear" w:color="auto" w:fill="auto"/>
            <w:noWrap/>
            <w:vAlign w:val="center"/>
          </w:tcPr>
          <w:p w14:paraId="00E8126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724</w:t>
            </w:r>
          </w:p>
        </w:tc>
        <w:tc>
          <w:tcPr>
            <w:tcW w:w="305" w:type="pct"/>
            <w:tcBorders>
              <w:top w:val="nil"/>
              <w:left w:val="nil"/>
              <w:right w:val="single" w:sz="4" w:space="0" w:color="auto"/>
            </w:tcBorders>
            <w:shd w:val="clear" w:color="auto" w:fill="auto"/>
            <w:noWrap/>
            <w:vAlign w:val="center"/>
          </w:tcPr>
          <w:p w14:paraId="6215E12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right w:val="single" w:sz="4" w:space="0" w:color="auto"/>
            </w:tcBorders>
            <w:shd w:val="clear" w:color="auto" w:fill="auto"/>
            <w:noWrap/>
            <w:vAlign w:val="center"/>
          </w:tcPr>
          <w:p w14:paraId="7C6BDE8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7" w:type="pct"/>
            <w:tcBorders>
              <w:top w:val="nil"/>
              <w:left w:val="nil"/>
              <w:right w:val="single" w:sz="4" w:space="0" w:color="auto"/>
            </w:tcBorders>
            <w:shd w:val="clear" w:color="auto" w:fill="auto"/>
            <w:noWrap/>
            <w:vAlign w:val="center"/>
          </w:tcPr>
          <w:p w14:paraId="5143BC6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48 </w:t>
            </w:r>
          </w:p>
        </w:tc>
        <w:tc>
          <w:tcPr>
            <w:tcW w:w="304" w:type="pct"/>
            <w:tcBorders>
              <w:top w:val="nil"/>
              <w:left w:val="nil"/>
              <w:right w:val="nil"/>
            </w:tcBorders>
            <w:shd w:val="clear" w:color="auto" w:fill="auto"/>
            <w:noWrap/>
            <w:vAlign w:val="center"/>
          </w:tcPr>
          <w:p w14:paraId="2EA0790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w:t>
            </w:r>
          </w:p>
        </w:tc>
        <w:tc>
          <w:tcPr>
            <w:tcW w:w="304" w:type="pct"/>
            <w:tcBorders>
              <w:top w:val="nil"/>
              <w:left w:val="single" w:sz="4" w:space="0" w:color="auto"/>
              <w:right w:val="single" w:sz="4" w:space="0" w:color="auto"/>
            </w:tcBorders>
            <w:shd w:val="clear" w:color="auto" w:fill="auto"/>
            <w:noWrap/>
            <w:vAlign w:val="center"/>
          </w:tcPr>
          <w:p w14:paraId="5D504D7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772 </w:t>
            </w:r>
          </w:p>
        </w:tc>
        <w:tc>
          <w:tcPr>
            <w:tcW w:w="262" w:type="pct"/>
            <w:tcBorders>
              <w:top w:val="nil"/>
              <w:left w:val="nil"/>
              <w:right w:val="single" w:sz="4" w:space="0" w:color="auto"/>
            </w:tcBorders>
            <w:shd w:val="clear" w:color="auto" w:fill="auto"/>
            <w:noWrap/>
            <w:vAlign w:val="center"/>
          </w:tcPr>
          <w:p w14:paraId="6CB9EB4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right w:val="single" w:sz="4" w:space="0" w:color="auto"/>
            </w:tcBorders>
            <w:shd w:val="clear" w:color="auto" w:fill="auto"/>
            <w:vAlign w:val="center"/>
          </w:tcPr>
          <w:p w14:paraId="33851E4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right w:val="single" w:sz="4" w:space="0" w:color="auto"/>
            </w:tcBorders>
            <w:shd w:val="clear" w:color="auto" w:fill="auto"/>
            <w:noWrap/>
            <w:vAlign w:val="center"/>
          </w:tcPr>
          <w:p w14:paraId="14E8395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right w:val="single" w:sz="4" w:space="0" w:color="auto"/>
            </w:tcBorders>
            <w:shd w:val="clear" w:color="auto" w:fill="auto"/>
            <w:noWrap/>
            <w:vAlign w:val="center"/>
          </w:tcPr>
          <w:p w14:paraId="2BEC1EB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27" w:type="pct"/>
            <w:tcBorders>
              <w:top w:val="nil"/>
              <w:left w:val="nil"/>
              <w:right w:val="single" w:sz="4" w:space="0" w:color="auto"/>
            </w:tcBorders>
            <w:shd w:val="clear" w:color="auto" w:fill="auto"/>
            <w:noWrap/>
            <w:vAlign w:val="center"/>
          </w:tcPr>
          <w:p w14:paraId="1C62113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w:t>
            </w:r>
          </w:p>
        </w:tc>
        <w:tc>
          <w:tcPr>
            <w:tcW w:w="218" w:type="pct"/>
            <w:tcBorders>
              <w:top w:val="nil"/>
              <w:left w:val="nil"/>
              <w:right w:val="single" w:sz="4" w:space="0" w:color="auto"/>
            </w:tcBorders>
            <w:shd w:val="clear" w:color="auto" w:fill="auto"/>
            <w:noWrap/>
            <w:vAlign w:val="center"/>
          </w:tcPr>
          <w:p w14:paraId="793C400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right w:val="single" w:sz="4" w:space="0" w:color="auto"/>
            </w:tcBorders>
            <w:shd w:val="clear" w:color="auto" w:fill="auto"/>
            <w:noWrap/>
            <w:vAlign w:val="center"/>
          </w:tcPr>
          <w:p w14:paraId="17722C5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right w:val="single" w:sz="4" w:space="0" w:color="auto"/>
            </w:tcBorders>
            <w:shd w:val="clear" w:color="auto" w:fill="auto"/>
            <w:noWrap/>
            <w:vAlign w:val="center"/>
          </w:tcPr>
          <w:p w14:paraId="121B8B3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w:t>
            </w:r>
          </w:p>
        </w:tc>
        <w:tc>
          <w:tcPr>
            <w:tcW w:w="348" w:type="pct"/>
            <w:tcBorders>
              <w:top w:val="nil"/>
              <w:left w:val="nil"/>
              <w:right w:val="single" w:sz="4" w:space="0" w:color="auto"/>
            </w:tcBorders>
            <w:shd w:val="clear" w:color="auto" w:fill="auto"/>
            <w:noWrap/>
            <w:vAlign w:val="center"/>
          </w:tcPr>
          <w:p w14:paraId="45B8FB7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right w:val="single" w:sz="4" w:space="0" w:color="auto"/>
            </w:tcBorders>
            <w:shd w:val="clear" w:color="auto" w:fill="auto"/>
            <w:noWrap/>
            <w:vAlign w:val="center"/>
          </w:tcPr>
          <w:p w14:paraId="64933A4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772 </w:t>
            </w:r>
          </w:p>
        </w:tc>
      </w:tr>
      <w:tr w:rsidR="00761B6C" w:rsidRPr="00236418" w14:paraId="06CD1283"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5D0AFE04" w14:textId="77777777" w:rsidR="00761B6C" w:rsidRPr="00236418" w:rsidRDefault="00761B6C" w:rsidP="00761B6C">
            <w:pPr>
              <w:pStyle w:val="Tabletext"/>
              <w:spacing w:before="0" w:after="0"/>
              <w:rPr>
                <w:sz w:val="14"/>
                <w:szCs w:val="14"/>
                <w:lang w:eastAsia="zh-CN"/>
              </w:rPr>
            </w:pPr>
            <w:r w:rsidRPr="00236418">
              <w:rPr>
                <w:sz w:val="14"/>
                <w:szCs w:val="14"/>
              </w:rPr>
              <w:t>Autres charges</w:t>
            </w:r>
          </w:p>
        </w:tc>
        <w:tc>
          <w:tcPr>
            <w:tcW w:w="305" w:type="pct"/>
            <w:tcBorders>
              <w:top w:val="nil"/>
              <w:left w:val="single" w:sz="4" w:space="0" w:color="auto"/>
              <w:bottom w:val="nil"/>
              <w:right w:val="single" w:sz="4" w:space="0" w:color="auto"/>
            </w:tcBorders>
            <w:shd w:val="clear" w:color="auto" w:fill="auto"/>
            <w:noWrap/>
          </w:tcPr>
          <w:p w14:paraId="09BFC6C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82</w:t>
            </w:r>
          </w:p>
        </w:tc>
        <w:tc>
          <w:tcPr>
            <w:tcW w:w="305" w:type="pct"/>
            <w:tcBorders>
              <w:top w:val="nil"/>
              <w:left w:val="nil"/>
              <w:bottom w:val="nil"/>
              <w:right w:val="single" w:sz="4" w:space="0" w:color="auto"/>
            </w:tcBorders>
            <w:shd w:val="clear" w:color="auto" w:fill="auto"/>
            <w:noWrap/>
          </w:tcPr>
          <w:p w14:paraId="1D39ACA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8</w:t>
            </w:r>
          </w:p>
        </w:tc>
        <w:tc>
          <w:tcPr>
            <w:tcW w:w="348" w:type="pct"/>
            <w:tcBorders>
              <w:top w:val="nil"/>
              <w:left w:val="nil"/>
              <w:bottom w:val="nil"/>
              <w:right w:val="single" w:sz="4" w:space="0" w:color="auto"/>
            </w:tcBorders>
            <w:shd w:val="clear" w:color="auto" w:fill="auto"/>
            <w:noWrap/>
          </w:tcPr>
          <w:p w14:paraId="48A0DC1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7</w:t>
            </w:r>
          </w:p>
        </w:tc>
        <w:tc>
          <w:tcPr>
            <w:tcW w:w="347" w:type="pct"/>
            <w:tcBorders>
              <w:top w:val="nil"/>
              <w:left w:val="nil"/>
              <w:bottom w:val="nil"/>
              <w:right w:val="single" w:sz="4" w:space="0" w:color="auto"/>
            </w:tcBorders>
            <w:shd w:val="clear" w:color="auto" w:fill="auto"/>
            <w:noWrap/>
            <w:vAlign w:val="bottom"/>
          </w:tcPr>
          <w:p w14:paraId="5E27D69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48 </w:t>
            </w:r>
          </w:p>
        </w:tc>
        <w:tc>
          <w:tcPr>
            <w:tcW w:w="304" w:type="pct"/>
            <w:tcBorders>
              <w:top w:val="nil"/>
              <w:left w:val="nil"/>
              <w:bottom w:val="nil"/>
              <w:right w:val="nil"/>
            </w:tcBorders>
            <w:shd w:val="clear" w:color="auto" w:fill="auto"/>
            <w:noWrap/>
            <w:vAlign w:val="bottom"/>
          </w:tcPr>
          <w:p w14:paraId="395F305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704 </w:t>
            </w:r>
          </w:p>
        </w:tc>
        <w:tc>
          <w:tcPr>
            <w:tcW w:w="304" w:type="pct"/>
            <w:tcBorders>
              <w:top w:val="nil"/>
              <w:left w:val="single" w:sz="4" w:space="0" w:color="auto"/>
              <w:bottom w:val="nil"/>
              <w:right w:val="single" w:sz="4" w:space="0" w:color="auto"/>
            </w:tcBorders>
            <w:shd w:val="clear" w:color="auto" w:fill="auto"/>
            <w:noWrap/>
            <w:vAlign w:val="bottom"/>
          </w:tcPr>
          <w:p w14:paraId="13CE9E9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850</w:t>
            </w:r>
          </w:p>
        </w:tc>
        <w:tc>
          <w:tcPr>
            <w:tcW w:w="262" w:type="pct"/>
            <w:tcBorders>
              <w:top w:val="nil"/>
              <w:left w:val="nil"/>
              <w:bottom w:val="nil"/>
              <w:right w:val="single" w:sz="4" w:space="0" w:color="auto"/>
            </w:tcBorders>
            <w:shd w:val="clear" w:color="auto" w:fill="auto"/>
            <w:noWrap/>
            <w:vAlign w:val="bottom"/>
          </w:tcPr>
          <w:p w14:paraId="78A72C5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405E1BB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755A283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EC51BE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w:t>
            </w:r>
          </w:p>
        </w:tc>
        <w:tc>
          <w:tcPr>
            <w:tcW w:w="227" w:type="pct"/>
            <w:tcBorders>
              <w:top w:val="nil"/>
              <w:left w:val="nil"/>
              <w:bottom w:val="nil"/>
              <w:right w:val="single" w:sz="4" w:space="0" w:color="auto"/>
            </w:tcBorders>
            <w:shd w:val="clear" w:color="auto" w:fill="auto"/>
            <w:noWrap/>
            <w:vAlign w:val="bottom"/>
          </w:tcPr>
          <w:p w14:paraId="0ACB10D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447 </w:t>
            </w:r>
          </w:p>
        </w:tc>
        <w:tc>
          <w:tcPr>
            <w:tcW w:w="218" w:type="pct"/>
            <w:tcBorders>
              <w:top w:val="nil"/>
              <w:left w:val="nil"/>
              <w:bottom w:val="nil"/>
              <w:right w:val="single" w:sz="4" w:space="0" w:color="auto"/>
            </w:tcBorders>
            <w:shd w:val="clear" w:color="auto" w:fill="auto"/>
            <w:noWrap/>
            <w:vAlign w:val="bottom"/>
          </w:tcPr>
          <w:p w14:paraId="2B52690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1394896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446866B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1 566</w:t>
            </w:r>
          </w:p>
        </w:tc>
        <w:tc>
          <w:tcPr>
            <w:tcW w:w="348" w:type="pct"/>
            <w:tcBorders>
              <w:top w:val="nil"/>
              <w:left w:val="nil"/>
              <w:bottom w:val="nil"/>
              <w:right w:val="single" w:sz="4" w:space="0" w:color="auto"/>
            </w:tcBorders>
            <w:shd w:val="clear" w:color="auto" w:fill="auto"/>
            <w:noWrap/>
            <w:vAlign w:val="bottom"/>
          </w:tcPr>
          <w:p w14:paraId="743A92E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–2 385</w:t>
            </w:r>
          </w:p>
        </w:tc>
        <w:tc>
          <w:tcPr>
            <w:tcW w:w="302" w:type="pct"/>
            <w:tcBorders>
              <w:top w:val="nil"/>
              <w:left w:val="nil"/>
              <w:bottom w:val="nil"/>
              <w:right w:val="single" w:sz="4" w:space="0" w:color="auto"/>
            </w:tcBorders>
            <w:shd w:val="clear" w:color="auto" w:fill="auto"/>
            <w:noWrap/>
            <w:vAlign w:val="bottom"/>
          </w:tcPr>
          <w:p w14:paraId="0622F99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480 </w:t>
            </w:r>
          </w:p>
        </w:tc>
      </w:tr>
      <w:tr w:rsidR="00761B6C" w:rsidRPr="00236418" w14:paraId="0F710E05" w14:textId="77777777" w:rsidTr="00B93AE4">
        <w:trPr>
          <w:trHeight w:val="255"/>
          <w:jc w:val="center"/>
        </w:trPr>
        <w:tc>
          <w:tcPr>
            <w:tcW w:w="479" w:type="pct"/>
            <w:tcBorders>
              <w:top w:val="nil"/>
              <w:left w:val="single" w:sz="4" w:space="0" w:color="auto"/>
              <w:bottom w:val="nil"/>
              <w:right w:val="nil"/>
            </w:tcBorders>
            <w:shd w:val="clear" w:color="auto" w:fill="auto"/>
            <w:hideMark/>
          </w:tcPr>
          <w:p w14:paraId="044BCF1C" w14:textId="77777777" w:rsidR="00761B6C" w:rsidRPr="00236418" w:rsidRDefault="00761B6C" w:rsidP="00761B6C">
            <w:pPr>
              <w:pStyle w:val="Tabletext"/>
              <w:spacing w:before="0" w:after="0"/>
              <w:rPr>
                <w:sz w:val="14"/>
                <w:szCs w:val="14"/>
                <w:lang w:eastAsia="zh-CN"/>
              </w:rPr>
            </w:pPr>
            <w:r w:rsidRPr="00236418">
              <w:rPr>
                <w:sz w:val="14"/>
                <w:szCs w:val="14"/>
              </w:rPr>
              <w:t>Charges financières</w:t>
            </w:r>
          </w:p>
        </w:tc>
        <w:tc>
          <w:tcPr>
            <w:tcW w:w="305" w:type="pct"/>
            <w:tcBorders>
              <w:top w:val="nil"/>
              <w:left w:val="single" w:sz="4" w:space="0" w:color="auto"/>
              <w:bottom w:val="nil"/>
              <w:right w:val="single" w:sz="4" w:space="0" w:color="auto"/>
            </w:tcBorders>
            <w:shd w:val="clear" w:color="auto" w:fill="auto"/>
            <w:noWrap/>
          </w:tcPr>
          <w:p w14:paraId="6B551C6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107</w:t>
            </w:r>
          </w:p>
        </w:tc>
        <w:tc>
          <w:tcPr>
            <w:tcW w:w="305" w:type="pct"/>
            <w:tcBorders>
              <w:top w:val="nil"/>
              <w:left w:val="nil"/>
              <w:bottom w:val="nil"/>
              <w:right w:val="single" w:sz="4" w:space="0" w:color="auto"/>
            </w:tcBorders>
            <w:shd w:val="clear" w:color="auto" w:fill="auto"/>
            <w:noWrap/>
          </w:tcPr>
          <w:p w14:paraId="3B2F238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17</w:t>
            </w:r>
          </w:p>
        </w:tc>
        <w:tc>
          <w:tcPr>
            <w:tcW w:w="348" w:type="pct"/>
            <w:tcBorders>
              <w:top w:val="nil"/>
              <w:left w:val="nil"/>
              <w:bottom w:val="nil"/>
              <w:right w:val="single" w:sz="4" w:space="0" w:color="auto"/>
            </w:tcBorders>
            <w:shd w:val="clear" w:color="auto" w:fill="auto"/>
            <w:noWrap/>
          </w:tcPr>
          <w:p w14:paraId="1A7223B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12</w:t>
            </w:r>
          </w:p>
        </w:tc>
        <w:tc>
          <w:tcPr>
            <w:tcW w:w="347" w:type="pct"/>
            <w:tcBorders>
              <w:top w:val="nil"/>
              <w:left w:val="nil"/>
              <w:bottom w:val="nil"/>
              <w:right w:val="single" w:sz="4" w:space="0" w:color="auto"/>
            </w:tcBorders>
            <w:shd w:val="clear" w:color="auto" w:fill="auto"/>
            <w:noWrap/>
            <w:vAlign w:val="bottom"/>
          </w:tcPr>
          <w:p w14:paraId="27D210F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48 </w:t>
            </w:r>
          </w:p>
        </w:tc>
        <w:tc>
          <w:tcPr>
            <w:tcW w:w="304" w:type="pct"/>
            <w:tcBorders>
              <w:top w:val="nil"/>
              <w:left w:val="nil"/>
              <w:bottom w:val="nil"/>
              <w:right w:val="nil"/>
            </w:tcBorders>
            <w:shd w:val="clear" w:color="auto" w:fill="auto"/>
            <w:noWrap/>
            <w:vAlign w:val="bottom"/>
          </w:tcPr>
          <w:p w14:paraId="40E248A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809 </w:t>
            </w:r>
          </w:p>
        </w:tc>
        <w:tc>
          <w:tcPr>
            <w:tcW w:w="304" w:type="pct"/>
            <w:tcBorders>
              <w:top w:val="nil"/>
              <w:left w:val="single" w:sz="4" w:space="0" w:color="auto"/>
              <w:bottom w:val="nil"/>
              <w:right w:val="single" w:sz="4" w:space="0" w:color="auto"/>
            </w:tcBorders>
            <w:shd w:val="clear" w:color="auto" w:fill="auto"/>
            <w:noWrap/>
            <w:vAlign w:val="bottom"/>
          </w:tcPr>
          <w:p w14:paraId="440AC00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992</w:t>
            </w:r>
          </w:p>
        </w:tc>
        <w:tc>
          <w:tcPr>
            <w:tcW w:w="262" w:type="pct"/>
            <w:tcBorders>
              <w:top w:val="nil"/>
              <w:left w:val="nil"/>
              <w:bottom w:val="nil"/>
              <w:right w:val="single" w:sz="4" w:space="0" w:color="auto"/>
            </w:tcBorders>
            <w:shd w:val="clear" w:color="auto" w:fill="auto"/>
            <w:noWrap/>
            <w:vAlign w:val="bottom"/>
          </w:tcPr>
          <w:p w14:paraId="6B74D82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w:t>
            </w:r>
          </w:p>
        </w:tc>
        <w:tc>
          <w:tcPr>
            <w:tcW w:w="245" w:type="pct"/>
            <w:tcBorders>
              <w:top w:val="nil"/>
              <w:left w:val="nil"/>
              <w:bottom w:val="nil"/>
              <w:right w:val="single" w:sz="4" w:space="0" w:color="auto"/>
            </w:tcBorders>
            <w:shd w:val="clear" w:color="auto" w:fill="auto"/>
            <w:vAlign w:val="bottom"/>
          </w:tcPr>
          <w:p w14:paraId="7C96332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 </w:t>
            </w:r>
          </w:p>
        </w:tc>
        <w:tc>
          <w:tcPr>
            <w:tcW w:w="249" w:type="pct"/>
            <w:tcBorders>
              <w:top w:val="nil"/>
              <w:left w:val="nil"/>
              <w:bottom w:val="nil"/>
              <w:right w:val="single" w:sz="4" w:space="0" w:color="auto"/>
            </w:tcBorders>
            <w:shd w:val="clear" w:color="auto" w:fill="auto"/>
            <w:noWrap/>
            <w:vAlign w:val="bottom"/>
          </w:tcPr>
          <w:p w14:paraId="293636DE"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FE39D5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530</w:t>
            </w:r>
          </w:p>
        </w:tc>
        <w:tc>
          <w:tcPr>
            <w:tcW w:w="227" w:type="pct"/>
            <w:tcBorders>
              <w:top w:val="nil"/>
              <w:left w:val="nil"/>
              <w:bottom w:val="nil"/>
              <w:right w:val="single" w:sz="4" w:space="0" w:color="auto"/>
            </w:tcBorders>
            <w:shd w:val="clear" w:color="auto" w:fill="auto"/>
            <w:noWrap/>
            <w:vAlign w:val="bottom"/>
          </w:tcPr>
          <w:p w14:paraId="7A170EE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1 896 </w:t>
            </w:r>
          </w:p>
        </w:tc>
        <w:tc>
          <w:tcPr>
            <w:tcW w:w="218" w:type="pct"/>
            <w:tcBorders>
              <w:top w:val="nil"/>
              <w:left w:val="nil"/>
              <w:bottom w:val="nil"/>
              <w:right w:val="single" w:sz="4" w:space="0" w:color="auto"/>
            </w:tcBorders>
            <w:shd w:val="clear" w:color="auto" w:fill="auto"/>
            <w:noWrap/>
            <w:vAlign w:val="bottom"/>
          </w:tcPr>
          <w:p w14:paraId="61A2C18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605</w:t>
            </w:r>
          </w:p>
        </w:tc>
        <w:tc>
          <w:tcPr>
            <w:tcW w:w="174" w:type="pct"/>
            <w:tcBorders>
              <w:top w:val="nil"/>
              <w:left w:val="nil"/>
              <w:bottom w:val="nil"/>
              <w:right w:val="single" w:sz="4" w:space="0" w:color="auto"/>
            </w:tcBorders>
            <w:shd w:val="clear" w:color="auto" w:fill="auto"/>
            <w:noWrap/>
            <w:vAlign w:val="bottom"/>
          </w:tcPr>
          <w:p w14:paraId="3BE63DC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–357</w:t>
            </w:r>
          </w:p>
        </w:tc>
        <w:tc>
          <w:tcPr>
            <w:tcW w:w="261" w:type="pct"/>
            <w:tcBorders>
              <w:top w:val="nil"/>
              <w:left w:val="nil"/>
              <w:bottom w:val="nil"/>
              <w:right w:val="single" w:sz="4" w:space="0" w:color="auto"/>
            </w:tcBorders>
            <w:shd w:val="clear" w:color="auto" w:fill="auto"/>
            <w:noWrap/>
            <w:vAlign w:val="bottom"/>
          </w:tcPr>
          <w:p w14:paraId="0ADC621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12</w:t>
            </w:r>
          </w:p>
        </w:tc>
        <w:tc>
          <w:tcPr>
            <w:tcW w:w="348" w:type="pct"/>
            <w:tcBorders>
              <w:top w:val="nil"/>
              <w:left w:val="nil"/>
              <w:bottom w:val="nil"/>
              <w:right w:val="single" w:sz="4" w:space="0" w:color="auto"/>
            </w:tcBorders>
            <w:shd w:val="clear" w:color="auto" w:fill="auto"/>
            <w:noWrap/>
            <w:vAlign w:val="bottom"/>
          </w:tcPr>
          <w:p w14:paraId="43ACF18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5CBB106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3 679 </w:t>
            </w:r>
          </w:p>
        </w:tc>
      </w:tr>
      <w:tr w:rsidR="00761B6C" w:rsidRPr="00236418" w14:paraId="1A507FFD" w14:textId="77777777" w:rsidTr="00B93AE4">
        <w:trPr>
          <w:trHeight w:val="255"/>
          <w:jc w:val="center"/>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7F339E0B" w14:textId="77777777" w:rsidR="00761B6C" w:rsidRPr="00236418" w:rsidRDefault="00761B6C" w:rsidP="00761B6C">
            <w:pPr>
              <w:pStyle w:val="Tabletext"/>
              <w:spacing w:before="0" w:after="0"/>
              <w:rPr>
                <w:b/>
                <w:bCs/>
                <w:sz w:val="14"/>
                <w:szCs w:val="14"/>
                <w:lang w:eastAsia="zh-CN"/>
              </w:rPr>
            </w:pPr>
            <w:r w:rsidRPr="00236418">
              <w:rPr>
                <w:b/>
                <w:bCs/>
                <w:sz w:val="14"/>
                <w:szCs w:val="14"/>
                <w:lang w:eastAsia="zh-CN"/>
              </w:rPr>
              <w:t>Total des charges</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3101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80 430</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79CD4B8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28 199</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53D82A2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13 458</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26D6E4F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27 125 </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1D1B227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78 316 </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506DCD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227 528</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3521BB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8</w:t>
            </w:r>
          </w:p>
        </w:tc>
        <w:tc>
          <w:tcPr>
            <w:tcW w:w="245" w:type="pct"/>
            <w:tcBorders>
              <w:top w:val="single" w:sz="4" w:space="0" w:color="auto"/>
              <w:left w:val="nil"/>
              <w:bottom w:val="single" w:sz="4" w:space="0" w:color="auto"/>
              <w:right w:val="single" w:sz="4" w:space="0" w:color="auto"/>
            </w:tcBorders>
            <w:shd w:val="clear" w:color="auto" w:fill="auto"/>
            <w:vAlign w:val="center"/>
          </w:tcPr>
          <w:p w14:paraId="5FFEE50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1 </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50A4D5F8"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17</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5EB16D2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4 425</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57B62845"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8 724 </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0233BF8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605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1646629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–357</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540696A"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6 075</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3318C0F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–2 385</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57B01CD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244 640 </w:t>
            </w:r>
          </w:p>
        </w:tc>
      </w:tr>
      <w:tr w:rsidR="00761B6C" w:rsidRPr="00236418" w14:paraId="50AB26E4" w14:textId="77777777" w:rsidTr="00B93AE4">
        <w:trPr>
          <w:trHeight w:val="510"/>
          <w:jc w:val="center"/>
        </w:trPr>
        <w:tc>
          <w:tcPr>
            <w:tcW w:w="479" w:type="pct"/>
            <w:tcBorders>
              <w:top w:val="single" w:sz="4" w:space="0" w:color="auto"/>
              <w:left w:val="single" w:sz="4" w:space="0" w:color="auto"/>
              <w:bottom w:val="single" w:sz="4" w:space="0" w:color="auto"/>
              <w:right w:val="nil"/>
            </w:tcBorders>
            <w:shd w:val="clear" w:color="auto" w:fill="auto"/>
            <w:hideMark/>
          </w:tcPr>
          <w:p w14:paraId="1D4AD2BF" w14:textId="77777777" w:rsidR="00761B6C" w:rsidRPr="00236418" w:rsidRDefault="00761B6C" w:rsidP="00761B6C">
            <w:pPr>
              <w:pStyle w:val="Tabletext"/>
              <w:spacing w:before="0" w:after="0"/>
              <w:rPr>
                <w:b/>
                <w:bCs/>
                <w:sz w:val="14"/>
                <w:szCs w:val="14"/>
                <w:lang w:eastAsia="zh-CN"/>
              </w:rPr>
            </w:pPr>
            <w:r w:rsidRPr="00236418">
              <w:rPr>
                <w:b/>
                <w:bCs/>
                <w:sz w:val="14"/>
                <w:szCs w:val="14"/>
              </w:rPr>
              <w:t xml:space="preserve">Excédent/(déficit) </w:t>
            </w:r>
            <w:r w:rsidRPr="00236418">
              <w:rPr>
                <w:b/>
                <w:bCs/>
                <w:sz w:val="14"/>
                <w:szCs w:val="14"/>
              </w:rPr>
              <w:br/>
              <w:t>de l</w:t>
            </w:r>
            <w:r>
              <w:rPr>
                <w:b/>
                <w:bCs/>
                <w:sz w:val="14"/>
                <w:szCs w:val="14"/>
              </w:rPr>
              <w:t>'</w:t>
            </w:r>
            <w:r w:rsidRPr="00236418">
              <w:rPr>
                <w:b/>
                <w:bCs/>
                <w:sz w:val="14"/>
                <w:szCs w:val="14"/>
              </w:rPr>
              <w:t>exercice</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3A7F3"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–78 799</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07CF08D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6 052</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2C921737"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–5 154</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7B9151E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–25 513</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1100CCB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43 868</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66BB27D4"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–59 546</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4F3E08F"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w:t>
            </w:r>
          </w:p>
        </w:tc>
        <w:tc>
          <w:tcPr>
            <w:tcW w:w="245" w:type="pct"/>
            <w:tcBorders>
              <w:top w:val="single" w:sz="4" w:space="0" w:color="auto"/>
              <w:left w:val="nil"/>
              <w:bottom w:val="single" w:sz="4" w:space="0" w:color="auto"/>
              <w:right w:val="single" w:sz="4" w:space="0" w:color="auto"/>
            </w:tcBorders>
            <w:shd w:val="clear" w:color="auto" w:fill="auto"/>
            <w:vAlign w:val="center"/>
          </w:tcPr>
          <w:p w14:paraId="0AFAA10C"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3 039</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4C010DB2"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–17</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5F773250"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–557</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7AD2204B"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–1 281</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6A2DD966"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71</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7BFA1D8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454ADCF1"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836</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40AE5C9"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111E40DD" w14:textId="77777777" w:rsidR="00761B6C" w:rsidRPr="00236418" w:rsidRDefault="00761B6C" w:rsidP="00761B6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–57 463</w:t>
            </w:r>
          </w:p>
        </w:tc>
      </w:tr>
      <w:bookmarkEnd w:id="2392"/>
      <w:bookmarkEnd w:id="2393"/>
      <w:bookmarkEnd w:id="2394"/>
      <w:bookmarkEnd w:id="2395"/>
      <w:bookmarkEnd w:id="2396"/>
      <w:bookmarkEnd w:id="2397"/>
      <w:bookmarkEnd w:id="2398"/>
      <w:bookmarkEnd w:id="2399"/>
      <w:bookmarkEnd w:id="2400"/>
      <w:bookmarkEnd w:id="2401"/>
    </w:tbl>
    <w:p w14:paraId="50FFD30B" w14:textId="77777777" w:rsidR="00761B6C" w:rsidRPr="00236418" w:rsidRDefault="00761B6C" w:rsidP="00761B6C">
      <w:pPr>
        <w:keepNext/>
        <w:keepLines/>
        <w:spacing w:before="0" w:after="40"/>
        <w:ind w:left="567" w:hanging="567"/>
        <w:outlineLvl w:val="0"/>
        <w:sectPr w:rsidR="00761B6C" w:rsidRPr="00236418" w:rsidSect="00761B6C">
          <w:footerReference w:type="default" r:id="rId48"/>
          <w:headerReference w:type="first" r:id="rId49"/>
          <w:footerReference w:type="first" r:id="rId50"/>
          <w:pgSz w:w="16840" w:h="11907" w:orient="landscape" w:code="9"/>
          <w:pgMar w:top="1134" w:right="1418" w:bottom="1134" w:left="1418" w:header="720" w:footer="720" w:gutter="0"/>
          <w:paperSrc w:first="261" w:other="261"/>
          <w:cols w:space="720"/>
          <w:docGrid w:linePitch="326"/>
        </w:sectPr>
      </w:pPr>
    </w:p>
    <w:p w14:paraId="01501B27" w14:textId="0B528D30" w:rsidR="00761B6C" w:rsidRDefault="00761B6C" w:rsidP="003A1E34">
      <w:pPr>
        <w:pStyle w:val="Headingb"/>
        <w:spacing w:after="120"/>
      </w:pPr>
      <w:bookmarkStart w:id="2408" w:name="_Toc482801523"/>
      <w:bookmarkStart w:id="2409" w:name="_Toc511649502"/>
      <w:bookmarkStart w:id="2410" w:name="_Toc511649865"/>
      <w:bookmarkStart w:id="2411" w:name="_Toc511649988"/>
      <w:bookmarkStart w:id="2412" w:name="_Toc511651248"/>
      <w:bookmarkStart w:id="2413" w:name="_Toc511724111"/>
      <w:bookmarkStart w:id="2414" w:name="_Toc511739100"/>
      <w:bookmarkStart w:id="2415" w:name="_Toc511741271"/>
      <w:bookmarkStart w:id="2416" w:name="_Toc10450784"/>
      <w:bookmarkStart w:id="2417" w:name="_Toc41566370"/>
      <w:bookmarkStart w:id="2418" w:name="_Toc41567381"/>
      <w:bookmarkStart w:id="2419" w:name="_Toc41567877"/>
      <w:bookmarkStart w:id="2420" w:name="_Toc41814974"/>
      <w:bookmarkStart w:id="2421" w:name="_Toc73354471"/>
      <w:bookmarkStart w:id="2422" w:name="_Toc73356454"/>
      <w:bookmarkStart w:id="2423" w:name="_Toc329178807"/>
      <w:bookmarkStart w:id="2424" w:name="_Toc329181780"/>
      <w:bookmarkStart w:id="2425" w:name="_Toc329202606"/>
      <w:bookmarkStart w:id="2426" w:name="_Toc329205038"/>
      <w:bookmarkStart w:id="2427" w:name="_Toc329206875"/>
      <w:bookmarkStart w:id="2428" w:name="_Toc358379956"/>
      <w:bookmarkStart w:id="2429" w:name="_Toc358380499"/>
      <w:bookmarkStart w:id="2430" w:name="_Toc387166667"/>
      <w:bookmarkStart w:id="2431" w:name="_Toc395260952"/>
      <w:bookmarkStart w:id="2432" w:name="_Toc395511739"/>
      <w:bookmarkStart w:id="2433" w:name="_Toc452138642"/>
      <w:bookmarkStart w:id="2434" w:name="_Toc452139091"/>
      <w:bookmarkStart w:id="2435" w:name="_Toc452139455"/>
      <w:bookmarkStart w:id="2436" w:name="_Toc452139861"/>
      <w:bookmarkStart w:id="2437" w:name="_Toc452140735"/>
      <w:r w:rsidRPr="00236418">
        <w:lastRenderedPageBreak/>
        <w:t>Note 25</w:t>
      </w:r>
      <w:r w:rsidRPr="00236418">
        <w:tab/>
        <w:t>Présence régionale</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p>
    <w:p w14:paraId="78FF2D1F" w14:textId="2D3B97FC" w:rsidR="00332DBC" w:rsidRPr="00332DBC" w:rsidRDefault="0065452F" w:rsidP="00332DBC">
      <w:pPr>
        <w:rPr>
          <w:sz w:val="2"/>
          <w:szCs w:val="2"/>
        </w:rPr>
      </w:pPr>
      <w:r w:rsidRPr="0065452F">
        <w:drawing>
          <wp:inline distT="0" distB="0" distL="0" distR="0" wp14:anchorId="716062F1" wp14:editId="45E35DF7">
            <wp:extent cx="6120765" cy="16503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0C8C1B58" w14:textId="391221EE" w:rsidR="00761B6C" w:rsidRPr="008008CB" w:rsidRDefault="00761B6C" w:rsidP="00761B6C">
      <w:pPr>
        <w:spacing w:before="240"/>
        <w:rPr>
          <w:color w:val="000000"/>
        </w:rPr>
      </w:pPr>
      <w:r>
        <w:t>En 2020, les efforts se sont poursuivis dans le but de renforcer</w:t>
      </w:r>
      <w:r w:rsidRPr="00236418">
        <w:t xml:space="preserve"> de la présence régionale de l</w:t>
      </w:r>
      <w:r>
        <w:t>'</w:t>
      </w:r>
      <w:r w:rsidRPr="00236418">
        <w:t>UIT par le biais d</w:t>
      </w:r>
      <w:r>
        <w:t>'</w:t>
      </w:r>
      <w:r w:rsidRPr="00236418">
        <w:t>un ensemble de mesures GAR visant à permettre à l</w:t>
      </w:r>
      <w:r>
        <w:t>'</w:t>
      </w:r>
      <w:r w:rsidRPr="00236418">
        <w:t>Union d</w:t>
      </w:r>
      <w:r>
        <w:t>'</w:t>
      </w:r>
      <w:r w:rsidRPr="00236418">
        <w:t xml:space="preserve">être plus réactive aux besoins particuliers des régions et de </w:t>
      </w:r>
      <w:r w:rsidRPr="00236418">
        <w:rPr>
          <w:color w:val="000000"/>
        </w:rPr>
        <w:t xml:space="preserve">fournir efficacement et dans les meilleurs délais des produits et des services de qualité aux niveaux national et régional. </w:t>
      </w:r>
      <w:r>
        <w:rPr>
          <w:color w:val="000000"/>
        </w:rPr>
        <w:t xml:space="preserve">À sa session de 2019, </w:t>
      </w:r>
      <w:r w:rsidRPr="00EA1A43">
        <w:rPr>
          <w:color w:val="000000"/>
        </w:rPr>
        <w:t xml:space="preserve">le Conseil </w:t>
      </w:r>
      <w:r>
        <w:rPr>
          <w:color w:val="000000"/>
        </w:rPr>
        <w:t xml:space="preserve">a chargé le Secrétaire général </w:t>
      </w:r>
      <w:r w:rsidRPr="00EA1A43">
        <w:rPr>
          <w:color w:val="000000"/>
        </w:rPr>
        <w:t>de procéder à un examen de la présence régionale afin d</w:t>
      </w:r>
      <w:r>
        <w:rPr>
          <w:color w:val="000000"/>
        </w:rPr>
        <w:t>'</w:t>
      </w:r>
      <w:r w:rsidR="00FA013B">
        <w:rPr>
          <w:color w:val="000000"/>
        </w:rPr>
        <w:t>en améliorer </w:t>
      </w:r>
      <w:r w:rsidRPr="00EA1A43">
        <w:rPr>
          <w:color w:val="000000"/>
        </w:rPr>
        <w:t>l</w:t>
      </w:r>
      <w:r>
        <w:rPr>
          <w:color w:val="000000"/>
        </w:rPr>
        <w:t>'</w:t>
      </w:r>
      <w:r w:rsidRPr="00EA1A43">
        <w:rPr>
          <w:color w:val="000000"/>
        </w:rPr>
        <w:t>efficience et l</w:t>
      </w:r>
      <w:r>
        <w:rPr>
          <w:color w:val="000000"/>
        </w:rPr>
        <w:t>'</w:t>
      </w:r>
      <w:r w:rsidRPr="00EA1A43">
        <w:rPr>
          <w:color w:val="000000"/>
        </w:rPr>
        <w:t>efficacité. Le cabinet PwC a été choisi à cette fin e</w:t>
      </w:r>
      <w:r>
        <w:rPr>
          <w:color w:val="000000"/>
        </w:rPr>
        <w:t xml:space="preserve">t a soumis un rapport en juillet 2020, contenant des recommandations destinées à améliorer la présence régionale de l'UIT. Le rapport a été présenté au Conseil en novembre 2020. </w:t>
      </w:r>
      <w:r w:rsidRPr="00C2628C">
        <w:rPr>
          <w:color w:val="000000"/>
        </w:rPr>
        <w:t>En août 2020, le secrétariat a constitué un groupe d</w:t>
      </w:r>
      <w:r>
        <w:rPr>
          <w:color w:val="000000"/>
        </w:rPr>
        <w:t>'</w:t>
      </w:r>
      <w:r w:rsidRPr="00C2628C">
        <w:rPr>
          <w:color w:val="000000"/>
        </w:rPr>
        <w:t>action, composé de fonctionnaires de tous les départements concernés du Secrétariat général et des Bureaux, pour examiner le rapport du cabinet PwC et soumettre un rapport détaillé à cet égard, comprenant des recommandations en vue d</w:t>
      </w:r>
      <w:r>
        <w:rPr>
          <w:color w:val="000000"/>
        </w:rPr>
        <w:t>'</w:t>
      </w:r>
      <w:r w:rsidRPr="00C2628C">
        <w:rPr>
          <w:color w:val="000000"/>
        </w:rPr>
        <w:t>une future mise en œuvre.</w:t>
      </w:r>
      <w:r>
        <w:rPr>
          <w:color w:val="000000"/>
        </w:rPr>
        <w:t xml:space="preserve"> Le </w:t>
      </w:r>
      <w:r w:rsidRPr="00C2628C">
        <w:rPr>
          <w:color w:val="000000"/>
        </w:rPr>
        <w:t xml:space="preserve">rapport du cabinet PwC (Document </w:t>
      </w:r>
      <w:hyperlink r:id="rId52" w:history="1">
        <w:r w:rsidRPr="00C2628C">
          <w:rPr>
            <w:rStyle w:val="Hyperlink"/>
          </w:rPr>
          <w:t>C20/74</w:t>
        </w:r>
      </w:hyperlink>
      <w:r w:rsidRPr="00C2628C">
        <w:rPr>
          <w:color w:val="000000"/>
        </w:rPr>
        <w:t xml:space="preserve">) a été </w:t>
      </w:r>
      <w:r>
        <w:rPr>
          <w:color w:val="000000"/>
        </w:rPr>
        <w:t>présenté</w:t>
      </w:r>
      <w:r w:rsidRPr="00C2628C">
        <w:rPr>
          <w:color w:val="000000"/>
        </w:rPr>
        <w:t xml:space="preserve"> en novembre 2020 et le Conseil a pris note de ce document.</w:t>
      </w:r>
      <w:r>
        <w:rPr>
          <w:color w:val="000000"/>
        </w:rPr>
        <w:t xml:space="preserve"> </w:t>
      </w:r>
      <w:r w:rsidRPr="00AB7B7E">
        <w:rPr>
          <w:color w:val="000000"/>
        </w:rPr>
        <w:t>Une note du Groupe d</w:t>
      </w:r>
      <w:r>
        <w:rPr>
          <w:color w:val="000000"/>
        </w:rPr>
        <w:t>'</w:t>
      </w:r>
      <w:r w:rsidRPr="00AB7B7E">
        <w:rPr>
          <w:color w:val="000000"/>
        </w:rPr>
        <w:t>action du secrétariat à l</w:t>
      </w:r>
      <w:r>
        <w:rPr>
          <w:color w:val="000000"/>
        </w:rPr>
        <w:t>'</w:t>
      </w:r>
      <w:r w:rsidRPr="00AB7B7E">
        <w:rPr>
          <w:color w:val="000000"/>
        </w:rPr>
        <w:t xml:space="preserve">intention du Conseil (Document </w:t>
      </w:r>
      <w:hyperlink r:id="rId53" w:history="1">
        <w:r w:rsidRPr="00AB7B7E">
          <w:rPr>
            <w:rStyle w:val="Hyperlink"/>
          </w:rPr>
          <w:t>C20/75</w:t>
        </w:r>
      </w:hyperlink>
      <w:r w:rsidRPr="00AB7B7E">
        <w:rPr>
          <w:color w:val="000000"/>
        </w:rPr>
        <w:t xml:space="preserve">) a également été présentée </w:t>
      </w:r>
      <w:r>
        <w:rPr>
          <w:color w:val="000000"/>
        </w:rPr>
        <w:t>au Conseil</w:t>
      </w:r>
      <w:r w:rsidRPr="00AB7B7E">
        <w:rPr>
          <w:color w:val="000000"/>
        </w:rPr>
        <w:t xml:space="preserve">. Les recommandations formulées par le cabinet PwC </w:t>
      </w:r>
      <w:r>
        <w:rPr>
          <w:color w:val="000000"/>
        </w:rPr>
        <w:t xml:space="preserve">qui exigent une décision du Conseil </w:t>
      </w:r>
      <w:r w:rsidRPr="00AB7B7E">
        <w:rPr>
          <w:color w:val="000000"/>
        </w:rPr>
        <w:t>ont été transmises au Groupe de travail du Conseil sur les ressources financières et les ressources humaines (GTC-FHR), afin que celui-ci fournisse des orientations sur la marche à suivre pour la mise en œuvre de ces recommandations</w:t>
      </w:r>
      <w:r w:rsidRPr="008008CB">
        <w:rPr>
          <w:color w:val="000000"/>
        </w:rPr>
        <w:t>.</w:t>
      </w:r>
    </w:p>
    <w:p w14:paraId="7601B284" w14:textId="77777777" w:rsidR="00761B6C" w:rsidRPr="00236418" w:rsidRDefault="00761B6C" w:rsidP="003A1E34">
      <w:pPr>
        <w:pStyle w:val="Headingb"/>
        <w:spacing w:before="240"/>
      </w:pPr>
      <w:bookmarkStart w:id="2438" w:name="_Toc482801524"/>
      <w:bookmarkStart w:id="2439" w:name="_Toc511649503"/>
      <w:bookmarkStart w:id="2440" w:name="_Toc511649866"/>
      <w:bookmarkStart w:id="2441" w:name="_Toc511649989"/>
      <w:bookmarkStart w:id="2442" w:name="_Toc511651249"/>
      <w:bookmarkStart w:id="2443" w:name="_Toc511724112"/>
      <w:bookmarkStart w:id="2444" w:name="_Toc511739101"/>
      <w:bookmarkStart w:id="2445" w:name="_Toc511741272"/>
      <w:bookmarkStart w:id="2446" w:name="_Toc10450785"/>
      <w:bookmarkStart w:id="2447" w:name="_Toc41566371"/>
      <w:bookmarkStart w:id="2448" w:name="_Toc41567382"/>
      <w:bookmarkStart w:id="2449" w:name="_Toc41567878"/>
      <w:bookmarkStart w:id="2450" w:name="_Toc41814975"/>
      <w:bookmarkStart w:id="2451" w:name="_Toc73354472"/>
      <w:bookmarkStart w:id="2452" w:name="_Toc73356455"/>
      <w:r w:rsidRPr="00236418">
        <w:t>Note 26</w:t>
      </w:r>
      <w:r w:rsidRPr="00236418">
        <w:tab/>
        <w:t>Rapprochement entre les montants budgétés et les montants effectifs</w:t>
      </w:r>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14:paraId="3A2A70F5" w14:textId="77777777" w:rsidR="00761B6C" w:rsidRPr="00236418" w:rsidRDefault="00761B6C" w:rsidP="00761B6C">
      <w:pPr>
        <w:rPr>
          <w:b/>
        </w:rPr>
      </w:pPr>
      <w:bookmarkStart w:id="2453" w:name="_Toc269839112"/>
      <w:bookmarkStart w:id="2454" w:name="_Toc268007571"/>
      <w:r w:rsidRPr="00236418">
        <w:t>Les états financiers incluent:</w:t>
      </w:r>
    </w:p>
    <w:p w14:paraId="093C3C5A" w14:textId="77777777" w:rsidR="00761B6C" w:rsidRPr="00236418" w:rsidRDefault="00761B6C" w:rsidP="00761B6C">
      <w:pPr>
        <w:pStyle w:val="enumlev1"/>
      </w:pPr>
      <w:r w:rsidRPr="00236418">
        <w:t>•</w:t>
      </w:r>
      <w:r w:rsidRPr="00236418">
        <w:tab/>
        <w:t>Le budget ordinaire de l</w:t>
      </w:r>
      <w:r>
        <w:t>'</w:t>
      </w:r>
      <w:r w:rsidRPr="00236418">
        <w:t>UIT.</w:t>
      </w:r>
    </w:p>
    <w:p w14:paraId="66E3F7E6" w14:textId="77777777" w:rsidR="00761B6C" w:rsidRPr="00236418" w:rsidRDefault="00761B6C" w:rsidP="00761B6C">
      <w:pPr>
        <w:pStyle w:val="enumlev1"/>
      </w:pPr>
      <w:r w:rsidRPr="00236418">
        <w:t>•</w:t>
      </w:r>
      <w:r w:rsidRPr="00236418">
        <w:tab/>
        <w:t>Les manifestations ITU Telecom.</w:t>
      </w:r>
    </w:p>
    <w:p w14:paraId="52AA1D07" w14:textId="77777777" w:rsidR="00761B6C" w:rsidRPr="00236418" w:rsidRDefault="00761B6C" w:rsidP="00761B6C">
      <w:pPr>
        <w:pStyle w:val="enumlev1"/>
      </w:pPr>
      <w:r w:rsidRPr="00236418">
        <w:t>•</w:t>
      </w:r>
      <w:r w:rsidRPr="00236418">
        <w:tab/>
        <w:t>Les contributions volontaires.</w:t>
      </w:r>
    </w:p>
    <w:p w14:paraId="632873A7" w14:textId="77777777" w:rsidR="00761B6C" w:rsidRPr="00236418" w:rsidRDefault="00761B6C" w:rsidP="00761B6C">
      <w:pPr>
        <w:pStyle w:val="enumlev1"/>
      </w:pPr>
      <w:r w:rsidRPr="00236418">
        <w:t>•</w:t>
      </w:r>
      <w:r w:rsidRPr="00236418">
        <w:tab/>
        <w:t>Les caisses d</w:t>
      </w:r>
      <w:r>
        <w:t>'</w:t>
      </w:r>
      <w:r w:rsidRPr="00236418">
        <w:t>assurance.</w:t>
      </w:r>
    </w:p>
    <w:p w14:paraId="21E9ACE7" w14:textId="77777777" w:rsidR="00761B6C" w:rsidRPr="00236418" w:rsidRDefault="00761B6C" w:rsidP="00761B6C">
      <w:pPr>
        <w:pStyle w:val="enumlev1"/>
      </w:pPr>
      <w:r w:rsidRPr="00236418">
        <w:t>•</w:t>
      </w:r>
      <w:r w:rsidRPr="00236418">
        <w:tab/>
        <w:t>Les projets PNUD, FAS et FDTIC.</w:t>
      </w:r>
    </w:p>
    <w:p w14:paraId="1C9AEE97" w14:textId="77777777" w:rsidR="00761B6C" w:rsidRPr="00236418" w:rsidRDefault="00761B6C" w:rsidP="00761B6C">
      <w:pPr>
        <w:keepNext/>
        <w:keepLines/>
        <w:rPr>
          <w:b/>
          <w:color w:val="000000" w:themeColor="text1"/>
        </w:rPr>
      </w:pPr>
      <w:r w:rsidRPr="00236418">
        <w:lastRenderedPageBreak/>
        <w:t>Le budget et les États financiers de l</w:t>
      </w:r>
      <w:r>
        <w:t>'</w:t>
      </w:r>
      <w:r w:rsidRPr="00236418">
        <w:t>Union sont établis sur des bases différentes. Le budget 2018</w:t>
      </w:r>
      <w:r w:rsidRPr="00236418">
        <w:noBreakHyphen/>
        <w:t>2019 est établi sur une base mixte avec quelques éléments spécifiques qui ne sont pas traités selon une comptabilité d</w:t>
      </w:r>
      <w:r>
        <w:t>'</w:t>
      </w:r>
      <w:r w:rsidRPr="00236418">
        <w:t>engagement. De plus, le budget de l</w:t>
      </w:r>
      <w:r>
        <w:t>'</w:t>
      </w:r>
      <w:r w:rsidRPr="00236418">
        <w:t>Union traite uniquement de l</w:t>
      </w:r>
      <w:r>
        <w:t>'</w:t>
      </w:r>
      <w:r w:rsidRPr="00236418">
        <w:t>activité de l</w:t>
      </w:r>
      <w:r>
        <w:t>'</w:t>
      </w:r>
      <w:r w:rsidRPr="00236418">
        <w:t xml:space="preserve">Union </w:t>
      </w:r>
      <w:r w:rsidRPr="00236418">
        <w:rPr>
          <w:color w:val="000000" w:themeColor="text1"/>
        </w:rPr>
        <w:t>excluant les activités financées par les contributions volontaires, les projets et les fonds.</w:t>
      </w:r>
    </w:p>
    <w:p w14:paraId="7EBFD412" w14:textId="77777777" w:rsidR="00761B6C" w:rsidRPr="00236418" w:rsidRDefault="00761B6C" w:rsidP="00761B6C">
      <w:r w:rsidRPr="00236418">
        <w:t>Les États financiers de l</w:t>
      </w:r>
      <w:r>
        <w:t>'</w:t>
      </w:r>
      <w:r w:rsidRPr="00236418">
        <w:t>Union sont établis selon la méthode de la comptabilité d</w:t>
      </w:r>
      <w:r>
        <w:t>'</w:t>
      </w:r>
      <w:r w:rsidRPr="00236418">
        <w:t>exercice en utilisant une classification fondée sur la nature des charges figurant dans l</w:t>
      </w:r>
      <w:r>
        <w:t>'</w:t>
      </w:r>
      <w:r w:rsidRPr="00236418">
        <w:t>état de la performance financière (voir Tableau II).</w:t>
      </w:r>
    </w:p>
    <w:p w14:paraId="20379FBE" w14:textId="77777777" w:rsidR="00761B6C" w:rsidRPr="00236418" w:rsidRDefault="00761B6C" w:rsidP="00761B6C">
      <w:r w:rsidRPr="00236418">
        <w:t>Les différences de périmètres sont dues aux fonds extrabudgétaires, lesquels ne sont pas inscrits au budget ordinaire. Pour rapprocher le résultat définitif selon le contrôle budgétaire du résultat net de l</w:t>
      </w:r>
      <w:r>
        <w:t>'</w:t>
      </w:r>
      <w:r w:rsidRPr="00236418">
        <w:t>exercice après ajustements IPSAS, il est nécessaire de tenir compte des différences entre la présentation budgétaire et la comptabilité d</w:t>
      </w:r>
      <w:r>
        <w:t>'</w:t>
      </w:r>
      <w:r w:rsidRPr="00236418">
        <w:t>exercice (voir Tableau V). Dans le budget, les dépenses en équipements non fongibles sont comptabilisées comme charges d</w:t>
      </w:r>
      <w:r>
        <w:t>'</w:t>
      </w:r>
      <w:r w:rsidRPr="00236418">
        <w:t>investissement. En</w:t>
      </w:r>
      <w:r>
        <w:t> </w:t>
      </w:r>
      <w:r w:rsidRPr="00236418">
        <w:t>comptabilité d</w:t>
      </w:r>
      <w:r>
        <w:t>'</w:t>
      </w:r>
      <w:r w:rsidRPr="00236418">
        <w:t>exercice, les équipements non fongibles (poste de plus de 5 000 CHF) sont inscrits sur les comptes d</w:t>
      </w:r>
      <w:r>
        <w:t>'</w:t>
      </w:r>
      <w:r w:rsidRPr="00236418">
        <w:t>immobilisation et amortis sur leur durée probable d</w:t>
      </w:r>
      <w:r>
        <w:t>'</w:t>
      </w:r>
      <w:r w:rsidRPr="00236418">
        <w:t>utilisation à l</w:t>
      </w:r>
      <w:r>
        <w:t>'</w:t>
      </w:r>
      <w:r w:rsidRPr="00236418">
        <w:t>exception des actifs immobilisés acquis avec des fonds extrabudgétaires et transférés au bénéficiaire du projet. La charge d</w:t>
      </w:r>
      <w:r>
        <w:t>'</w:t>
      </w:r>
      <w:r w:rsidRPr="00236418">
        <w:t>amortissement liée aux immobilisations est comptabilisée dans l</w:t>
      </w:r>
      <w:r>
        <w:t>'</w:t>
      </w:r>
      <w:r w:rsidRPr="00236418">
        <w:t>état de la performance financière et non prise en compte dans le budget.</w:t>
      </w:r>
    </w:p>
    <w:p w14:paraId="10F7F067" w14:textId="77777777" w:rsidR="00761B6C" w:rsidRPr="00236418" w:rsidRDefault="00761B6C" w:rsidP="00761B6C">
      <w:pPr>
        <w:rPr>
          <w:b/>
        </w:rPr>
      </w:pPr>
      <w:r w:rsidRPr="00236418">
        <w:t>Dans le budget, les charges correspondant aux avantages du personnel sont prises en compte au fur et à mesure de leur versement, tandis qu</w:t>
      </w:r>
      <w:r>
        <w:t>'</w:t>
      </w:r>
      <w:r w:rsidRPr="00236418">
        <w:t>en comptabilité d</w:t>
      </w:r>
      <w:r>
        <w:t>'</w:t>
      </w:r>
      <w:r w:rsidRPr="00236418">
        <w:t>exercice, une partie des charges est estimée par un actuaire selon une méthodologie définie dans les normes comptables. Les engagements au titre l</w:t>
      </w:r>
      <w:r>
        <w:t>'</w:t>
      </w:r>
      <w:r w:rsidRPr="00236418">
        <w:t>assurance maladie après la cessation de service sont comptabilisés dans l</w:t>
      </w:r>
      <w:r>
        <w:t>'</w:t>
      </w:r>
      <w:r w:rsidRPr="00236418">
        <w:t>état de la situation financière, comme indiqué dans la Note 17. Les différences de change réalisées et non réalisées ne sont pas prises en compte dans le budget mais reflétées dans l</w:t>
      </w:r>
      <w:r>
        <w:t>'</w:t>
      </w:r>
      <w:r w:rsidRPr="00236418">
        <w:t>état de la performance financière. Il en est de même pour la provision pour les créances douteuses et la reconnaissance des stocks. Le remboursement du prêt FIPOI n</w:t>
      </w:r>
      <w:r>
        <w:t>'</w:t>
      </w:r>
      <w:r w:rsidRPr="00236418">
        <w:t>a pas été considéré comme une charge dans l</w:t>
      </w:r>
      <w:r>
        <w:t>'</w:t>
      </w:r>
      <w:r w:rsidRPr="00236418">
        <w:t>état de la performance financière même s</w:t>
      </w:r>
      <w:r>
        <w:t>'</w:t>
      </w:r>
      <w:r w:rsidRPr="00236418">
        <w:t>il avait été budgété.</w:t>
      </w:r>
    </w:p>
    <w:p w14:paraId="12CE519F" w14:textId="77777777" w:rsidR="00761B6C" w:rsidRPr="00236418" w:rsidRDefault="00761B6C" w:rsidP="00761B6C">
      <w:pPr>
        <w:rPr>
          <w:rFonts w:cs="Calibri"/>
          <w:bCs/>
          <w:color w:val="000000" w:themeColor="text1"/>
        </w:rPr>
      </w:pPr>
      <w:r w:rsidRPr="00236418">
        <w:rPr>
          <w:rFonts w:cs="Calibri"/>
          <w:bCs/>
          <w:color w:val="000000" w:themeColor="text1"/>
        </w:rPr>
        <w:t>Enfin, les intérêts liés aux prêts sans intérêts accordés par la FIPOI ont été calculés aux conditions normales du marché et n</w:t>
      </w:r>
      <w:r>
        <w:rPr>
          <w:rFonts w:cs="Calibri"/>
          <w:bCs/>
          <w:color w:val="000000" w:themeColor="text1"/>
        </w:rPr>
        <w:t>'</w:t>
      </w:r>
      <w:r w:rsidRPr="00236418">
        <w:rPr>
          <w:rFonts w:cs="Calibri"/>
          <w:bCs/>
          <w:color w:val="000000" w:themeColor="text1"/>
        </w:rPr>
        <w:t>ont pas été versés mais ont été reconnus en contribution et charge en nature dans l</w:t>
      </w:r>
      <w:r>
        <w:rPr>
          <w:rFonts w:cs="Calibri"/>
          <w:bCs/>
          <w:color w:val="000000" w:themeColor="text1"/>
        </w:rPr>
        <w:t>'</w:t>
      </w:r>
      <w:r w:rsidRPr="00236418">
        <w:rPr>
          <w:rFonts w:cs="Calibri"/>
          <w:bCs/>
          <w:color w:val="000000" w:themeColor="text1"/>
        </w:rPr>
        <w:t xml:space="preserve">état de la performance financière. </w:t>
      </w:r>
    </w:p>
    <w:p w14:paraId="101E0F11" w14:textId="54B6A3C2" w:rsidR="00761B6C" w:rsidRDefault="00761B6C" w:rsidP="00761B6C">
      <w:pPr>
        <w:spacing w:after="240"/>
        <w:rPr>
          <w:rFonts w:cs="Calibri"/>
          <w:bCs/>
          <w:color w:val="000000" w:themeColor="text1"/>
        </w:rPr>
      </w:pPr>
      <w:r w:rsidRPr="00236418">
        <w:rPr>
          <w:rFonts w:cs="Calibri"/>
          <w:bCs/>
          <w:color w:val="000000" w:themeColor="text1"/>
        </w:rPr>
        <w:t>Pour l</w:t>
      </w:r>
      <w:r>
        <w:rPr>
          <w:rFonts w:cs="Calibri"/>
          <w:bCs/>
          <w:color w:val="000000" w:themeColor="text1"/>
        </w:rPr>
        <w:t>'</w:t>
      </w:r>
      <w:r w:rsidRPr="00236418">
        <w:rPr>
          <w:rFonts w:cs="Calibri"/>
          <w:bCs/>
          <w:color w:val="000000" w:themeColor="text1"/>
        </w:rPr>
        <w:t>exercice financier 20</w:t>
      </w:r>
      <w:r>
        <w:rPr>
          <w:rFonts w:cs="Calibri"/>
          <w:bCs/>
          <w:color w:val="000000" w:themeColor="text1"/>
        </w:rPr>
        <w:t>20</w:t>
      </w:r>
      <w:r w:rsidRPr="00236418">
        <w:rPr>
          <w:rFonts w:cs="Calibri"/>
          <w:bCs/>
          <w:color w:val="000000" w:themeColor="text1"/>
        </w:rPr>
        <w:t>, les produits et les charges o</w:t>
      </w:r>
      <w:r w:rsidR="00FA013B">
        <w:rPr>
          <w:rFonts w:cs="Calibri"/>
          <w:bCs/>
          <w:color w:val="000000" w:themeColor="text1"/>
        </w:rPr>
        <w:t>nt été budgétés à un montant de </w:t>
      </w:r>
      <w:r w:rsidRPr="00236418">
        <w:rPr>
          <w:rFonts w:cs="Calibri"/>
          <w:bCs/>
          <w:color w:val="000000" w:themeColor="text1"/>
        </w:rPr>
        <w:t>16</w:t>
      </w:r>
      <w:r>
        <w:rPr>
          <w:rFonts w:cs="Calibri"/>
          <w:bCs/>
          <w:color w:val="000000" w:themeColor="text1"/>
        </w:rPr>
        <w:t>5</w:t>
      </w:r>
      <w:r w:rsidRPr="00236418">
        <w:rPr>
          <w:rFonts w:cs="Calibri"/>
          <w:bCs/>
          <w:color w:val="000000" w:themeColor="text1"/>
        </w:rPr>
        <w:t>,</w:t>
      </w:r>
      <w:r>
        <w:rPr>
          <w:rFonts w:cs="Calibri"/>
          <w:bCs/>
          <w:color w:val="000000" w:themeColor="text1"/>
        </w:rPr>
        <w:t>61</w:t>
      </w:r>
      <w:r w:rsidRPr="00236418">
        <w:rPr>
          <w:rFonts w:cs="Calibri"/>
          <w:bCs/>
          <w:color w:val="000000" w:themeColor="text1"/>
        </w:rPr>
        <w:t> millions CHF.</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1382"/>
        <w:gridCol w:w="1382"/>
        <w:gridCol w:w="1382"/>
        <w:gridCol w:w="1383"/>
      </w:tblGrid>
      <w:tr w:rsidR="00761B6C" w:rsidRPr="00236418" w14:paraId="5491D175" w14:textId="77777777" w:rsidTr="00761B6C">
        <w:trPr>
          <w:tblHeader/>
          <w:jc w:val="center"/>
        </w:trPr>
        <w:tc>
          <w:tcPr>
            <w:tcW w:w="4181" w:type="dxa"/>
            <w:vMerge w:val="restart"/>
          </w:tcPr>
          <w:p w14:paraId="6C34AB88" w14:textId="77777777" w:rsidR="00761B6C" w:rsidRPr="00236418" w:rsidRDefault="00761B6C" w:rsidP="00761B6C">
            <w:pPr>
              <w:pStyle w:val="Tabletext"/>
              <w:keepNext/>
              <w:keepLines/>
              <w:spacing w:before="20" w:after="20"/>
              <w:rPr>
                <w:sz w:val="18"/>
                <w:szCs w:val="18"/>
                <w:lang w:eastAsia="zh-CN"/>
              </w:rPr>
            </w:pPr>
          </w:p>
        </w:tc>
        <w:tc>
          <w:tcPr>
            <w:tcW w:w="5529" w:type="dxa"/>
            <w:gridSpan w:val="4"/>
          </w:tcPr>
          <w:p w14:paraId="3BA56EA0" w14:textId="77777777" w:rsidR="00761B6C" w:rsidRPr="00236418" w:rsidRDefault="00761B6C" w:rsidP="00761B6C">
            <w:pPr>
              <w:pStyle w:val="Tabletext"/>
              <w:keepNext/>
              <w:keepLines/>
              <w:spacing w:before="20" w:after="20"/>
              <w:jc w:val="center"/>
              <w:rPr>
                <w:b/>
                <w:bCs/>
                <w:sz w:val="18"/>
                <w:szCs w:val="18"/>
                <w:lang w:eastAsia="zh-CN"/>
              </w:rPr>
            </w:pPr>
            <w:r w:rsidRPr="00236418">
              <w:rPr>
                <w:b/>
                <w:bCs/>
                <w:sz w:val="18"/>
                <w:szCs w:val="18"/>
                <w:lang w:eastAsia="zh-CN"/>
              </w:rPr>
              <w:t>20</w:t>
            </w:r>
            <w:r>
              <w:rPr>
                <w:b/>
                <w:bCs/>
                <w:sz w:val="18"/>
                <w:szCs w:val="18"/>
                <w:lang w:eastAsia="zh-CN"/>
              </w:rPr>
              <w:t>20</w:t>
            </w:r>
          </w:p>
        </w:tc>
      </w:tr>
      <w:tr w:rsidR="00761B6C" w:rsidRPr="00236418" w14:paraId="29293AE8" w14:textId="77777777" w:rsidTr="00761B6C">
        <w:trPr>
          <w:tblHeader/>
          <w:jc w:val="center"/>
        </w:trPr>
        <w:tc>
          <w:tcPr>
            <w:tcW w:w="4181" w:type="dxa"/>
            <w:vMerge/>
          </w:tcPr>
          <w:p w14:paraId="791D4D77" w14:textId="77777777" w:rsidR="00761B6C" w:rsidRPr="00236418" w:rsidRDefault="00761B6C" w:rsidP="00761B6C">
            <w:pPr>
              <w:pStyle w:val="Tabletext"/>
              <w:keepNext/>
              <w:keepLines/>
              <w:spacing w:before="20" w:after="20"/>
              <w:rPr>
                <w:sz w:val="18"/>
                <w:szCs w:val="18"/>
                <w:lang w:eastAsia="zh-CN"/>
              </w:rPr>
            </w:pPr>
          </w:p>
        </w:tc>
        <w:tc>
          <w:tcPr>
            <w:tcW w:w="1382" w:type="dxa"/>
            <w:tcBorders>
              <w:bottom w:val="single" w:sz="4" w:space="0" w:color="auto"/>
            </w:tcBorders>
          </w:tcPr>
          <w:p w14:paraId="7431D7DF" w14:textId="77777777" w:rsidR="00761B6C" w:rsidRPr="00236418" w:rsidRDefault="00761B6C" w:rsidP="00761B6C">
            <w:pPr>
              <w:pStyle w:val="Tabletext"/>
              <w:keepNext/>
              <w:keepLines/>
              <w:spacing w:before="20" w:after="20"/>
              <w:jc w:val="center"/>
              <w:rPr>
                <w:b/>
                <w:bCs/>
                <w:sz w:val="18"/>
                <w:szCs w:val="18"/>
                <w:lang w:eastAsia="zh-CN"/>
              </w:rPr>
            </w:pPr>
            <w:r w:rsidRPr="00236418">
              <w:rPr>
                <w:b/>
                <w:bCs/>
                <w:sz w:val="18"/>
                <w:szCs w:val="18"/>
                <w:lang w:eastAsia="zh-CN"/>
              </w:rPr>
              <w:t>Opérationnel</w:t>
            </w:r>
          </w:p>
        </w:tc>
        <w:tc>
          <w:tcPr>
            <w:tcW w:w="1382" w:type="dxa"/>
            <w:tcBorders>
              <w:bottom w:val="single" w:sz="4" w:space="0" w:color="auto"/>
            </w:tcBorders>
          </w:tcPr>
          <w:p w14:paraId="373379C7" w14:textId="77777777" w:rsidR="00761B6C" w:rsidRPr="00236418" w:rsidRDefault="00761B6C" w:rsidP="00761B6C">
            <w:pPr>
              <w:pStyle w:val="Tabletext"/>
              <w:spacing w:before="20" w:after="20"/>
              <w:jc w:val="center"/>
              <w:rPr>
                <w:b/>
                <w:bCs/>
                <w:sz w:val="18"/>
                <w:szCs w:val="18"/>
                <w:lang w:eastAsia="zh-CN"/>
              </w:rPr>
            </w:pPr>
            <w:r w:rsidRPr="00236418">
              <w:rPr>
                <w:b/>
                <w:bCs/>
                <w:sz w:val="18"/>
                <w:szCs w:val="18"/>
                <w:lang w:eastAsia="zh-CN"/>
              </w:rPr>
              <w:t>Placement</w:t>
            </w:r>
          </w:p>
        </w:tc>
        <w:tc>
          <w:tcPr>
            <w:tcW w:w="1382" w:type="dxa"/>
            <w:tcBorders>
              <w:bottom w:val="single" w:sz="4" w:space="0" w:color="auto"/>
            </w:tcBorders>
          </w:tcPr>
          <w:p w14:paraId="4CD39332" w14:textId="77777777" w:rsidR="00761B6C" w:rsidRPr="00236418" w:rsidRDefault="00761B6C" w:rsidP="00761B6C">
            <w:pPr>
              <w:pStyle w:val="Tabletext"/>
              <w:spacing w:before="20" w:after="20"/>
              <w:jc w:val="center"/>
              <w:rPr>
                <w:b/>
                <w:bCs/>
                <w:sz w:val="18"/>
                <w:szCs w:val="18"/>
                <w:lang w:eastAsia="zh-CN"/>
              </w:rPr>
            </w:pPr>
            <w:r w:rsidRPr="00236418">
              <w:rPr>
                <w:b/>
                <w:bCs/>
                <w:sz w:val="18"/>
                <w:szCs w:val="18"/>
                <w:lang w:eastAsia="zh-CN"/>
              </w:rPr>
              <w:t>Financement</w:t>
            </w:r>
          </w:p>
        </w:tc>
        <w:tc>
          <w:tcPr>
            <w:tcW w:w="1383" w:type="dxa"/>
            <w:tcBorders>
              <w:bottom w:val="single" w:sz="4" w:space="0" w:color="auto"/>
            </w:tcBorders>
          </w:tcPr>
          <w:p w14:paraId="6BC2BF13" w14:textId="77777777" w:rsidR="00761B6C" w:rsidRPr="00236418" w:rsidRDefault="00761B6C" w:rsidP="00761B6C">
            <w:pPr>
              <w:pStyle w:val="Tabletext"/>
              <w:spacing w:before="20" w:after="20"/>
              <w:jc w:val="center"/>
              <w:rPr>
                <w:b/>
                <w:bCs/>
                <w:sz w:val="18"/>
                <w:szCs w:val="18"/>
                <w:lang w:eastAsia="zh-CN"/>
              </w:rPr>
            </w:pPr>
            <w:r w:rsidRPr="00236418">
              <w:rPr>
                <w:b/>
                <w:bCs/>
                <w:sz w:val="18"/>
                <w:szCs w:val="18"/>
                <w:lang w:eastAsia="zh-CN"/>
              </w:rPr>
              <w:t>Total</w:t>
            </w:r>
          </w:p>
        </w:tc>
      </w:tr>
      <w:tr w:rsidR="00761B6C" w:rsidRPr="00236418" w14:paraId="62B2E6C6" w14:textId="77777777" w:rsidTr="00761B6C">
        <w:trPr>
          <w:jc w:val="center"/>
        </w:trPr>
        <w:tc>
          <w:tcPr>
            <w:tcW w:w="4181" w:type="dxa"/>
            <w:tcBorders>
              <w:bottom w:val="nil"/>
            </w:tcBorders>
          </w:tcPr>
          <w:p w14:paraId="2DC5ABA0" w14:textId="77777777" w:rsidR="00761B6C" w:rsidRPr="00236418" w:rsidRDefault="00761B6C" w:rsidP="00761B6C">
            <w:pPr>
              <w:pStyle w:val="Tabletext"/>
              <w:keepNext/>
              <w:keepLines/>
              <w:spacing w:before="20" w:after="20"/>
              <w:rPr>
                <w:sz w:val="18"/>
                <w:szCs w:val="18"/>
                <w:lang w:eastAsia="zh-CN"/>
              </w:rPr>
            </w:pPr>
          </w:p>
        </w:tc>
        <w:tc>
          <w:tcPr>
            <w:tcW w:w="5529" w:type="dxa"/>
            <w:gridSpan w:val="4"/>
            <w:tcBorders>
              <w:bottom w:val="single" w:sz="4" w:space="0" w:color="auto"/>
            </w:tcBorders>
            <w:vAlign w:val="center"/>
          </w:tcPr>
          <w:p w14:paraId="1355EEB2" w14:textId="77777777" w:rsidR="00761B6C" w:rsidRPr="00236418" w:rsidRDefault="00761B6C" w:rsidP="00761B6C">
            <w:pPr>
              <w:pStyle w:val="Tabletext"/>
              <w:keepNext/>
              <w:keepLines/>
              <w:spacing w:before="20" w:after="20"/>
              <w:jc w:val="center"/>
              <w:rPr>
                <w:sz w:val="18"/>
                <w:szCs w:val="18"/>
                <w:lang w:eastAsia="zh-CN"/>
              </w:rPr>
            </w:pPr>
            <w:r w:rsidRPr="00236418">
              <w:rPr>
                <w:sz w:val="18"/>
                <w:szCs w:val="18"/>
                <w:lang w:eastAsia="zh-CN"/>
              </w:rPr>
              <w:t>En milliers</w:t>
            </w:r>
            <w:r>
              <w:rPr>
                <w:sz w:val="18"/>
                <w:szCs w:val="18"/>
                <w:lang w:eastAsia="zh-CN"/>
              </w:rPr>
              <w:t xml:space="preserve"> </w:t>
            </w:r>
            <w:r w:rsidRPr="00236418">
              <w:rPr>
                <w:sz w:val="18"/>
                <w:szCs w:val="18"/>
                <w:lang w:eastAsia="zh-CN"/>
              </w:rPr>
              <w:t>CHF</w:t>
            </w:r>
          </w:p>
        </w:tc>
      </w:tr>
      <w:tr w:rsidR="00761B6C" w:rsidRPr="00236418" w14:paraId="2686A7D5" w14:textId="77777777" w:rsidTr="00761B6C">
        <w:trPr>
          <w:jc w:val="center"/>
        </w:trPr>
        <w:tc>
          <w:tcPr>
            <w:tcW w:w="4181" w:type="dxa"/>
            <w:tcBorders>
              <w:top w:val="nil"/>
              <w:bottom w:val="nil"/>
            </w:tcBorders>
          </w:tcPr>
          <w:p w14:paraId="044C180B" w14:textId="77777777" w:rsidR="00761B6C" w:rsidRPr="00236418" w:rsidRDefault="00761B6C" w:rsidP="00761B6C">
            <w:pPr>
              <w:pStyle w:val="Tabletext"/>
              <w:keepNext/>
              <w:keepLines/>
              <w:spacing w:before="20" w:after="20"/>
              <w:rPr>
                <w:b/>
                <w:bCs/>
                <w:sz w:val="18"/>
                <w:szCs w:val="18"/>
                <w:lang w:eastAsia="zh-CN"/>
              </w:rPr>
            </w:pPr>
            <w:r w:rsidRPr="00236418">
              <w:rPr>
                <w:b/>
                <w:bCs/>
                <w:sz w:val="18"/>
                <w:szCs w:val="18"/>
                <w:lang w:eastAsia="zh-CN"/>
              </w:rPr>
              <w:t>Résultats sur une base comparable</w:t>
            </w:r>
          </w:p>
        </w:tc>
        <w:tc>
          <w:tcPr>
            <w:tcW w:w="1382" w:type="dxa"/>
            <w:tcBorders>
              <w:top w:val="single" w:sz="4" w:space="0" w:color="auto"/>
              <w:bottom w:val="nil"/>
            </w:tcBorders>
            <w:vAlign w:val="center"/>
          </w:tcPr>
          <w:p w14:paraId="764316DD"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1</w:t>
            </w:r>
            <w:r>
              <w:rPr>
                <w:sz w:val="18"/>
                <w:szCs w:val="18"/>
                <w:lang w:eastAsia="en-GB"/>
              </w:rPr>
              <w:t xml:space="preserve"> </w:t>
            </w:r>
            <w:r w:rsidRPr="003A63EA">
              <w:rPr>
                <w:sz w:val="18"/>
                <w:szCs w:val="18"/>
                <w:lang w:eastAsia="en-GB"/>
              </w:rPr>
              <w:t>483</w:t>
            </w:r>
          </w:p>
        </w:tc>
        <w:tc>
          <w:tcPr>
            <w:tcW w:w="1382" w:type="dxa"/>
            <w:tcBorders>
              <w:top w:val="single" w:sz="4" w:space="0" w:color="auto"/>
              <w:bottom w:val="nil"/>
            </w:tcBorders>
            <w:vAlign w:val="center"/>
          </w:tcPr>
          <w:p w14:paraId="06D11752"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single" w:sz="4" w:space="0" w:color="auto"/>
              <w:bottom w:val="nil"/>
            </w:tcBorders>
            <w:vAlign w:val="center"/>
          </w:tcPr>
          <w:p w14:paraId="1E786228"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single" w:sz="4" w:space="0" w:color="auto"/>
              <w:bottom w:val="nil"/>
            </w:tcBorders>
            <w:vAlign w:val="center"/>
          </w:tcPr>
          <w:p w14:paraId="0B5A694F" w14:textId="77777777" w:rsidR="00761B6C" w:rsidRPr="003A63EA" w:rsidRDefault="00761B6C" w:rsidP="00761B6C">
            <w:pPr>
              <w:pStyle w:val="Tabletext"/>
              <w:spacing w:before="0" w:after="0"/>
              <w:jc w:val="right"/>
              <w:rPr>
                <w:rFonts w:cs="Arial"/>
                <w:b/>
                <w:bCs/>
                <w:sz w:val="18"/>
                <w:szCs w:val="18"/>
                <w:lang w:eastAsia="zh-CN"/>
              </w:rPr>
            </w:pPr>
            <w:r>
              <w:rPr>
                <w:b/>
                <w:bCs/>
                <w:sz w:val="18"/>
                <w:szCs w:val="18"/>
                <w:lang w:eastAsia="en-GB"/>
              </w:rPr>
              <w:t>–</w:t>
            </w:r>
            <w:r w:rsidRPr="003A63EA">
              <w:rPr>
                <w:b/>
                <w:bCs/>
                <w:sz w:val="18"/>
                <w:szCs w:val="18"/>
                <w:lang w:eastAsia="en-GB"/>
              </w:rPr>
              <w:t>1</w:t>
            </w:r>
            <w:r>
              <w:rPr>
                <w:b/>
                <w:bCs/>
                <w:sz w:val="18"/>
                <w:szCs w:val="18"/>
                <w:lang w:eastAsia="en-GB"/>
              </w:rPr>
              <w:t xml:space="preserve"> </w:t>
            </w:r>
            <w:r w:rsidRPr="003A63EA">
              <w:rPr>
                <w:b/>
                <w:bCs/>
                <w:sz w:val="18"/>
                <w:szCs w:val="18"/>
                <w:lang w:eastAsia="en-GB"/>
              </w:rPr>
              <w:t>483</w:t>
            </w:r>
          </w:p>
        </w:tc>
      </w:tr>
      <w:tr w:rsidR="00761B6C" w:rsidRPr="00236418" w14:paraId="1DBE2481" w14:textId="77777777" w:rsidTr="00761B6C">
        <w:trPr>
          <w:jc w:val="center"/>
        </w:trPr>
        <w:tc>
          <w:tcPr>
            <w:tcW w:w="4181" w:type="dxa"/>
            <w:tcBorders>
              <w:top w:val="nil"/>
              <w:bottom w:val="nil"/>
            </w:tcBorders>
          </w:tcPr>
          <w:p w14:paraId="16E16FB2" w14:textId="77777777" w:rsidR="00761B6C" w:rsidRPr="00236418" w:rsidRDefault="00761B6C" w:rsidP="00761B6C">
            <w:pPr>
              <w:pStyle w:val="Tabletext"/>
              <w:keepNext/>
              <w:keepLines/>
              <w:spacing w:before="20" w:after="20"/>
              <w:rPr>
                <w:sz w:val="18"/>
                <w:szCs w:val="18"/>
                <w:lang w:eastAsia="zh-CN"/>
              </w:rPr>
            </w:pPr>
            <w:r w:rsidRPr="00236418">
              <w:rPr>
                <w:sz w:val="18"/>
                <w:szCs w:val="18"/>
                <w:lang w:eastAsia="zh-CN"/>
              </w:rPr>
              <w:t>Variation et utilisation de la provision pour créances douteuses</w:t>
            </w:r>
          </w:p>
        </w:tc>
        <w:tc>
          <w:tcPr>
            <w:tcW w:w="1382" w:type="dxa"/>
            <w:tcBorders>
              <w:top w:val="nil"/>
              <w:bottom w:val="nil"/>
            </w:tcBorders>
            <w:vAlign w:val="center"/>
          </w:tcPr>
          <w:p w14:paraId="6186C6EB"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1</w:t>
            </w:r>
            <w:r>
              <w:rPr>
                <w:sz w:val="18"/>
                <w:szCs w:val="18"/>
                <w:lang w:eastAsia="en-GB"/>
              </w:rPr>
              <w:t xml:space="preserve"> </w:t>
            </w:r>
            <w:r w:rsidRPr="003A63EA">
              <w:rPr>
                <w:sz w:val="18"/>
                <w:szCs w:val="18"/>
                <w:lang w:eastAsia="en-GB"/>
              </w:rPr>
              <w:t>105</w:t>
            </w:r>
          </w:p>
        </w:tc>
        <w:tc>
          <w:tcPr>
            <w:tcW w:w="1382" w:type="dxa"/>
            <w:tcBorders>
              <w:top w:val="nil"/>
              <w:bottom w:val="nil"/>
            </w:tcBorders>
            <w:vAlign w:val="center"/>
          </w:tcPr>
          <w:p w14:paraId="0A8A1B9D"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bottom w:val="nil"/>
            </w:tcBorders>
            <w:vAlign w:val="center"/>
          </w:tcPr>
          <w:p w14:paraId="6F51FB46"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nil"/>
              <w:bottom w:val="nil"/>
            </w:tcBorders>
            <w:vAlign w:val="center"/>
          </w:tcPr>
          <w:p w14:paraId="372190D6"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1</w:t>
            </w:r>
            <w:r>
              <w:rPr>
                <w:sz w:val="18"/>
                <w:szCs w:val="18"/>
                <w:lang w:eastAsia="en-GB"/>
              </w:rPr>
              <w:t xml:space="preserve"> </w:t>
            </w:r>
            <w:r w:rsidRPr="003A63EA">
              <w:rPr>
                <w:sz w:val="18"/>
                <w:szCs w:val="18"/>
                <w:lang w:eastAsia="en-GB"/>
              </w:rPr>
              <w:t>105</w:t>
            </w:r>
          </w:p>
        </w:tc>
      </w:tr>
      <w:tr w:rsidR="00761B6C" w:rsidRPr="00236418" w14:paraId="3F41BA39" w14:textId="77777777" w:rsidTr="00761B6C">
        <w:trPr>
          <w:trHeight w:val="285"/>
          <w:jc w:val="center"/>
        </w:trPr>
        <w:tc>
          <w:tcPr>
            <w:tcW w:w="4181" w:type="dxa"/>
            <w:tcBorders>
              <w:top w:val="nil"/>
            </w:tcBorders>
          </w:tcPr>
          <w:p w14:paraId="228B3CA3" w14:textId="77777777" w:rsidR="00761B6C" w:rsidRPr="00236418" w:rsidRDefault="00761B6C" w:rsidP="00761B6C">
            <w:pPr>
              <w:pStyle w:val="Tabletext"/>
              <w:keepNext/>
              <w:keepLines/>
              <w:spacing w:before="20" w:after="20"/>
              <w:rPr>
                <w:sz w:val="18"/>
                <w:szCs w:val="18"/>
                <w:lang w:eastAsia="zh-CN"/>
              </w:rPr>
            </w:pPr>
            <w:r w:rsidRPr="00236418">
              <w:rPr>
                <w:sz w:val="18"/>
                <w:szCs w:val="18"/>
                <w:lang w:eastAsia="zh-CN"/>
              </w:rPr>
              <w:t>Comptabilisation des stocks</w:t>
            </w:r>
          </w:p>
        </w:tc>
        <w:tc>
          <w:tcPr>
            <w:tcW w:w="1382" w:type="dxa"/>
            <w:tcBorders>
              <w:top w:val="nil"/>
            </w:tcBorders>
            <w:vAlign w:val="center"/>
          </w:tcPr>
          <w:p w14:paraId="52A1EF89"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75</w:t>
            </w:r>
          </w:p>
        </w:tc>
        <w:tc>
          <w:tcPr>
            <w:tcW w:w="1382" w:type="dxa"/>
            <w:tcBorders>
              <w:top w:val="nil"/>
            </w:tcBorders>
            <w:vAlign w:val="center"/>
          </w:tcPr>
          <w:p w14:paraId="296F4F0F"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tcBorders>
            <w:vAlign w:val="center"/>
          </w:tcPr>
          <w:p w14:paraId="2E38C8B1"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nil"/>
            </w:tcBorders>
            <w:vAlign w:val="center"/>
          </w:tcPr>
          <w:p w14:paraId="53780AC3"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75</w:t>
            </w:r>
          </w:p>
        </w:tc>
      </w:tr>
      <w:tr w:rsidR="00761B6C" w:rsidRPr="00236418" w14:paraId="5673788A" w14:textId="77777777" w:rsidTr="00761B6C">
        <w:trPr>
          <w:jc w:val="center"/>
        </w:trPr>
        <w:tc>
          <w:tcPr>
            <w:tcW w:w="4181" w:type="dxa"/>
            <w:tcBorders>
              <w:top w:val="nil"/>
              <w:bottom w:val="nil"/>
            </w:tcBorders>
          </w:tcPr>
          <w:p w14:paraId="5791FF50" w14:textId="77777777" w:rsidR="00761B6C" w:rsidRPr="00236418" w:rsidRDefault="00761B6C" w:rsidP="00761B6C">
            <w:pPr>
              <w:pStyle w:val="Tabletext"/>
              <w:spacing w:before="20" w:after="20"/>
              <w:rPr>
                <w:sz w:val="18"/>
                <w:szCs w:val="18"/>
                <w:lang w:eastAsia="zh-CN"/>
              </w:rPr>
            </w:pPr>
            <w:r w:rsidRPr="00236418">
              <w:rPr>
                <w:sz w:val="18"/>
                <w:szCs w:val="18"/>
                <w:lang w:eastAsia="zh-CN"/>
              </w:rPr>
              <w:t>Capitalisation des stocks</w:t>
            </w:r>
          </w:p>
        </w:tc>
        <w:tc>
          <w:tcPr>
            <w:tcW w:w="1382" w:type="dxa"/>
            <w:tcBorders>
              <w:top w:val="nil"/>
              <w:bottom w:val="nil"/>
            </w:tcBorders>
            <w:vAlign w:val="center"/>
          </w:tcPr>
          <w:p w14:paraId="16FC7B67"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bottom w:val="nil"/>
            </w:tcBorders>
            <w:vAlign w:val="center"/>
          </w:tcPr>
          <w:p w14:paraId="6F16E200"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1</w:t>
            </w:r>
            <w:r>
              <w:rPr>
                <w:sz w:val="18"/>
                <w:szCs w:val="18"/>
                <w:lang w:eastAsia="en-GB"/>
              </w:rPr>
              <w:t xml:space="preserve"> </w:t>
            </w:r>
            <w:r w:rsidRPr="003A63EA">
              <w:rPr>
                <w:sz w:val="18"/>
                <w:szCs w:val="18"/>
                <w:lang w:eastAsia="en-GB"/>
              </w:rPr>
              <w:t>545</w:t>
            </w:r>
          </w:p>
        </w:tc>
        <w:tc>
          <w:tcPr>
            <w:tcW w:w="1382" w:type="dxa"/>
            <w:tcBorders>
              <w:top w:val="nil"/>
              <w:bottom w:val="nil"/>
            </w:tcBorders>
            <w:vAlign w:val="center"/>
          </w:tcPr>
          <w:p w14:paraId="5BE9140F"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nil"/>
              <w:bottom w:val="nil"/>
            </w:tcBorders>
            <w:vAlign w:val="center"/>
          </w:tcPr>
          <w:p w14:paraId="17B3593F"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1</w:t>
            </w:r>
            <w:r>
              <w:rPr>
                <w:sz w:val="18"/>
                <w:szCs w:val="18"/>
                <w:lang w:eastAsia="en-GB"/>
              </w:rPr>
              <w:t xml:space="preserve"> </w:t>
            </w:r>
            <w:r w:rsidRPr="003A63EA">
              <w:rPr>
                <w:sz w:val="18"/>
                <w:szCs w:val="18"/>
                <w:lang w:eastAsia="en-GB"/>
              </w:rPr>
              <w:t>545</w:t>
            </w:r>
          </w:p>
        </w:tc>
      </w:tr>
      <w:tr w:rsidR="00761B6C" w:rsidRPr="00236418" w14:paraId="4F2230B4" w14:textId="77777777" w:rsidTr="00761B6C">
        <w:trPr>
          <w:jc w:val="center"/>
        </w:trPr>
        <w:tc>
          <w:tcPr>
            <w:tcW w:w="4181" w:type="dxa"/>
            <w:tcBorders>
              <w:top w:val="nil"/>
              <w:bottom w:val="nil"/>
            </w:tcBorders>
          </w:tcPr>
          <w:p w14:paraId="26E417E2" w14:textId="77777777" w:rsidR="00761B6C" w:rsidRPr="00236418" w:rsidRDefault="00761B6C" w:rsidP="00761B6C">
            <w:pPr>
              <w:pStyle w:val="Tabletext"/>
              <w:spacing w:before="20" w:after="20"/>
              <w:rPr>
                <w:sz w:val="18"/>
                <w:szCs w:val="18"/>
                <w:lang w:eastAsia="zh-CN"/>
              </w:rPr>
            </w:pPr>
            <w:r w:rsidRPr="00236418">
              <w:rPr>
                <w:sz w:val="18"/>
                <w:szCs w:val="18"/>
                <w:lang w:eastAsia="zh-CN"/>
              </w:rPr>
              <w:t>Amortissements</w:t>
            </w:r>
          </w:p>
        </w:tc>
        <w:tc>
          <w:tcPr>
            <w:tcW w:w="1382" w:type="dxa"/>
            <w:tcBorders>
              <w:top w:val="nil"/>
              <w:bottom w:val="nil"/>
            </w:tcBorders>
            <w:vAlign w:val="center"/>
          </w:tcPr>
          <w:p w14:paraId="1774F319"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16</w:t>
            </w:r>
            <w:r>
              <w:rPr>
                <w:sz w:val="18"/>
                <w:szCs w:val="18"/>
                <w:lang w:eastAsia="en-GB"/>
              </w:rPr>
              <w:t xml:space="preserve"> </w:t>
            </w:r>
            <w:r w:rsidRPr="003A63EA">
              <w:rPr>
                <w:sz w:val="18"/>
                <w:szCs w:val="18"/>
                <w:lang w:eastAsia="en-GB"/>
              </w:rPr>
              <w:t>437</w:t>
            </w:r>
          </w:p>
        </w:tc>
        <w:tc>
          <w:tcPr>
            <w:tcW w:w="1382" w:type="dxa"/>
            <w:tcBorders>
              <w:top w:val="nil"/>
              <w:bottom w:val="nil"/>
            </w:tcBorders>
            <w:vAlign w:val="center"/>
          </w:tcPr>
          <w:p w14:paraId="7C9ED02F"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bottom w:val="nil"/>
            </w:tcBorders>
            <w:vAlign w:val="center"/>
          </w:tcPr>
          <w:p w14:paraId="73A58D90"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nil"/>
              <w:bottom w:val="nil"/>
            </w:tcBorders>
            <w:vAlign w:val="center"/>
          </w:tcPr>
          <w:p w14:paraId="3134BC22"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16</w:t>
            </w:r>
            <w:r>
              <w:rPr>
                <w:sz w:val="18"/>
                <w:szCs w:val="18"/>
                <w:lang w:eastAsia="en-GB"/>
              </w:rPr>
              <w:t xml:space="preserve"> </w:t>
            </w:r>
            <w:r w:rsidRPr="003A63EA">
              <w:rPr>
                <w:sz w:val="18"/>
                <w:szCs w:val="18"/>
                <w:lang w:eastAsia="en-GB"/>
              </w:rPr>
              <w:t>437</w:t>
            </w:r>
          </w:p>
        </w:tc>
      </w:tr>
      <w:tr w:rsidR="00761B6C" w:rsidRPr="00236418" w14:paraId="0CDD1F6F" w14:textId="77777777" w:rsidTr="00761B6C">
        <w:trPr>
          <w:jc w:val="center"/>
        </w:trPr>
        <w:tc>
          <w:tcPr>
            <w:tcW w:w="4181" w:type="dxa"/>
            <w:tcBorders>
              <w:top w:val="nil"/>
              <w:bottom w:val="nil"/>
            </w:tcBorders>
          </w:tcPr>
          <w:p w14:paraId="6DB346C0" w14:textId="77777777" w:rsidR="00761B6C" w:rsidRPr="00236418" w:rsidRDefault="00761B6C" w:rsidP="00761B6C">
            <w:pPr>
              <w:pStyle w:val="Tabletext"/>
              <w:spacing w:before="20" w:after="20"/>
              <w:rPr>
                <w:sz w:val="18"/>
                <w:szCs w:val="18"/>
                <w:lang w:eastAsia="zh-CN"/>
              </w:rPr>
            </w:pPr>
            <w:r w:rsidRPr="00236418">
              <w:rPr>
                <w:sz w:val="18"/>
                <w:szCs w:val="18"/>
                <w:lang w:eastAsia="zh-CN"/>
              </w:rPr>
              <w:t>Gains et pertes de change</w:t>
            </w:r>
          </w:p>
        </w:tc>
        <w:tc>
          <w:tcPr>
            <w:tcW w:w="1382" w:type="dxa"/>
            <w:tcBorders>
              <w:top w:val="nil"/>
              <w:bottom w:val="nil"/>
            </w:tcBorders>
            <w:vAlign w:val="center"/>
          </w:tcPr>
          <w:p w14:paraId="11AE1A08"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16</w:t>
            </w:r>
            <w:r>
              <w:rPr>
                <w:sz w:val="18"/>
                <w:szCs w:val="18"/>
                <w:lang w:eastAsia="en-GB"/>
              </w:rPr>
              <w:t xml:space="preserve"> </w:t>
            </w:r>
            <w:r w:rsidRPr="003A63EA">
              <w:rPr>
                <w:sz w:val="18"/>
                <w:szCs w:val="18"/>
                <w:lang w:eastAsia="en-GB"/>
              </w:rPr>
              <w:t>363</w:t>
            </w:r>
          </w:p>
        </w:tc>
        <w:tc>
          <w:tcPr>
            <w:tcW w:w="1382" w:type="dxa"/>
            <w:tcBorders>
              <w:top w:val="nil"/>
              <w:bottom w:val="nil"/>
            </w:tcBorders>
            <w:vAlign w:val="center"/>
          </w:tcPr>
          <w:p w14:paraId="5F295622"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bottom w:val="nil"/>
            </w:tcBorders>
            <w:vAlign w:val="center"/>
          </w:tcPr>
          <w:p w14:paraId="4FDA3D27"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nil"/>
              <w:bottom w:val="nil"/>
            </w:tcBorders>
            <w:vAlign w:val="center"/>
          </w:tcPr>
          <w:p w14:paraId="0268E31A"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16.363</w:t>
            </w:r>
          </w:p>
        </w:tc>
      </w:tr>
      <w:tr w:rsidR="00761B6C" w:rsidRPr="00236418" w14:paraId="7F57A098" w14:textId="77777777" w:rsidTr="00761B6C">
        <w:trPr>
          <w:jc w:val="center"/>
        </w:trPr>
        <w:tc>
          <w:tcPr>
            <w:tcW w:w="4181" w:type="dxa"/>
            <w:tcBorders>
              <w:top w:val="nil"/>
              <w:bottom w:val="nil"/>
            </w:tcBorders>
          </w:tcPr>
          <w:p w14:paraId="1A0BA7A4" w14:textId="77777777" w:rsidR="00761B6C" w:rsidRPr="00236418" w:rsidRDefault="00761B6C" w:rsidP="00761B6C">
            <w:pPr>
              <w:pStyle w:val="Tabletext"/>
              <w:spacing w:before="20" w:after="20"/>
              <w:rPr>
                <w:sz w:val="18"/>
                <w:szCs w:val="18"/>
                <w:lang w:eastAsia="zh-CN"/>
              </w:rPr>
            </w:pPr>
            <w:r w:rsidRPr="00236418">
              <w:rPr>
                <w:sz w:val="18"/>
                <w:szCs w:val="18"/>
                <w:lang w:eastAsia="zh-CN"/>
              </w:rPr>
              <w:t>ASHI</w:t>
            </w:r>
          </w:p>
        </w:tc>
        <w:tc>
          <w:tcPr>
            <w:tcW w:w="1382" w:type="dxa"/>
            <w:tcBorders>
              <w:top w:val="nil"/>
              <w:bottom w:val="nil"/>
            </w:tcBorders>
            <w:vAlign w:val="center"/>
          </w:tcPr>
          <w:p w14:paraId="4C2AFF88"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22</w:t>
            </w:r>
            <w:r>
              <w:rPr>
                <w:sz w:val="18"/>
                <w:szCs w:val="18"/>
                <w:lang w:eastAsia="en-GB"/>
              </w:rPr>
              <w:t xml:space="preserve"> </w:t>
            </w:r>
            <w:r w:rsidRPr="003A63EA">
              <w:rPr>
                <w:sz w:val="18"/>
                <w:szCs w:val="18"/>
                <w:lang w:eastAsia="en-GB"/>
              </w:rPr>
              <w:t>789</w:t>
            </w:r>
          </w:p>
        </w:tc>
        <w:tc>
          <w:tcPr>
            <w:tcW w:w="1382" w:type="dxa"/>
            <w:tcBorders>
              <w:top w:val="nil"/>
              <w:bottom w:val="nil"/>
            </w:tcBorders>
            <w:vAlign w:val="center"/>
          </w:tcPr>
          <w:p w14:paraId="2899E182"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bottom w:val="nil"/>
            </w:tcBorders>
            <w:vAlign w:val="center"/>
          </w:tcPr>
          <w:p w14:paraId="326CF2F9"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nil"/>
              <w:bottom w:val="nil"/>
            </w:tcBorders>
            <w:vAlign w:val="center"/>
          </w:tcPr>
          <w:p w14:paraId="18B1FD85"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22</w:t>
            </w:r>
            <w:r>
              <w:rPr>
                <w:sz w:val="18"/>
                <w:szCs w:val="18"/>
                <w:lang w:eastAsia="en-GB"/>
              </w:rPr>
              <w:t xml:space="preserve"> </w:t>
            </w:r>
            <w:r w:rsidRPr="003A63EA">
              <w:rPr>
                <w:sz w:val="18"/>
                <w:szCs w:val="18"/>
                <w:lang w:eastAsia="en-GB"/>
              </w:rPr>
              <w:t>789</w:t>
            </w:r>
          </w:p>
        </w:tc>
      </w:tr>
      <w:tr w:rsidR="00761B6C" w:rsidRPr="00236418" w14:paraId="0AD2CA64" w14:textId="77777777" w:rsidTr="00761B6C">
        <w:trPr>
          <w:jc w:val="center"/>
        </w:trPr>
        <w:tc>
          <w:tcPr>
            <w:tcW w:w="4181" w:type="dxa"/>
            <w:tcBorders>
              <w:top w:val="nil"/>
              <w:bottom w:val="nil"/>
            </w:tcBorders>
          </w:tcPr>
          <w:p w14:paraId="5FB8D9C8" w14:textId="77777777" w:rsidR="00761B6C" w:rsidRPr="00236418" w:rsidRDefault="00761B6C" w:rsidP="00761B6C">
            <w:pPr>
              <w:pStyle w:val="Tabletext"/>
              <w:spacing w:before="20" w:after="20"/>
              <w:rPr>
                <w:sz w:val="18"/>
                <w:szCs w:val="18"/>
                <w:lang w:eastAsia="zh-CN"/>
              </w:rPr>
            </w:pPr>
            <w:r w:rsidRPr="00236418">
              <w:rPr>
                <w:sz w:val="18"/>
                <w:szCs w:val="18"/>
                <w:lang w:eastAsia="zh-CN"/>
              </w:rPr>
              <w:t>Remboursement prêt FIPOI non considéré comme charge</w:t>
            </w:r>
          </w:p>
        </w:tc>
        <w:tc>
          <w:tcPr>
            <w:tcW w:w="1382" w:type="dxa"/>
            <w:tcBorders>
              <w:top w:val="nil"/>
              <w:bottom w:val="nil"/>
            </w:tcBorders>
            <w:vAlign w:val="center"/>
          </w:tcPr>
          <w:p w14:paraId="5187C385"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bottom w:val="nil"/>
            </w:tcBorders>
            <w:vAlign w:val="center"/>
          </w:tcPr>
          <w:p w14:paraId="60649470"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bottom w:val="nil"/>
            </w:tcBorders>
            <w:vAlign w:val="center"/>
          </w:tcPr>
          <w:p w14:paraId="0D9F85B3"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1</w:t>
            </w:r>
            <w:r>
              <w:rPr>
                <w:sz w:val="18"/>
                <w:szCs w:val="18"/>
                <w:lang w:eastAsia="en-GB"/>
              </w:rPr>
              <w:t xml:space="preserve"> </w:t>
            </w:r>
            <w:r w:rsidRPr="003A63EA">
              <w:rPr>
                <w:sz w:val="18"/>
                <w:szCs w:val="18"/>
                <w:lang w:eastAsia="en-GB"/>
              </w:rPr>
              <w:t>493</w:t>
            </w:r>
          </w:p>
        </w:tc>
        <w:tc>
          <w:tcPr>
            <w:tcW w:w="1383" w:type="dxa"/>
            <w:tcBorders>
              <w:top w:val="nil"/>
              <w:bottom w:val="nil"/>
            </w:tcBorders>
            <w:vAlign w:val="center"/>
          </w:tcPr>
          <w:p w14:paraId="3BD8E4EA"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1</w:t>
            </w:r>
            <w:r>
              <w:rPr>
                <w:sz w:val="18"/>
                <w:szCs w:val="18"/>
                <w:lang w:eastAsia="en-GB"/>
              </w:rPr>
              <w:t xml:space="preserve"> </w:t>
            </w:r>
            <w:r w:rsidRPr="003A63EA">
              <w:rPr>
                <w:sz w:val="18"/>
                <w:szCs w:val="18"/>
                <w:lang w:eastAsia="en-GB"/>
              </w:rPr>
              <w:t>493</w:t>
            </w:r>
          </w:p>
        </w:tc>
      </w:tr>
      <w:tr w:rsidR="00761B6C" w:rsidRPr="00236418" w14:paraId="12B0933A" w14:textId="77777777" w:rsidTr="00761B6C">
        <w:trPr>
          <w:jc w:val="center"/>
        </w:trPr>
        <w:tc>
          <w:tcPr>
            <w:tcW w:w="4181" w:type="dxa"/>
            <w:tcBorders>
              <w:top w:val="nil"/>
              <w:bottom w:val="nil"/>
            </w:tcBorders>
          </w:tcPr>
          <w:p w14:paraId="53AB0896" w14:textId="77777777" w:rsidR="00761B6C" w:rsidRPr="00236418" w:rsidRDefault="00761B6C" w:rsidP="00761B6C">
            <w:pPr>
              <w:pStyle w:val="Tabletext"/>
              <w:spacing w:before="20" w:after="20"/>
              <w:rPr>
                <w:sz w:val="18"/>
                <w:szCs w:val="18"/>
                <w:lang w:eastAsia="zh-CN"/>
              </w:rPr>
            </w:pPr>
            <w:r w:rsidRPr="00236418">
              <w:rPr>
                <w:sz w:val="18"/>
                <w:szCs w:val="18"/>
                <w:lang w:eastAsia="zh-CN"/>
              </w:rPr>
              <w:t>Produits en nature</w:t>
            </w:r>
          </w:p>
        </w:tc>
        <w:tc>
          <w:tcPr>
            <w:tcW w:w="1382" w:type="dxa"/>
            <w:tcBorders>
              <w:top w:val="nil"/>
              <w:bottom w:val="nil"/>
            </w:tcBorders>
            <w:vAlign w:val="center"/>
          </w:tcPr>
          <w:p w14:paraId="63754D6A"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820</w:t>
            </w:r>
          </w:p>
        </w:tc>
        <w:tc>
          <w:tcPr>
            <w:tcW w:w="1382" w:type="dxa"/>
            <w:tcBorders>
              <w:top w:val="nil"/>
              <w:bottom w:val="nil"/>
            </w:tcBorders>
            <w:vAlign w:val="center"/>
          </w:tcPr>
          <w:p w14:paraId="2627BD11"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bottom w:val="nil"/>
            </w:tcBorders>
            <w:vAlign w:val="center"/>
          </w:tcPr>
          <w:p w14:paraId="5D8CFBAF"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nil"/>
              <w:bottom w:val="nil"/>
            </w:tcBorders>
            <w:vAlign w:val="center"/>
          </w:tcPr>
          <w:p w14:paraId="04A03F7F"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820</w:t>
            </w:r>
          </w:p>
        </w:tc>
      </w:tr>
      <w:tr w:rsidR="00761B6C" w:rsidRPr="00236418" w14:paraId="6F30FE19" w14:textId="77777777" w:rsidTr="00761B6C">
        <w:trPr>
          <w:jc w:val="center"/>
        </w:trPr>
        <w:tc>
          <w:tcPr>
            <w:tcW w:w="4181" w:type="dxa"/>
            <w:tcBorders>
              <w:top w:val="nil"/>
              <w:bottom w:val="nil"/>
            </w:tcBorders>
          </w:tcPr>
          <w:p w14:paraId="1B0CD25E" w14:textId="77777777" w:rsidR="00761B6C" w:rsidRPr="00236418" w:rsidRDefault="00761B6C" w:rsidP="00761B6C">
            <w:pPr>
              <w:pStyle w:val="Tabletext"/>
              <w:spacing w:before="20" w:after="20"/>
              <w:rPr>
                <w:sz w:val="18"/>
                <w:szCs w:val="18"/>
                <w:lang w:eastAsia="zh-CN"/>
              </w:rPr>
            </w:pPr>
            <w:r w:rsidRPr="00236418">
              <w:rPr>
                <w:sz w:val="18"/>
                <w:szCs w:val="18"/>
                <w:lang w:eastAsia="zh-CN"/>
              </w:rPr>
              <w:lastRenderedPageBreak/>
              <w:t>Charges en nature</w:t>
            </w:r>
          </w:p>
        </w:tc>
        <w:tc>
          <w:tcPr>
            <w:tcW w:w="1382" w:type="dxa"/>
            <w:tcBorders>
              <w:top w:val="nil"/>
              <w:bottom w:val="nil"/>
            </w:tcBorders>
            <w:vAlign w:val="center"/>
          </w:tcPr>
          <w:p w14:paraId="55EF1FC3"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820</w:t>
            </w:r>
          </w:p>
        </w:tc>
        <w:tc>
          <w:tcPr>
            <w:tcW w:w="1382" w:type="dxa"/>
            <w:tcBorders>
              <w:top w:val="nil"/>
              <w:bottom w:val="nil"/>
            </w:tcBorders>
            <w:vAlign w:val="center"/>
          </w:tcPr>
          <w:p w14:paraId="51A25DD8"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bottom w:val="nil"/>
            </w:tcBorders>
            <w:vAlign w:val="center"/>
          </w:tcPr>
          <w:p w14:paraId="5CF717C9"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nil"/>
              <w:bottom w:val="nil"/>
            </w:tcBorders>
            <w:vAlign w:val="center"/>
          </w:tcPr>
          <w:p w14:paraId="0E585E94"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820</w:t>
            </w:r>
          </w:p>
        </w:tc>
      </w:tr>
      <w:tr w:rsidR="00761B6C" w:rsidRPr="00236418" w14:paraId="60D18A74" w14:textId="77777777" w:rsidTr="00761B6C">
        <w:trPr>
          <w:trHeight w:val="238"/>
          <w:jc w:val="center"/>
        </w:trPr>
        <w:tc>
          <w:tcPr>
            <w:tcW w:w="4181" w:type="dxa"/>
            <w:tcBorders>
              <w:top w:val="nil"/>
              <w:bottom w:val="nil"/>
            </w:tcBorders>
          </w:tcPr>
          <w:p w14:paraId="4590F6F9" w14:textId="77777777" w:rsidR="00761B6C" w:rsidRPr="00236418" w:rsidRDefault="00761B6C" w:rsidP="00761B6C">
            <w:pPr>
              <w:pStyle w:val="Tabletext"/>
              <w:spacing w:before="20" w:after="20"/>
              <w:rPr>
                <w:sz w:val="18"/>
                <w:szCs w:val="18"/>
                <w:lang w:eastAsia="zh-CN"/>
              </w:rPr>
            </w:pPr>
            <w:r w:rsidRPr="00236418">
              <w:rPr>
                <w:sz w:val="18"/>
                <w:szCs w:val="18"/>
                <w:lang w:eastAsia="zh-CN"/>
              </w:rPr>
              <w:t>Vente d</w:t>
            </w:r>
            <w:r>
              <w:rPr>
                <w:sz w:val="18"/>
                <w:szCs w:val="18"/>
                <w:lang w:eastAsia="zh-CN"/>
              </w:rPr>
              <w:t>'</w:t>
            </w:r>
            <w:r w:rsidRPr="00236418">
              <w:rPr>
                <w:sz w:val="18"/>
                <w:szCs w:val="18"/>
                <w:lang w:eastAsia="zh-CN"/>
              </w:rPr>
              <w:t>actifs</w:t>
            </w:r>
          </w:p>
        </w:tc>
        <w:tc>
          <w:tcPr>
            <w:tcW w:w="1382" w:type="dxa"/>
            <w:tcBorders>
              <w:top w:val="nil"/>
              <w:bottom w:val="nil"/>
            </w:tcBorders>
            <w:vAlign w:val="center"/>
          </w:tcPr>
          <w:p w14:paraId="655F8BE4"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9</w:t>
            </w:r>
          </w:p>
        </w:tc>
        <w:tc>
          <w:tcPr>
            <w:tcW w:w="1382" w:type="dxa"/>
            <w:tcBorders>
              <w:top w:val="nil"/>
              <w:bottom w:val="nil"/>
            </w:tcBorders>
            <w:vAlign w:val="center"/>
          </w:tcPr>
          <w:p w14:paraId="1D869713"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bottom w:val="nil"/>
            </w:tcBorders>
            <w:vAlign w:val="center"/>
          </w:tcPr>
          <w:p w14:paraId="4F5E874C"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nil"/>
              <w:bottom w:val="nil"/>
            </w:tcBorders>
            <w:vAlign w:val="center"/>
          </w:tcPr>
          <w:p w14:paraId="78794ED0"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9</w:t>
            </w:r>
          </w:p>
        </w:tc>
      </w:tr>
      <w:tr w:rsidR="00761B6C" w:rsidRPr="00236418" w14:paraId="0259494A" w14:textId="77777777" w:rsidTr="00761B6C">
        <w:trPr>
          <w:trHeight w:val="263"/>
          <w:jc w:val="center"/>
        </w:trPr>
        <w:tc>
          <w:tcPr>
            <w:tcW w:w="4181" w:type="dxa"/>
            <w:tcBorders>
              <w:top w:val="nil"/>
              <w:bottom w:val="single" w:sz="4" w:space="0" w:color="auto"/>
            </w:tcBorders>
          </w:tcPr>
          <w:p w14:paraId="61B97EF2" w14:textId="77777777" w:rsidR="00761B6C" w:rsidRPr="00236418" w:rsidRDefault="00761B6C" w:rsidP="00761B6C">
            <w:pPr>
              <w:pStyle w:val="Tabletext"/>
              <w:spacing w:before="20" w:after="20"/>
              <w:rPr>
                <w:sz w:val="18"/>
                <w:szCs w:val="18"/>
                <w:lang w:eastAsia="zh-CN"/>
              </w:rPr>
            </w:pPr>
            <w:r w:rsidRPr="00236418">
              <w:rPr>
                <w:sz w:val="18"/>
                <w:szCs w:val="18"/>
                <w:lang w:eastAsia="zh-CN"/>
              </w:rPr>
              <w:t>Divers</w:t>
            </w:r>
          </w:p>
        </w:tc>
        <w:tc>
          <w:tcPr>
            <w:tcW w:w="1382" w:type="dxa"/>
            <w:tcBorders>
              <w:top w:val="nil"/>
              <w:bottom w:val="single" w:sz="4" w:space="0" w:color="auto"/>
            </w:tcBorders>
            <w:vAlign w:val="center"/>
          </w:tcPr>
          <w:p w14:paraId="2447FEF4"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40</w:t>
            </w:r>
          </w:p>
        </w:tc>
        <w:tc>
          <w:tcPr>
            <w:tcW w:w="1382" w:type="dxa"/>
            <w:tcBorders>
              <w:top w:val="nil"/>
              <w:bottom w:val="single" w:sz="4" w:space="0" w:color="auto"/>
            </w:tcBorders>
            <w:vAlign w:val="center"/>
          </w:tcPr>
          <w:p w14:paraId="790CA5D6"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2" w:type="dxa"/>
            <w:tcBorders>
              <w:top w:val="nil"/>
              <w:bottom w:val="single" w:sz="4" w:space="0" w:color="auto"/>
            </w:tcBorders>
            <w:vAlign w:val="center"/>
          </w:tcPr>
          <w:p w14:paraId="754302B7"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nil"/>
              <w:bottom w:val="single" w:sz="4" w:space="0" w:color="auto"/>
            </w:tcBorders>
            <w:vAlign w:val="center"/>
          </w:tcPr>
          <w:p w14:paraId="26CC2FFA"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40</w:t>
            </w:r>
          </w:p>
        </w:tc>
      </w:tr>
      <w:tr w:rsidR="00761B6C" w:rsidRPr="00236418" w14:paraId="32500BA2" w14:textId="77777777" w:rsidTr="00761B6C">
        <w:trPr>
          <w:jc w:val="center"/>
        </w:trPr>
        <w:tc>
          <w:tcPr>
            <w:tcW w:w="4181" w:type="dxa"/>
            <w:tcBorders>
              <w:top w:val="single" w:sz="4" w:space="0" w:color="auto"/>
            </w:tcBorders>
          </w:tcPr>
          <w:p w14:paraId="365D4997" w14:textId="77777777" w:rsidR="00761B6C" w:rsidRPr="00236418" w:rsidRDefault="00761B6C" w:rsidP="00761B6C">
            <w:pPr>
              <w:pStyle w:val="Tabletext"/>
              <w:spacing w:before="20" w:after="20"/>
              <w:rPr>
                <w:b/>
                <w:bCs/>
                <w:sz w:val="18"/>
                <w:szCs w:val="18"/>
                <w:lang w:eastAsia="zh-CN"/>
              </w:rPr>
            </w:pPr>
            <w:r w:rsidRPr="00236418">
              <w:rPr>
                <w:b/>
                <w:bCs/>
                <w:sz w:val="18"/>
                <w:szCs w:val="18"/>
                <w:lang w:eastAsia="zh-CN"/>
              </w:rPr>
              <w:t xml:space="preserve">Total des différences IPSAS </w:t>
            </w:r>
          </w:p>
        </w:tc>
        <w:tc>
          <w:tcPr>
            <w:tcW w:w="1382" w:type="dxa"/>
            <w:tcBorders>
              <w:top w:val="single" w:sz="4" w:space="0" w:color="auto"/>
            </w:tcBorders>
            <w:vAlign w:val="center"/>
          </w:tcPr>
          <w:p w14:paraId="33DCF80E" w14:textId="77777777" w:rsidR="00761B6C" w:rsidRPr="003A63EA" w:rsidRDefault="00761B6C" w:rsidP="00761B6C">
            <w:pPr>
              <w:pStyle w:val="Tabletext"/>
              <w:spacing w:before="0" w:after="0"/>
              <w:jc w:val="right"/>
              <w:rPr>
                <w:rFonts w:cs="Arial"/>
                <w:b/>
                <w:bCs/>
                <w:sz w:val="18"/>
                <w:szCs w:val="18"/>
                <w:lang w:eastAsia="zh-CN"/>
              </w:rPr>
            </w:pPr>
            <w:r>
              <w:rPr>
                <w:b/>
                <w:bCs/>
                <w:sz w:val="18"/>
                <w:szCs w:val="18"/>
                <w:lang w:eastAsia="en-GB"/>
              </w:rPr>
              <w:t>–</w:t>
            </w:r>
            <w:r w:rsidRPr="003A63EA">
              <w:rPr>
                <w:b/>
                <w:bCs/>
                <w:sz w:val="18"/>
                <w:szCs w:val="18"/>
                <w:lang w:eastAsia="en-GB"/>
              </w:rPr>
              <w:t>56</w:t>
            </w:r>
            <w:r>
              <w:rPr>
                <w:b/>
                <w:bCs/>
                <w:sz w:val="18"/>
                <w:szCs w:val="18"/>
                <w:lang w:eastAsia="en-GB"/>
              </w:rPr>
              <w:t xml:space="preserve"> </w:t>
            </w:r>
            <w:r w:rsidRPr="003A63EA">
              <w:rPr>
                <w:b/>
                <w:bCs/>
                <w:sz w:val="18"/>
                <w:szCs w:val="18"/>
                <w:lang w:eastAsia="en-GB"/>
              </w:rPr>
              <w:t>721</w:t>
            </w:r>
          </w:p>
        </w:tc>
        <w:tc>
          <w:tcPr>
            <w:tcW w:w="1382" w:type="dxa"/>
            <w:tcBorders>
              <w:top w:val="single" w:sz="4" w:space="0" w:color="auto"/>
            </w:tcBorders>
            <w:vAlign w:val="center"/>
          </w:tcPr>
          <w:p w14:paraId="3F250588" w14:textId="77777777" w:rsidR="00761B6C" w:rsidRPr="003A63EA" w:rsidRDefault="00761B6C" w:rsidP="00761B6C">
            <w:pPr>
              <w:pStyle w:val="Tabletext"/>
              <w:spacing w:before="0" w:after="0"/>
              <w:jc w:val="right"/>
              <w:rPr>
                <w:rFonts w:cs="Arial"/>
                <w:b/>
                <w:bCs/>
                <w:sz w:val="18"/>
                <w:szCs w:val="18"/>
                <w:lang w:eastAsia="zh-CN"/>
              </w:rPr>
            </w:pPr>
            <w:r w:rsidRPr="003A63EA">
              <w:rPr>
                <w:b/>
                <w:bCs/>
                <w:sz w:val="18"/>
                <w:szCs w:val="18"/>
                <w:lang w:eastAsia="en-GB"/>
              </w:rPr>
              <w:t>1</w:t>
            </w:r>
            <w:r>
              <w:rPr>
                <w:b/>
                <w:bCs/>
                <w:sz w:val="18"/>
                <w:szCs w:val="18"/>
                <w:lang w:eastAsia="en-GB"/>
              </w:rPr>
              <w:t xml:space="preserve"> </w:t>
            </w:r>
            <w:r w:rsidRPr="003A63EA">
              <w:rPr>
                <w:b/>
                <w:bCs/>
                <w:sz w:val="18"/>
                <w:szCs w:val="18"/>
                <w:lang w:eastAsia="en-GB"/>
              </w:rPr>
              <w:t>545</w:t>
            </w:r>
          </w:p>
        </w:tc>
        <w:tc>
          <w:tcPr>
            <w:tcW w:w="1382" w:type="dxa"/>
            <w:tcBorders>
              <w:top w:val="single" w:sz="4" w:space="0" w:color="auto"/>
            </w:tcBorders>
            <w:vAlign w:val="center"/>
          </w:tcPr>
          <w:p w14:paraId="0A520116" w14:textId="77777777" w:rsidR="00761B6C" w:rsidRPr="003A63EA" w:rsidRDefault="00761B6C" w:rsidP="00761B6C">
            <w:pPr>
              <w:pStyle w:val="Tabletext"/>
              <w:spacing w:before="0" w:after="0"/>
              <w:jc w:val="right"/>
              <w:rPr>
                <w:rFonts w:cs="Arial"/>
                <w:b/>
                <w:bCs/>
                <w:sz w:val="18"/>
                <w:szCs w:val="18"/>
                <w:lang w:eastAsia="zh-CN"/>
              </w:rPr>
            </w:pPr>
            <w:r w:rsidRPr="003A63EA">
              <w:rPr>
                <w:b/>
                <w:bCs/>
                <w:sz w:val="18"/>
                <w:szCs w:val="18"/>
                <w:lang w:eastAsia="en-GB"/>
              </w:rPr>
              <w:t>1</w:t>
            </w:r>
            <w:r>
              <w:rPr>
                <w:b/>
                <w:bCs/>
                <w:sz w:val="18"/>
                <w:szCs w:val="18"/>
                <w:lang w:eastAsia="en-GB"/>
              </w:rPr>
              <w:t xml:space="preserve"> </w:t>
            </w:r>
            <w:r w:rsidRPr="003A63EA">
              <w:rPr>
                <w:b/>
                <w:bCs/>
                <w:sz w:val="18"/>
                <w:szCs w:val="18"/>
                <w:lang w:eastAsia="en-GB"/>
              </w:rPr>
              <w:t>493</w:t>
            </w:r>
          </w:p>
        </w:tc>
        <w:tc>
          <w:tcPr>
            <w:tcW w:w="1383" w:type="dxa"/>
            <w:tcBorders>
              <w:top w:val="single" w:sz="4" w:space="0" w:color="auto"/>
            </w:tcBorders>
            <w:vAlign w:val="center"/>
          </w:tcPr>
          <w:p w14:paraId="070051D5" w14:textId="77777777" w:rsidR="00761B6C" w:rsidRPr="003A63EA" w:rsidRDefault="00761B6C" w:rsidP="00761B6C">
            <w:pPr>
              <w:pStyle w:val="Tabletext"/>
              <w:spacing w:before="0" w:after="0"/>
              <w:jc w:val="right"/>
              <w:rPr>
                <w:rFonts w:cs="Arial"/>
                <w:b/>
                <w:bCs/>
                <w:sz w:val="18"/>
                <w:szCs w:val="18"/>
                <w:lang w:eastAsia="zh-CN"/>
              </w:rPr>
            </w:pPr>
            <w:r>
              <w:rPr>
                <w:b/>
                <w:bCs/>
                <w:sz w:val="18"/>
                <w:szCs w:val="18"/>
                <w:lang w:eastAsia="en-GB"/>
              </w:rPr>
              <w:t>–</w:t>
            </w:r>
            <w:r w:rsidRPr="003A63EA">
              <w:rPr>
                <w:b/>
                <w:bCs/>
                <w:sz w:val="18"/>
                <w:szCs w:val="18"/>
                <w:lang w:eastAsia="en-GB"/>
              </w:rPr>
              <w:t>53</w:t>
            </w:r>
            <w:r>
              <w:rPr>
                <w:b/>
                <w:bCs/>
                <w:sz w:val="18"/>
                <w:szCs w:val="18"/>
                <w:lang w:eastAsia="en-GB"/>
              </w:rPr>
              <w:t xml:space="preserve"> </w:t>
            </w:r>
            <w:r w:rsidRPr="003A63EA">
              <w:rPr>
                <w:b/>
                <w:bCs/>
                <w:sz w:val="18"/>
                <w:szCs w:val="18"/>
                <w:lang w:eastAsia="en-GB"/>
              </w:rPr>
              <w:t>684</w:t>
            </w:r>
          </w:p>
        </w:tc>
      </w:tr>
      <w:tr w:rsidR="00761B6C" w:rsidRPr="00236418" w14:paraId="5ACEE02B" w14:textId="77777777" w:rsidTr="00761B6C">
        <w:trPr>
          <w:trHeight w:val="199"/>
          <w:jc w:val="center"/>
        </w:trPr>
        <w:tc>
          <w:tcPr>
            <w:tcW w:w="4181" w:type="dxa"/>
            <w:tcBorders>
              <w:bottom w:val="nil"/>
            </w:tcBorders>
          </w:tcPr>
          <w:p w14:paraId="43DB029E" w14:textId="77777777" w:rsidR="00761B6C" w:rsidRPr="00236418" w:rsidRDefault="00761B6C" w:rsidP="00761B6C">
            <w:pPr>
              <w:pStyle w:val="Tabletext"/>
              <w:spacing w:before="20" w:after="20"/>
              <w:rPr>
                <w:sz w:val="18"/>
                <w:szCs w:val="18"/>
                <w:lang w:eastAsia="zh-CN"/>
              </w:rPr>
            </w:pPr>
            <w:r w:rsidRPr="00236418">
              <w:rPr>
                <w:sz w:val="18"/>
                <w:szCs w:val="18"/>
                <w:lang w:eastAsia="zh-CN"/>
              </w:rPr>
              <w:t>Gain Fonds 1000/1010</w:t>
            </w:r>
          </w:p>
        </w:tc>
        <w:tc>
          <w:tcPr>
            <w:tcW w:w="1382" w:type="dxa"/>
            <w:tcBorders>
              <w:bottom w:val="nil"/>
            </w:tcBorders>
            <w:vAlign w:val="center"/>
          </w:tcPr>
          <w:p w14:paraId="44004D27"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58</w:t>
            </w:r>
            <w:r>
              <w:rPr>
                <w:sz w:val="18"/>
                <w:szCs w:val="18"/>
                <w:lang w:eastAsia="en-GB"/>
              </w:rPr>
              <w:t xml:space="preserve"> </w:t>
            </w:r>
            <w:r w:rsidRPr="003A63EA">
              <w:rPr>
                <w:sz w:val="18"/>
                <w:szCs w:val="18"/>
                <w:lang w:eastAsia="en-GB"/>
              </w:rPr>
              <w:t>204</w:t>
            </w:r>
          </w:p>
        </w:tc>
        <w:tc>
          <w:tcPr>
            <w:tcW w:w="1382" w:type="dxa"/>
            <w:tcBorders>
              <w:bottom w:val="nil"/>
            </w:tcBorders>
            <w:vAlign w:val="center"/>
          </w:tcPr>
          <w:p w14:paraId="5A9C9E45"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1</w:t>
            </w:r>
            <w:r>
              <w:rPr>
                <w:sz w:val="18"/>
                <w:szCs w:val="18"/>
                <w:lang w:eastAsia="en-GB"/>
              </w:rPr>
              <w:t xml:space="preserve"> </w:t>
            </w:r>
            <w:r w:rsidRPr="003A63EA">
              <w:rPr>
                <w:sz w:val="18"/>
                <w:szCs w:val="18"/>
                <w:lang w:eastAsia="en-GB"/>
              </w:rPr>
              <w:t>545</w:t>
            </w:r>
          </w:p>
        </w:tc>
        <w:tc>
          <w:tcPr>
            <w:tcW w:w="1382" w:type="dxa"/>
            <w:tcBorders>
              <w:bottom w:val="nil"/>
            </w:tcBorders>
            <w:vAlign w:val="center"/>
          </w:tcPr>
          <w:p w14:paraId="45709362"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1</w:t>
            </w:r>
            <w:r>
              <w:rPr>
                <w:sz w:val="18"/>
                <w:szCs w:val="18"/>
                <w:lang w:eastAsia="en-GB"/>
              </w:rPr>
              <w:t xml:space="preserve"> </w:t>
            </w:r>
            <w:r w:rsidRPr="003A63EA">
              <w:rPr>
                <w:sz w:val="18"/>
                <w:szCs w:val="18"/>
                <w:lang w:eastAsia="en-GB"/>
              </w:rPr>
              <w:t>493</w:t>
            </w:r>
          </w:p>
        </w:tc>
        <w:tc>
          <w:tcPr>
            <w:tcW w:w="1383" w:type="dxa"/>
            <w:tcBorders>
              <w:bottom w:val="nil"/>
            </w:tcBorders>
            <w:vAlign w:val="center"/>
          </w:tcPr>
          <w:p w14:paraId="0AD2FA09" w14:textId="77777777" w:rsidR="00761B6C" w:rsidRPr="003A63EA" w:rsidRDefault="00761B6C" w:rsidP="00761B6C">
            <w:pPr>
              <w:pStyle w:val="Tabletext"/>
              <w:spacing w:before="0" w:after="0"/>
              <w:jc w:val="right"/>
              <w:rPr>
                <w:rFonts w:cs="Arial"/>
                <w:sz w:val="18"/>
                <w:szCs w:val="18"/>
                <w:lang w:eastAsia="zh-CN"/>
              </w:rPr>
            </w:pPr>
            <w:r>
              <w:rPr>
                <w:sz w:val="18"/>
                <w:szCs w:val="18"/>
                <w:lang w:eastAsia="en-GB"/>
              </w:rPr>
              <w:t>–</w:t>
            </w:r>
            <w:r w:rsidRPr="003A63EA">
              <w:rPr>
                <w:sz w:val="18"/>
                <w:szCs w:val="18"/>
                <w:lang w:eastAsia="en-GB"/>
              </w:rPr>
              <w:t>55</w:t>
            </w:r>
            <w:r>
              <w:rPr>
                <w:sz w:val="18"/>
                <w:szCs w:val="18"/>
                <w:lang w:eastAsia="en-GB"/>
              </w:rPr>
              <w:t xml:space="preserve"> </w:t>
            </w:r>
            <w:r w:rsidRPr="003A63EA">
              <w:rPr>
                <w:sz w:val="18"/>
                <w:szCs w:val="18"/>
                <w:lang w:eastAsia="en-GB"/>
              </w:rPr>
              <w:t>166</w:t>
            </w:r>
          </w:p>
        </w:tc>
      </w:tr>
      <w:tr w:rsidR="00761B6C" w:rsidRPr="00236418" w14:paraId="1D0DA5BA" w14:textId="77777777" w:rsidTr="00761B6C">
        <w:trPr>
          <w:jc w:val="center"/>
        </w:trPr>
        <w:tc>
          <w:tcPr>
            <w:tcW w:w="4181" w:type="dxa"/>
            <w:tcBorders>
              <w:top w:val="nil"/>
            </w:tcBorders>
          </w:tcPr>
          <w:p w14:paraId="4D7AB49A" w14:textId="77777777" w:rsidR="00761B6C" w:rsidRPr="00236418" w:rsidRDefault="00761B6C" w:rsidP="00761B6C">
            <w:pPr>
              <w:pStyle w:val="Tabletext"/>
              <w:spacing w:before="20" w:after="20"/>
              <w:rPr>
                <w:sz w:val="18"/>
                <w:szCs w:val="18"/>
                <w:lang w:eastAsia="zh-CN"/>
              </w:rPr>
            </w:pPr>
            <w:r w:rsidRPr="00236418">
              <w:rPr>
                <w:sz w:val="18"/>
                <w:szCs w:val="18"/>
                <w:lang w:eastAsia="zh-CN"/>
              </w:rPr>
              <w:t xml:space="preserve">Augmentation des réserves du Fonds 1010 </w:t>
            </w:r>
          </w:p>
        </w:tc>
        <w:tc>
          <w:tcPr>
            <w:tcW w:w="1382" w:type="dxa"/>
            <w:tcBorders>
              <w:top w:val="nil"/>
            </w:tcBorders>
            <w:vAlign w:val="center"/>
          </w:tcPr>
          <w:p w14:paraId="776F4FC2"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1</w:t>
            </w:r>
            <w:r>
              <w:rPr>
                <w:sz w:val="18"/>
                <w:szCs w:val="18"/>
                <w:lang w:eastAsia="en-GB"/>
              </w:rPr>
              <w:t xml:space="preserve"> </w:t>
            </w:r>
            <w:r w:rsidRPr="003A63EA">
              <w:rPr>
                <w:sz w:val="18"/>
                <w:szCs w:val="18"/>
                <w:lang w:eastAsia="en-GB"/>
              </w:rPr>
              <w:t>799</w:t>
            </w:r>
          </w:p>
        </w:tc>
        <w:tc>
          <w:tcPr>
            <w:tcW w:w="1382" w:type="dxa"/>
            <w:tcBorders>
              <w:top w:val="nil"/>
            </w:tcBorders>
            <w:vAlign w:val="center"/>
          </w:tcPr>
          <w:p w14:paraId="0453C130" w14:textId="77777777" w:rsidR="00761B6C" w:rsidRPr="003A63EA" w:rsidRDefault="00761B6C" w:rsidP="00761B6C">
            <w:pPr>
              <w:pStyle w:val="Tabletext"/>
              <w:spacing w:before="0" w:after="0"/>
              <w:jc w:val="right"/>
              <w:rPr>
                <w:rFonts w:cs="Arial"/>
                <w:sz w:val="18"/>
                <w:szCs w:val="18"/>
                <w:lang w:eastAsia="zh-CN"/>
              </w:rPr>
            </w:pPr>
          </w:p>
        </w:tc>
        <w:tc>
          <w:tcPr>
            <w:tcW w:w="1382" w:type="dxa"/>
            <w:tcBorders>
              <w:top w:val="nil"/>
            </w:tcBorders>
            <w:vAlign w:val="center"/>
          </w:tcPr>
          <w:p w14:paraId="1C26FDB8"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 </w:t>
            </w:r>
          </w:p>
        </w:tc>
        <w:tc>
          <w:tcPr>
            <w:tcW w:w="1383" w:type="dxa"/>
            <w:tcBorders>
              <w:top w:val="nil"/>
            </w:tcBorders>
            <w:vAlign w:val="center"/>
          </w:tcPr>
          <w:p w14:paraId="1EE046ED" w14:textId="77777777" w:rsidR="00761B6C" w:rsidRPr="003A63EA" w:rsidRDefault="00761B6C" w:rsidP="00761B6C">
            <w:pPr>
              <w:pStyle w:val="Tabletext"/>
              <w:spacing w:before="0" w:after="0"/>
              <w:jc w:val="right"/>
              <w:rPr>
                <w:rFonts w:cs="Arial"/>
                <w:sz w:val="18"/>
                <w:szCs w:val="18"/>
                <w:lang w:eastAsia="zh-CN"/>
              </w:rPr>
            </w:pPr>
            <w:r w:rsidRPr="003A63EA">
              <w:rPr>
                <w:sz w:val="18"/>
                <w:szCs w:val="18"/>
                <w:lang w:eastAsia="en-GB"/>
              </w:rPr>
              <w:t>1</w:t>
            </w:r>
            <w:r>
              <w:rPr>
                <w:sz w:val="18"/>
                <w:szCs w:val="18"/>
                <w:lang w:eastAsia="en-GB"/>
              </w:rPr>
              <w:t xml:space="preserve"> </w:t>
            </w:r>
            <w:r w:rsidRPr="003A63EA">
              <w:rPr>
                <w:sz w:val="18"/>
                <w:szCs w:val="18"/>
                <w:lang w:eastAsia="en-GB"/>
              </w:rPr>
              <w:t>799</w:t>
            </w:r>
          </w:p>
        </w:tc>
      </w:tr>
      <w:tr w:rsidR="00761B6C" w:rsidRPr="00236418" w14:paraId="14C7D791" w14:textId="77777777" w:rsidTr="00761B6C">
        <w:trPr>
          <w:jc w:val="center"/>
        </w:trPr>
        <w:tc>
          <w:tcPr>
            <w:tcW w:w="4181" w:type="dxa"/>
          </w:tcPr>
          <w:p w14:paraId="2F9B89D1" w14:textId="77777777" w:rsidR="00761B6C" w:rsidRPr="00236418" w:rsidRDefault="00761B6C" w:rsidP="00761B6C">
            <w:pPr>
              <w:pStyle w:val="Tabletext"/>
              <w:spacing w:before="20" w:after="20"/>
              <w:rPr>
                <w:b/>
                <w:bCs/>
                <w:sz w:val="18"/>
                <w:szCs w:val="18"/>
                <w:lang w:eastAsia="zh-CN"/>
              </w:rPr>
            </w:pPr>
            <w:r w:rsidRPr="00236418">
              <w:rPr>
                <w:b/>
                <w:bCs/>
                <w:sz w:val="18"/>
                <w:szCs w:val="18"/>
                <w:lang w:eastAsia="zh-CN"/>
              </w:rPr>
              <w:t>Total excédent</w:t>
            </w:r>
          </w:p>
        </w:tc>
        <w:tc>
          <w:tcPr>
            <w:tcW w:w="1382" w:type="dxa"/>
            <w:vAlign w:val="center"/>
          </w:tcPr>
          <w:p w14:paraId="7D02E812" w14:textId="77777777" w:rsidR="00761B6C" w:rsidRPr="003A63EA" w:rsidRDefault="00761B6C" w:rsidP="00761B6C">
            <w:pPr>
              <w:pStyle w:val="Tabletext"/>
              <w:spacing w:before="0" w:after="0"/>
              <w:jc w:val="right"/>
              <w:rPr>
                <w:rFonts w:cs="Arial"/>
                <w:b/>
                <w:bCs/>
                <w:sz w:val="18"/>
                <w:szCs w:val="18"/>
                <w:lang w:eastAsia="zh-CN"/>
              </w:rPr>
            </w:pPr>
            <w:r>
              <w:rPr>
                <w:b/>
                <w:bCs/>
                <w:sz w:val="18"/>
                <w:szCs w:val="18"/>
                <w:lang w:eastAsia="en-GB"/>
              </w:rPr>
              <w:t>–</w:t>
            </w:r>
            <w:r w:rsidRPr="003A63EA">
              <w:rPr>
                <w:b/>
                <w:bCs/>
                <w:sz w:val="18"/>
                <w:szCs w:val="18"/>
                <w:lang w:eastAsia="en-GB"/>
              </w:rPr>
              <w:t>56</w:t>
            </w:r>
            <w:r>
              <w:rPr>
                <w:b/>
                <w:bCs/>
                <w:sz w:val="18"/>
                <w:szCs w:val="18"/>
                <w:lang w:eastAsia="en-GB"/>
              </w:rPr>
              <w:t xml:space="preserve"> </w:t>
            </w:r>
            <w:r w:rsidRPr="003A63EA">
              <w:rPr>
                <w:b/>
                <w:bCs/>
                <w:sz w:val="18"/>
                <w:szCs w:val="18"/>
                <w:lang w:eastAsia="en-GB"/>
              </w:rPr>
              <w:t>405</w:t>
            </w:r>
          </w:p>
        </w:tc>
        <w:tc>
          <w:tcPr>
            <w:tcW w:w="1382" w:type="dxa"/>
            <w:vAlign w:val="center"/>
          </w:tcPr>
          <w:p w14:paraId="738DEFE0" w14:textId="77777777" w:rsidR="00761B6C" w:rsidRPr="003A63EA" w:rsidRDefault="00761B6C" w:rsidP="00761B6C">
            <w:pPr>
              <w:pStyle w:val="Tabletext"/>
              <w:spacing w:before="0" w:after="0"/>
              <w:jc w:val="right"/>
              <w:rPr>
                <w:rFonts w:cs="Arial"/>
                <w:b/>
                <w:bCs/>
                <w:sz w:val="18"/>
                <w:szCs w:val="18"/>
                <w:lang w:eastAsia="zh-CN"/>
              </w:rPr>
            </w:pPr>
            <w:r w:rsidRPr="003A63EA">
              <w:rPr>
                <w:b/>
                <w:bCs/>
                <w:sz w:val="18"/>
                <w:szCs w:val="18"/>
                <w:lang w:eastAsia="en-GB"/>
              </w:rPr>
              <w:t>1</w:t>
            </w:r>
            <w:r>
              <w:rPr>
                <w:b/>
                <w:bCs/>
                <w:sz w:val="18"/>
                <w:szCs w:val="18"/>
                <w:lang w:eastAsia="en-GB"/>
              </w:rPr>
              <w:t xml:space="preserve"> </w:t>
            </w:r>
            <w:r w:rsidRPr="003A63EA">
              <w:rPr>
                <w:b/>
                <w:bCs/>
                <w:sz w:val="18"/>
                <w:szCs w:val="18"/>
                <w:lang w:eastAsia="en-GB"/>
              </w:rPr>
              <w:t>545</w:t>
            </w:r>
          </w:p>
        </w:tc>
        <w:tc>
          <w:tcPr>
            <w:tcW w:w="1382" w:type="dxa"/>
            <w:vAlign w:val="center"/>
          </w:tcPr>
          <w:p w14:paraId="27384F99" w14:textId="77777777" w:rsidR="00761B6C" w:rsidRPr="003A63EA" w:rsidRDefault="00761B6C" w:rsidP="00761B6C">
            <w:pPr>
              <w:pStyle w:val="Tabletext"/>
              <w:spacing w:before="0" w:after="0"/>
              <w:jc w:val="right"/>
              <w:rPr>
                <w:rFonts w:cs="Arial"/>
                <w:b/>
                <w:bCs/>
                <w:sz w:val="18"/>
                <w:szCs w:val="18"/>
                <w:lang w:eastAsia="zh-CN"/>
              </w:rPr>
            </w:pPr>
            <w:r w:rsidRPr="003A63EA">
              <w:rPr>
                <w:b/>
                <w:bCs/>
                <w:sz w:val="18"/>
                <w:szCs w:val="18"/>
                <w:lang w:eastAsia="en-GB"/>
              </w:rPr>
              <w:t>1</w:t>
            </w:r>
            <w:r>
              <w:rPr>
                <w:b/>
                <w:bCs/>
                <w:sz w:val="18"/>
                <w:szCs w:val="18"/>
                <w:lang w:eastAsia="en-GB"/>
              </w:rPr>
              <w:t xml:space="preserve"> </w:t>
            </w:r>
            <w:r w:rsidRPr="003A63EA">
              <w:rPr>
                <w:b/>
                <w:bCs/>
                <w:sz w:val="18"/>
                <w:szCs w:val="18"/>
                <w:lang w:eastAsia="en-GB"/>
              </w:rPr>
              <w:t>493</w:t>
            </w:r>
          </w:p>
        </w:tc>
        <w:tc>
          <w:tcPr>
            <w:tcW w:w="1383" w:type="dxa"/>
            <w:vAlign w:val="center"/>
          </w:tcPr>
          <w:p w14:paraId="365277B9" w14:textId="77777777" w:rsidR="00761B6C" w:rsidRPr="003A63EA" w:rsidRDefault="00761B6C" w:rsidP="00761B6C">
            <w:pPr>
              <w:pStyle w:val="Tabletext"/>
              <w:spacing w:before="0" w:after="0"/>
              <w:jc w:val="right"/>
              <w:rPr>
                <w:rFonts w:cs="Arial"/>
                <w:b/>
                <w:bCs/>
                <w:sz w:val="18"/>
                <w:szCs w:val="18"/>
                <w:lang w:eastAsia="zh-CN"/>
              </w:rPr>
            </w:pPr>
            <w:r>
              <w:rPr>
                <w:b/>
                <w:bCs/>
                <w:sz w:val="18"/>
                <w:szCs w:val="18"/>
                <w:lang w:eastAsia="en-GB"/>
              </w:rPr>
              <w:t>–</w:t>
            </w:r>
            <w:r w:rsidRPr="003A63EA">
              <w:rPr>
                <w:b/>
                <w:bCs/>
                <w:sz w:val="18"/>
                <w:szCs w:val="18"/>
                <w:lang w:eastAsia="en-GB"/>
              </w:rPr>
              <w:t>53</w:t>
            </w:r>
            <w:r>
              <w:rPr>
                <w:b/>
                <w:bCs/>
                <w:sz w:val="18"/>
                <w:szCs w:val="18"/>
                <w:lang w:eastAsia="en-GB"/>
              </w:rPr>
              <w:t xml:space="preserve"> </w:t>
            </w:r>
            <w:r w:rsidRPr="003A63EA">
              <w:rPr>
                <w:b/>
                <w:bCs/>
                <w:sz w:val="18"/>
                <w:szCs w:val="18"/>
                <w:lang w:eastAsia="en-GB"/>
              </w:rPr>
              <w:t>367</w:t>
            </w:r>
          </w:p>
        </w:tc>
      </w:tr>
      <w:tr w:rsidR="00761B6C" w:rsidRPr="00236418" w14:paraId="36473B09" w14:textId="77777777" w:rsidTr="00761B6C">
        <w:trPr>
          <w:jc w:val="center"/>
        </w:trPr>
        <w:tc>
          <w:tcPr>
            <w:tcW w:w="4181" w:type="dxa"/>
          </w:tcPr>
          <w:p w14:paraId="51A5839B" w14:textId="77777777" w:rsidR="00761B6C" w:rsidRPr="00236418" w:rsidRDefault="00761B6C" w:rsidP="00761B6C">
            <w:pPr>
              <w:pStyle w:val="Tabletext"/>
              <w:spacing w:before="20" w:after="20"/>
              <w:rPr>
                <w:b/>
                <w:bCs/>
                <w:sz w:val="18"/>
                <w:szCs w:val="18"/>
                <w:lang w:eastAsia="zh-CN"/>
              </w:rPr>
            </w:pPr>
            <w:r w:rsidRPr="00236418">
              <w:rPr>
                <w:b/>
                <w:bCs/>
                <w:sz w:val="18"/>
                <w:szCs w:val="18"/>
                <w:lang w:eastAsia="zh-CN"/>
              </w:rPr>
              <w:t>Différences de périmètre</w:t>
            </w:r>
          </w:p>
        </w:tc>
        <w:tc>
          <w:tcPr>
            <w:tcW w:w="1382" w:type="dxa"/>
            <w:vAlign w:val="center"/>
          </w:tcPr>
          <w:p w14:paraId="55B6B869" w14:textId="77777777" w:rsidR="00761B6C" w:rsidRPr="003A63EA" w:rsidRDefault="00761B6C" w:rsidP="00761B6C">
            <w:pPr>
              <w:pStyle w:val="Tabletext"/>
              <w:spacing w:before="0" w:after="0"/>
              <w:jc w:val="right"/>
              <w:rPr>
                <w:rFonts w:cs="Arial"/>
                <w:b/>
                <w:bCs/>
                <w:sz w:val="18"/>
                <w:szCs w:val="18"/>
                <w:lang w:eastAsia="zh-CN"/>
              </w:rPr>
            </w:pPr>
            <w:r w:rsidRPr="003A63EA">
              <w:rPr>
                <w:b/>
                <w:bCs/>
                <w:sz w:val="18"/>
                <w:szCs w:val="18"/>
                <w:lang w:eastAsia="en-GB"/>
              </w:rPr>
              <w:t>6</w:t>
            </w:r>
            <w:r>
              <w:rPr>
                <w:b/>
                <w:bCs/>
                <w:sz w:val="18"/>
                <w:szCs w:val="18"/>
                <w:lang w:eastAsia="en-GB"/>
              </w:rPr>
              <w:t xml:space="preserve"> </w:t>
            </w:r>
            <w:r w:rsidRPr="003A63EA">
              <w:rPr>
                <w:b/>
                <w:bCs/>
                <w:sz w:val="18"/>
                <w:szCs w:val="18"/>
                <w:lang w:eastAsia="en-GB"/>
              </w:rPr>
              <w:t>108</w:t>
            </w:r>
          </w:p>
        </w:tc>
        <w:tc>
          <w:tcPr>
            <w:tcW w:w="1382" w:type="dxa"/>
            <w:vAlign w:val="center"/>
          </w:tcPr>
          <w:p w14:paraId="5DCD6B96" w14:textId="77777777" w:rsidR="00761B6C" w:rsidRPr="003A63EA" w:rsidRDefault="00761B6C" w:rsidP="00761B6C">
            <w:pPr>
              <w:pStyle w:val="Tabletext"/>
              <w:spacing w:before="0" w:after="0"/>
              <w:jc w:val="right"/>
              <w:rPr>
                <w:rFonts w:cs="Arial"/>
                <w:b/>
                <w:bCs/>
                <w:sz w:val="18"/>
                <w:szCs w:val="18"/>
                <w:lang w:eastAsia="zh-CN"/>
              </w:rPr>
            </w:pPr>
            <w:r w:rsidRPr="003A63EA">
              <w:rPr>
                <w:b/>
                <w:bCs/>
                <w:sz w:val="18"/>
                <w:szCs w:val="18"/>
                <w:lang w:eastAsia="en-GB"/>
              </w:rPr>
              <w:t> </w:t>
            </w:r>
          </w:p>
        </w:tc>
        <w:tc>
          <w:tcPr>
            <w:tcW w:w="1382" w:type="dxa"/>
            <w:vAlign w:val="center"/>
          </w:tcPr>
          <w:p w14:paraId="2CA5325C" w14:textId="77777777" w:rsidR="00761B6C" w:rsidRPr="003A63EA" w:rsidRDefault="00761B6C" w:rsidP="00761B6C">
            <w:pPr>
              <w:pStyle w:val="Tabletext"/>
              <w:spacing w:before="0" w:after="0"/>
              <w:jc w:val="right"/>
              <w:rPr>
                <w:rFonts w:cs="Arial"/>
                <w:b/>
                <w:bCs/>
                <w:sz w:val="18"/>
                <w:szCs w:val="18"/>
                <w:lang w:eastAsia="zh-CN"/>
              </w:rPr>
            </w:pPr>
            <w:r w:rsidRPr="003A63EA">
              <w:rPr>
                <w:b/>
                <w:bCs/>
                <w:sz w:val="18"/>
                <w:szCs w:val="18"/>
                <w:lang w:eastAsia="en-GB"/>
              </w:rPr>
              <w:t> </w:t>
            </w:r>
          </w:p>
        </w:tc>
        <w:tc>
          <w:tcPr>
            <w:tcW w:w="1383" w:type="dxa"/>
            <w:vAlign w:val="center"/>
          </w:tcPr>
          <w:p w14:paraId="5889B73B" w14:textId="77777777" w:rsidR="00761B6C" w:rsidRPr="003A63EA" w:rsidRDefault="00761B6C" w:rsidP="00761B6C">
            <w:pPr>
              <w:pStyle w:val="Tabletext"/>
              <w:spacing w:before="0" w:after="0"/>
              <w:jc w:val="right"/>
              <w:rPr>
                <w:rFonts w:cs="Arial"/>
                <w:b/>
                <w:bCs/>
                <w:sz w:val="18"/>
                <w:szCs w:val="18"/>
                <w:lang w:eastAsia="zh-CN"/>
              </w:rPr>
            </w:pPr>
            <w:r w:rsidRPr="003A63EA">
              <w:rPr>
                <w:b/>
                <w:bCs/>
                <w:sz w:val="18"/>
                <w:szCs w:val="18"/>
                <w:lang w:eastAsia="en-GB"/>
              </w:rPr>
              <w:t>6</w:t>
            </w:r>
            <w:r>
              <w:rPr>
                <w:b/>
                <w:bCs/>
                <w:sz w:val="18"/>
                <w:szCs w:val="18"/>
                <w:lang w:eastAsia="en-GB"/>
              </w:rPr>
              <w:t xml:space="preserve"> </w:t>
            </w:r>
            <w:r w:rsidRPr="003A63EA">
              <w:rPr>
                <w:b/>
                <w:bCs/>
                <w:sz w:val="18"/>
                <w:szCs w:val="18"/>
                <w:lang w:eastAsia="en-GB"/>
              </w:rPr>
              <w:t>108</w:t>
            </w:r>
          </w:p>
        </w:tc>
      </w:tr>
      <w:tr w:rsidR="00761B6C" w:rsidRPr="00236418" w14:paraId="4C151982" w14:textId="77777777" w:rsidTr="00761B6C">
        <w:trPr>
          <w:jc w:val="center"/>
        </w:trPr>
        <w:tc>
          <w:tcPr>
            <w:tcW w:w="4181" w:type="dxa"/>
          </w:tcPr>
          <w:p w14:paraId="65B0919F" w14:textId="77777777" w:rsidR="00761B6C" w:rsidRPr="00236418" w:rsidRDefault="00761B6C" w:rsidP="00761B6C">
            <w:pPr>
              <w:pStyle w:val="Tabletext"/>
              <w:spacing w:before="20" w:after="20"/>
              <w:rPr>
                <w:b/>
                <w:bCs/>
                <w:sz w:val="18"/>
                <w:szCs w:val="18"/>
                <w:lang w:eastAsia="zh-CN"/>
              </w:rPr>
            </w:pPr>
            <w:r w:rsidRPr="00236418">
              <w:rPr>
                <w:b/>
                <w:bCs/>
                <w:sz w:val="18"/>
                <w:szCs w:val="18"/>
                <w:lang w:eastAsia="zh-CN"/>
              </w:rPr>
              <w:t>Excédent tel que montré dans l</w:t>
            </w:r>
            <w:r>
              <w:rPr>
                <w:b/>
                <w:bCs/>
                <w:sz w:val="18"/>
                <w:szCs w:val="18"/>
                <w:lang w:eastAsia="zh-CN"/>
              </w:rPr>
              <w:t>'</w:t>
            </w:r>
            <w:r w:rsidRPr="00236418">
              <w:rPr>
                <w:b/>
                <w:bCs/>
                <w:sz w:val="18"/>
                <w:szCs w:val="18"/>
                <w:lang w:eastAsia="zh-CN"/>
              </w:rPr>
              <w:t>état de la performance financière</w:t>
            </w:r>
          </w:p>
        </w:tc>
        <w:tc>
          <w:tcPr>
            <w:tcW w:w="1382" w:type="dxa"/>
            <w:vAlign w:val="center"/>
          </w:tcPr>
          <w:p w14:paraId="41CF7A4C" w14:textId="77777777" w:rsidR="00761B6C" w:rsidRPr="003A63EA" w:rsidRDefault="00761B6C" w:rsidP="00761B6C">
            <w:pPr>
              <w:pStyle w:val="Tabletext"/>
              <w:spacing w:before="0" w:after="0"/>
              <w:jc w:val="right"/>
              <w:rPr>
                <w:rFonts w:cs="Arial"/>
                <w:b/>
                <w:bCs/>
                <w:sz w:val="18"/>
                <w:szCs w:val="18"/>
                <w:lang w:eastAsia="zh-CN"/>
              </w:rPr>
            </w:pPr>
            <w:r>
              <w:rPr>
                <w:b/>
                <w:bCs/>
                <w:sz w:val="18"/>
                <w:szCs w:val="18"/>
                <w:lang w:eastAsia="en-GB"/>
              </w:rPr>
              <w:t>–</w:t>
            </w:r>
            <w:r w:rsidRPr="003A63EA">
              <w:rPr>
                <w:b/>
                <w:bCs/>
                <w:sz w:val="18"/>
                <w:szCs w:val="18"/>
                <w:lang w:eastAsia="en-GB"/>
              </w:rPr>
              <w:t>50</w:t>
            </w:r>
            <w:r>
              <w:rPr>
                <w:b/>
                <w:bCs/>
                <w:sz w:val="18"/>
                <w:szCs w:val="18"/>
                <w:lang w:eastAsia="en-GB"/>
              </w:rPr>
              <w:t xml:space="preserve"> </w:t>
            </w:r>
            <w:r w:rsidRPr="003A63EA">
              <w:rPr>
                <w:b/>
                <w:bCs/>
                <w:sz w:val="18"/>
                <w:szCs w:val="18"/>
                <w:lang w:eastAsia="en-GB"/>
              </w:rPr>
              <w:t>297</w:t>
            </w:r>
          </w:p>
        </w:tc>
        <w:tc>
          <w:tcPr>
            <w:tcW w:w="1382" w:type="dxa"/>
            <w:vAlign w:val="center"/>
          </w:tcPr>
          <w:p w14:paraId="4F9380E9" w14:textId="77777777" w:rsidR="00761B6C" w:rsidRPr="003A63EA" w:rsidRDefault="00761B6C" w:rsidP="00761B6C">
            <w:pPr>
              <w:pStyle w:val="Tabletext"/>
              <w:spacing w:before="0" w:after="0"/>
              <w:jc w:val="right"/>
              <w:rPr>
                <w:rFonts w:cs="Arial"/>
                <w:b/>
                <w:bCs/>
                <w:sz w:val="18"/>
                <w:szCs w:val="18"/>
                <w:lang w:eastAsia="zh-CN"/>
              </w:rPr>
            </w:pPr>
            <w:r w:rsidRPr="003A63EA">
              <w:rPr>
                <w:b/>
                <w:bCs/>
                <w:sz w:val="18"/>
                <w:szCs w:val="18"/>
                <w:lang w:eastAsia="en-GB"/>
              </w:rPr>
              <w:t>1</w:t>
            </w:r>
            <w:r>
              <w:rPr>
                <w:b/>
                <w:bCs/>
                <w:sz w:val="18"/>
                <w:szCs w:val="18"/>
                <w:lang w:eastAsia="en-GB"/>
              </w:rPr>
              <w:t xml:space="preserve"> </w:t>
            </w:r>
            <w:r w:rsidRPr="003A63EA">
              <w:rPr>
                <w:b/>
                <w:bCs/>
                <w:sz w:val="18"/>
                <w:szCs w:val="18"/>
                <w:lang w:eastAsia="en-GB"/>
              </w:rPr>
              <w:t>545</w:t>
            </w:r>
          </w:p>
        </w:tc>
        <w:tc>
          <w:tcPr>
            <w:tcW w:w="1382" w:type="dxa"/>
            <w:vAlign w:val="center"/>
          </w:tcPr>
          <w:p w14:paraId="68C55989" w14:textId="77777777" w:rsidR="00761B6C" w:rsidRPr="003A63EA" w:rsidRDefault="00761B6C" w:rsidP="00761B6C">
            <w:pPr>
              <w:pStyle w:val="Tabletext"/>
              <w:spacing w:before="0" w:after="0"/>
              <w:jc w:val="right"/>
              <w:rPr>
                <w:rFonts w:cs="Arial"/>
                <w:b/>
                <w:bCs/>
                <w:sz w:val="18"/>
                <w:szCs w:val="18"/>
                <w:lang w:eastAsia="zh-CN"/>
              </w:rPr>
            </w:pPr>
            <w:r w:rsidRPr="003A63EA">
              <w:rPr>
                <w:b/>
                <w:bCs/>
                <w:sz w:val="18"/>
                <w:szCs w:val="18"/>
                <w:lang w:eastAsia="en-GB"/>
              </w:rPr>
              <w:t>1</w:t>
            </w:r>
            <w:r>
              <w:rPr>
                <w:b/>
                <w:bCs/>
                <w:sz w:val="18"/>
                <w:szCs w:val="18"/>
                <w:lang w:eastAsia="en-GB"/>
              </w:rPr>
              <w:t xml:space="preserve"> </w:t>
            </w:r>
            <w:r w:rsidRPr="003A63EA">
              <w:rPr>
                <w:b/>
                <w:bCs/>
                <w:sz w:val="18"/>
                <w:szCs w:val="18"/>
                <w:lang w:eastAsia="en-GB"/>
              </w:rPr>
              <w:t>493</w:t>
            </w:r>
          </w:p>
        </w:tc>
        <w:tc>
          <w:tcPr>
            <w:tcW w:w="1383" w:type="dxa"/>
            <w:vAlign w:val="center"/>
          </w:tcPr>
          <w:p w14:paraId="7608D660" w14:textId="77777777" w:rsidR="00761B6C" w:rsidRPr="003A63EA" w:rsidRDefault="00761B6C" w:rsidP="00761B6C">
            <w:pPr>
              <w:pStyle w:val="Tabletext"/>
              <w:spacing w:before="0" w:after="0"/>
              <w:jc w:val="right"/>
              <w:rPr>
                <w:rFonts w:cs="Arial"/>
                <w:b/>
                <w:bCs/>
                <w:sz w:val="18"/>
                <w:szCs w:val="18"/>
                <w:lang w:eastAsia="zh-CN"/>
              </w:rPr>
            </w:pPr>
            <w:r>
              <w:rPr>
                <w:b/>
                <w:bCs/>
                <w:sz w:val="18"/>
                <w:szCs w:val="18"/>
                <w:lang w:eastAsia="en-GB"/>
              </w:rPr>
              <w:t>–</w:t>
            </w:r>
            <w:r w:rsidRPr="003A63EA">
              <w:rPr>
                <w:b/>
                <w:bCs/>
                <w:sz w:val="18"/>
                <w:szCs w:val="18"/>
                <w:lang w:eastAsia="en-GB"/>
              </w:rPr>
              <w:t>47</w:t>
            </w:r>
            <w:r>
              <w:rPr>
                <w:b/>
                <w:bCs/>
                <w:sz w:val="18"/>
                <w:szCs w:val="18"/>
                <w:lang w:eastAsia="en-GB"/>
              </w:rPr>
              <w:t xml:space="preserve"> </w:t>
            </w:r>
            <w:r w:rsidRPr="003A63EA">
              <w:rPr>
                <w:b/>
                <w:bCs/>
                <w:sz w:val="18"/>
                <w:szCs w:val="18"/>
                <w:lang w:eastAsia="en-GB"/>
              </w:rPr>
              <w:t>259</w:t>
            </w:r>
          </w:p>
        </w:tc>
      </w:tr>
    </w:tbl>
    <w:p w14:paraId="60807B26" w14:textId="77777777" w:rsidR="00761B6C" w:rsidRPr="00236418" w:rsidRDefault="00761B6C" w:rsidP="003A1E34">
      <w:pPr>
        <w:pStyle w:val="Headingb"/>
        <w:spacing w:before="240" w:after="120"/>
      </w:pPr>
      <w:bookmarkStart w:id="2455" w:name="_Toc329178808"/>
      <w:bookmarkStart w:id="2456" w:name="_Toc329181781"/>
      <w:bookmarkStart w:id="2457" w:name="_Toc329202609"/>
      <w:bookmarkStart w:id="2458" w:name="_Toc329205041"/>
      <w:bookmarkStart w:id="2459" w:name="_Toc329206878"/>
      <w:bookmarkStart w:id="2460" w:name="_Toc358379958"/>
      <w:bookmarkStart w:id="2461" w:name="_Toc358380501"/>
      <w:bookmarkStart w:id="2462" w:name="_Toc387166669"/>
      <w:bookmarkStart w:id="2463" w:name="_Toc395260954"/>
      <w:bookmarkStart w:id="2464" w:name="_Toc395511741"/>
      <w:bookmarkStart w:id="2465" w:name="_Toc452138643"/>
      <w:bookmarkStart w:id="2466" w:name="_Toc452139092"/>
      <w:bookmarkStart w:id="2467" w:name="_Toc452139456"/>
      <w:bookmarkStart w:id="2468" w:name="_Toc452139862"/>
      <w:bookmarkStart w:id="2469" w:name="_Toc452140736"/>
      <w:bookmarkStart w:id="2470" w:name="_Toc482801525"/>
      <w:bookmarkStart w:id="2471" w:name="_Toc511649504"/>
      <w:bookmarkStart w:id="2472" w:name="_Toc511649867"/>
      <w:bookmarkStart w:id="2473" w:name="_Toc511649990"/>
      <w:bookmarkStart w:id="2474" w:name="_Toc511651250"/>
      <w:bookmarkStart w:id="2475" w:name="_Toc511724113"/>
      <w:bookmarkStart w:id="2476" w:name="_Toc511739102"/>
      <w:bookmarkStart w:id="2477" w:name="_Toc511741273"/>
      <w:bookmarkStart w:id="2478" w:name="_Toc10450786"/>
      <w:bookmarkStart w:id="2479" w:name="_Toc41566372"/>
      <w:bookmarkStart w:id="2480" w:name="_Toc41567383"/>
      <w:bookmarkStart w:id="2481" w:name="_Toc41567879"/>
      <w:bookmarkStart w:id="2482" w:name="_Toc41814976"/>
      <w:bookmarkStart w:id="2483" w:name="_Toc73354473"/>
      <w:bookmarkStart w:id="2484" w:name="_Toc73356456"/>
      <w:r w:rsidRPr="00236418">
        <w:t>Note 27</w:t>
      </w:r>
      <w:r w:rsidRPr="00236418">
        <w:tab/>
        <w:t>Informations relatives aux parties liées</w:t>
      </w:r>
      <w:bookmarkEnd w:id="2453"/>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r w:rsidRPr="00236418">
        <w:t xml:space="preserve"> </w:t>
      </w:r>
      <w:bookmarkEnd w:id="2454"/>
    </w:p>
    <w:p w14:paraId="3C01425D" w14:textId="77777777" w:rsidR="00761B6C" w:rsidRPr="00236418" w:rsidRDefault="00761B6C" w:rsidP="00761B6C">
      <w:r w:rsidRPr="00236418">
        <w:t>L</w:t>
      </w:r>
      <w:r>
        <w:t>'</w:t>
      </w:r>
      <w:r w:rsidRPr="00236418">
        <w:t>entité suivante est à considérer comme partie liée:</w:t>
      </w:r>
    </w:p>
    <w:p w14:paraId="175BB04C" w14:textId="77777777" w:rsidR="00761B6C" w:rsidRPr="00236418" w:rsidRDefault="00761B6C" w:rsidP="00761B6C">
      <w:pPr>
        <w:pStyle w:val="enumlev1"/>
        <w:rPr>
          <w:color w:val="000000"/>
        </w:rPr>
      </w:pPr>
      <w:r w:rsidRPr="00236418">
        <w:rPr>
          <w:color w:val="000000"/>
        </w:rPr>
        <w:t>–</w:t>
      </w:r>
      <w:r w:rsidRPr="00236418">
        <w:rPr>
          <w:color w:val="000000"/>
        </w:rPr>
        <w:tab/>
        <w:t xml:space="preserve">La </w:t>
      </w:r>
      <w:r w:rsidRPr="00236418">
        <w:t>Caisse commune des pensions du personnel des Nations Unies (CCPPNU).</w:t>
      </w:r>
    </w:p>
    <w:p w14:paraId="3387042A" w14:textId="77777777" w:rsidR="00761B6C" w:rsidRPr="00236418" w:rsidRDefault="00761B6C" w:rsidP="00761B6C">
      <w:r w:rsidRPr="00236418">
        <w:t>Le Conseil d</w:t>
      </w:r>
      <w:r>
        <w:t>'</w:t>
      </w:r>
      <w:r w:rsidRPr="00236418">
        <w:t>Administration de l</w:t>
      </w:r>
      <w:r>
        <w:t>'</w:t>
      </w:r>
      <w:r w:rsidRPr="00236418">
        <w:t>Union se compose de 48 États Membres, sans désignation de personnes spécifiques</w:t>
      </w:r>
      <w:r w:rsidRPr="00236418">
        <w:rPr>
          <w:rFonts w:cstheme="minorHAnsi"/>
          <w:bCs/>
          <w:color w:val="000000" w:themeColor="text1"/>
          <w:spacing w:val="-4"/>
          <w:w w:val="105"/>
        </w:rPr>
        <w:t>.</w:t>
      </w:r>
    </w:p>
    <w:p w14:paraId="5DB78DB5" w14:textId="77777777" w:rsidR="00761B6C" w:rsidRPr="00236418" w:rsidRDefault="00761B6C" w:rsidP="00761B6C">
      <w:r w:rsidRPr="00236418">
        <w:t>L</w:t>
      </w:r>
      <w:r>
        <w:t>'</w:t>
      </w:r>
      <w:r w:rsidRPr="00236418">
        <w:t>Union est gérée par le Secrétaire général, qui en assure la direction, aidé en cela par le Vice</w:t>
      </w:r>
      <w:r w:rsidRPr="00236418">
        <w:noBreakHyphen/>
        <w:t xml:space="preserve">Secrétaire général et par trois Directeurs des Secteurs suivants (cadres de haut niveau siégeant au Conseil exécutif): le Secteur des radiocommunications (UIT-R), le Secteur de la normalisation des télécommunications (UIT-T) et le Secteur du développement des télécommunications (UIT-D). </w:t>
      </w:r>
      <w:r w:rsidRPr="00236418">
        <w:rPr>
          <w:color w:val="000000"/>
        </w:rPr>
        <w:t xml:space="preserve">Les cinq fonctionnaires élus sont assistés par </w:t>
      </w:r>
      <w:r>
        <w:rPr>
          <w:color w:val="000000"/>
        </w:rPr>
        <w:t>quatre</w:t>
      </w:r>
      <w:r w:rsidRPr="00236418">
        <w:rPr>
          <w:color w:val="000000"/>
        </w:rPr>
        <w:t xml:space="preserve"> hauts responsables de grade D.2 et </w:t>
      </w:r>
      <w:r>
        <w:rPr>
          <w:color w:val="000000"/>
        </w:rPr>
        <w:t>20</w:t>
      </w:r>
      <w:r w:rsidRPr="00236418">
        <w:rPr>
          <w:color w:val="000000"/>
        </w:rPr>
        <w:t xml:space="preserve"> autres responsables de grade D.1 (chefs de département et ou d</w:t>
      </w:r>
      <w:r>
        <w:rPr>
          <w:color w:val="000000"/>
        </w:rPr>
        <w:t>'</w:t>
      </w:r>
      <w:r w:rsidRPr="00236418">
        <w:rPr>
          <w:color w:val="000000"/>
        </w:rPr>
        <w:t>unité).</w:t>
      </w:r>
    </w:p>
    <w:p w14:paraId="65C43969" w14:textId="77777777" w:rsidR="00761B6C" w:rsidRPr="00236418" w:rsidRDefault="00761B6C" w:rsidP="00761B6C">
      <w:r w:rsidRPr="00236418">
        <w:t>La rémunération globale payée au personnel clé de direction comprend le traitement net, l</w:t>
      </w:r>
      <w:r>
        <w:t>'</w:t>
      </w:r>
      <w:r w:rsidRPr="00236418">
        <w:t>indemnité de poste, des indemnités comme l</w:t>
      </w:r>
      <w:r>
        <w:t>'</w:t>
      </w:r>
      <w:r w:rsidRPr="00236418">
        <w:t>indemnité pour frais de représentation, l</w:t>
      </w:r>
      <w:r>
        <w:t>'</w:t>
      </w:r>
      <w:r w:rsidRPr="00236418">
        <w:t>indemnité d</w:t>
      </w:r>
      <w:r>
        <w:t>'</w:t>
      </w:r>
      <w:r w:rsidRPr="00236418">
        <w:t>affectation, l</w:t>
      </w:r>
      <w:r>
        <w:t>'</w:t>
      </w:r>
      <w:r w:rsidRPr="00236418">
        <w:t>indemnité de rapatriement, les congés accumulés, l</w:t>
      </w:r>
      <w:r>
        <w:t>'</w:t>
      </w:r>
      <w:r w:rsidRPr="00236418">
        <w:t>allocation logement, et l</w:t>
      </w:r>
      <w:r>
        <w:t>'</w:t>
      </w:r>
      <w:r w:rsidRPr="00236418">
        <w:t xml:space="preserve">expédition des effets personnels. </w:t>
      </w:r>
    </w:p>
    <w:p w14:paraId="33DB571F" w14:textId="77777777" w:rsidR="00761B6C" w:rsidRPr="00236418" w:rsidRDefault="00761B6C" w:rsidP="00761B6C">
      <w:pPr>
        <w:rPr>
          <w:rFonts w:asciiTheme="minorHAnsi" w:eastAsia="Calibri" w:hAnsiTheme="minorHAnsi"/>
          <w:color w:val="000000" w:themeColor="text1"/>
        </w:rPr>
      </w:pPr>
      <w:r w:rsidRPr="00236418">
        <w:rPr>
          <w:rFonts w:asciiTheme="minorHAnsi" w:eastAsia="Calibri" w:hAnsiTheme="minorHAnsi"/>
          <w:color w:val="000000" w:themeColor="text1"/>
        </w:rPr>
        <w:t>Le personnel clé de direction a également droit aux mêmes prestations que le personnel de la catégorie professionnelle, à savoir:</w:t>
      </w:r>
    </w:p>
    <w:p w14:paraId="00AA2246" w14:textId="77777777" w:rsidR="00761B6C" w:rsidRPr="00236418" w:rsidRDefault="00761B6C" w:rsidP="00761B6C">
      <w:pPr>
        <w:pStyle w:val="enumlev1"/>
      </w:pPr>
      <w:r w:rsidRPr="00236418">
        <w:t>–</w:t>
      </w:r>
      <w:r w:rsidRPr="00236418">
        <w:tab/>
        <w:t>Les congés dans les foyers.</w:t>
      </w:r>
    </w:p>
    <w:p w14:paraId="19F17B06" w14:textId="77777777" w:rsidR="00761B6C" w:rsidRPr="00236418" w:rsidRDefault="00761B6C" w:rsidP="00761B6C">
      <w:pPr>
        <w:pStyle w:val="enumlev1"/>
      </w:pPr>
      <w:r w:rsidRPr="00236418">
        <w:t>–</w:t>
      </w:r>
      <w:r w:rsidRPr="00236418">
        <w:tab/>
        <w:t>L</w:t>
      </w:r>
      <w:r>
        <w:t>'</w:t>
      </w:r>
      <w:r w:rsidRPr="00236418">
        <w:t>indemnité pour frais d</w:t>
      </w:r>
      <w:r>
        <w:t>'</w:t>
      </w:r>
      <w:r w:rsidRPr="00236418">
        <w:t>études.</w:t>
      </w:r>
    </w:p>
    <w:p w14:paraId="6009535F" w14:textId="77777777" w:rsidR="00761B6C" w:rsidRPr="00236418" w:rsidRDefault="00761B6C" w:rsidP="00761B6C">
      <w:pPr>
        <w:pStyle w:val="enumlev1"/>
      </w:pPr>
      <w:r w:rsidRPr="00236418">
        <w:t>–</w:t>
      </w:r>
      <w:r w:rsidRPr="00236418">
        <w:tab/>
        <w:t>Des prestations après la cessation de service.</w:t>
      </w:r>
    </w:p>
    <w:p w14:paraId="60D03FB6" w14:textId="77777777" w:rsidR="00761B6C" w:rsidRPr="00236418" w:rsidRDefault="00761B6C" w:rsidP="00761B6C">
      <w:pPr>
        <w:rPr>
          <w:rFonts w:cstheme="minorHAnsi"/>
          <w:b/>
          <w:bCs/>
          <w:spacing w:val="-4"/>
          <w:w w:val="105"/>
        </w:rPr>
      </w:pPr>
      <w:r w:rsidRPr="00236418">
        <w:t>Ces prestations ne peuvent pas être quantifiées séparément de façon fiable</w:t>
      </w:r>
      <w:r w:rsidRPr="00236418">
        <w:rPr>
          <w:rFonts w:cstheme="minorHAnsi"/>
          <w:bCs/>
          <w:spacing w:val="-4"/>
          <w:w w:val="105"/>
        </w:rPr>
        <w:t>.</w:t>
      </w:r>
    </w:p>
    <w:p w14:paraId="30290355" w14:textId="77777777" w:rsidR="00761B6C" w:rsidRPr="00236418" w:rsidRDefault="00761B6C" w:rsidP="00761B6C">
      <w:pPr>
        <w:spacing w:after="240"/>
      </w:pPr>
      <w:r w:rsidRPr="00236418">
        <w:t>Les membres du personnel clé de direction sont participants ordinaires à la Caisse commune des pensions du personnel des Nations Unies.</w:t>
      </w:r>
    </w:p>
    <w:p w14:paraId="3071A208" w14:textId="77777777" w:rsidR="00761B6C" w:rsidRPr="00236418" w:rsidRDefault="00761B6C" w:rsidP="00761B6C">
      <w:pPr>
        <w:spacing w:before="60"/>
        <w:rPr>
          <w:sz w:val="2"/>
          <w:szCs w:val="2"/>
        </w:rPr>
      </w:pP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74"/>
        <w:gridCol w:w="1366"/>
        <w:gridCol w:w="1559"/>
        <w:gridCol w:w="1185"/>
        <w:gridCol w:w="1650"/>
      </w:tblGrid>
      <w:tr w:rsidR="00761B6C" w:rsidRPr="00236418" w14:paraId="3304EC5B" w14:textId="77777777" w:rsidTr="00761B6C">
        <w:trPr>
          <w:trHeight w:val="434"/>
          <w:jc w:val="center"/>
        </w:trPr>
        <w:tc>
          <w:tcPr>
            <w:tcW w:w="3874" w:type="dxa"/>
            <w:tcBorders>
              <w:bottom w:val="nil"/>
              <w:right w:val="single" w:sz="4" w:space="0" w:color="auto"/>
            </w:tcBorders>
          </w:tcPr>
          <w:p w14:paraId="1261D1B2" w14:textId="77777777" w:rsidR="00761B6C" w:rsidRPr="00236418" w:rsidRDefault="00761B6C" w:rsidP="00FA013B">
            <w:pPr>
              <w:pStyle w:val="Tablehead"/>
              <w:spacing w:before="20" w:after="20"/>
              <w:rPr>
                <w:sz w:val="20"/>
              </w:rPr>
            </w:pPr>
          </w:p>
        </w:tc>
        <w:tc>
          <w:tcPr>
            <w:tcW w:w="2925" w:type="dxa"/>
            <w:gridSpan w:val="2"/>
            <w:tcBorders>
              <w:bottom w:val="nil"/>
              <w:right w:val="single" w:sz="4" w:space="0" w:color="auto"/>
            </w:tcBorders>
          </w:tcPr>
          <w:p w14:paraId="4DB64366" w14:textId="77777777" w:rsidR="00761B6C" w:rsidRPr="00236418" w:rsidRDefault="00761B6C" w:rsidP="00FA013B">
            <w:pPr>
              <w:pStyle w:val="Tablehead"/>
              <w:spacing w:before="20" w:after="20"/>
              <w:rPr>
                <w:sz w:val="20"/>
              </w:rPr>
            </w:pPr>
            <w:r w:rsidRPr="00236418">
              <w:rPr>
                <w:sz w:val="20"/>
              </w:rPr>
              <w:t>31.12.20</w:t>
            </w:r>
            <w:r>
              <w:rPr>
                <w:sz w:val="20"/>
              </w:rPr>
              <w:t>20</w:t>
            </w:r>
          </w:p>
        </w:tc>
        <w:tc>
          <w:tcPr>
            <w:tcW w:w="2835" w:type="dxa"/>
            <w:gridSpan w:val="2"/>
            <w:tcBorders>
              <w:top w:val="single" w:sz="4" w:space="0" w:color="auto"/>
              <w:left w:val="single" w:sz="4" w:space="0" w:color="auto"/>
              <w:bottom w:val="nil"/>
              <w:right w:val="single" w:sz="4" w:space="0" w:color="auto"/>
            </w:tcBorders>
          </w:tcPr>
          <w:p w14:paraId="6444808F" w14:textId="77777777" w:rsidR="00761B6C" w:rsidRPr="00236418" w:rsidRDefault="00761B6C" w:rsidP="00FA013B">
            <w:pPr>
              <w:pStyle w:val="Tablehead"/>
              <w:spacing w:before="20" w:after="20"/>
              <w:rPr>
                <w:sz w:val="20"/>
              </w:rPr>
            </w:pPr>
            <w:r w:rsidRPr="00236418">
              <w:rPr>
                <w:sz w:val="20"/>
              </w:rPr>
              <w:t>31.12.2019</w:t>
            </w:r>
          </w:p>
        </w:tc>
      </w:tr>
      <w:tr w:rsidR="00761B6C" w:rsidRPr="00236418" w14:paraId="6D21D637" w14:textId="77777777" w:rsidTr="00761B6C">
        <w:trPr>
          <w:jc w:val="center"/>
        </w:trPr>
        <w:tc>
          <w:tcPr>
            <w:tcW w:w="3874" w:type="dxa"/>
            <w:tcBorders>
              <w:top w:val="nil"/>
              <w:bottom w:val="single" w:sz="4" w:space="0" w:color="auto"/>
              <w:right w:val="single" w:sz="4" w:space="0" w:color="auto"/>
            </w:tcBorders>
          </w:tcPr>
          <w:p w14:paraId="5EEC22F1" w14:textId="77777777" w:rsidR="00761B6C" w:rsidRPr="00236418" w:rsidRDefault="00761B6C" w:rsidP="00FA013B">
            <w:pPr>
              <w:pStyle w:val="Tablehead"/>
              <w:spacing w:before="20" w:after="20"/>
              <w:rPr>
                <w:sz w:val="20"/>
              </w:rPr>
            </w:pPr>
            <w:r w:rsidRPr="00236418">
              <w:rPr>
                <w:sz w:val="20"/>
              </w:rPr>
              <w:t>En milliers</w:t>
            </w:r>
            <w:r>
              <w:rPr>
                <w:sz w:val="20"/>
              </w:rPr>
              <w:t xml:space="preserve"> </w:t>
            </w:r>
            <w:r w:rsidRPr="00236418">
              <w:rPr>
                <w:sz w:val="20"/>
              </w:rPr>
              <w:t>CHF</w:t>
            </w:r>
          </w:p>
        </w:tc>
        <w:tc>
          <w:tcPr>
            <w:tcW w:w="1366" w:type="dxa"/>
            <w:tcBorders>
              <w:top w:val="nil"/>
              <w:bottom w:val="single" w:sz="4" w:space="0" w:color="auto"/>
              <w:right w:val="nil"/>
            </w:tcBorders>
          </w:tcPr>
          <w:p w14:paraId="2405671F" w14:textId="77777777" w:rsidR="00761B6C" w:rsidRPr="00236418" w:rsidRDefault="00761B6C" w:rsidP="00FA013B">
            <w:pPr>
              <w:pStyle w:val="Tablehead"/>
              <w:spacing w:before="20" w:after="20"/>
              <w:rPr>
                <w:sz w:val="20"/>
              </w:rPr>
            </w:pPr>
            <w:r w:rsidRPr="00236418">
              <w:rPr>
                <w:sz w:val="20"/>
              </w:rPr>
              <w:t>Nombre de personnes</w:t>
            </w:r>
          </w:p>
        </w:tc>
        <w:tc>
          <w:tcPr>
            <w:tcW w:w="1559" w:type="dxa"/>
            <w:tcBorders>
              <w:top w:val="nil"/>
              <w:left w:val="nil"/>
              <w:bottom w:val="single" w:sz="4" w:space="0" w:color="auto"/>
              <w:right w:val="single" w:sz="4" w:space="0" w:color="auto"/>
            </w:tcBorders>
          </w:tcPr>
          <w:p w14:paraId="7E51D57E" w14:textId="77777777" w:rsidR="00761B6C" w:rsidRPr="00236418" w:rsidRDefault="00761B6C" w:rsidP="00FA013B">
            <w:pPr>
              <w:pStyle w:val="Tablehead"/>
              <w:spacing w:before="20" w:after="20"/>
              <w:rPr>
                <w:sz w:val="20"/>
              </w:rPr>
            </w:pPr>
            <w:r w:rsidRPr="00236418">
              <w:rPr>
                <w:sz w:val="20"/>
              </w:rPr>
              <w:t>Rémunérations globales</w:t>
            </w:r>
          </w:p>
        </w:tc>
        <w:tc>
          <w:tcPr>
            <w:tcW w:w="1185" w:type="dxa"/>
            <w:tcBorders>
              <w:top w:val="nil"/>
              <w:left w:val="single" w:sz="4" w:space="0" w:color="auto"/>
              <w:bottom w:val="single" w:sz="4" w:space="0" w:color="auto"/>
            </w:tcBorders>
            <w:tcMar>
              <w:left w:w="57" w:type="dxa"/>
              <w:right w:w="57" w:type="dxa"/>
            </w:tcMar>
          </w:tcPr>
          <w:p w14:paraId="24783CAF" w14:textId="77777777" w:rsidR="00761B6C" w:rsidRPr="00236418" w:rsidRDefault="00761B6C" w:rsidP="00FA013B">
            <w:pPr>
              <w:pStyle w:val="Tablehead"/>
              <w:spacing w:before="20" w:after="20"/>
              <w:rPr>
                <w:sz w:val="20"/>
              </w:rPr>
            </w:pPr>
            <w:r w:rsidRPr="00236418">
              <w:rPr>
                <w:sz w:val="20"/>
              </w:rPr>
              <w:t>Nombre de personnes</w:t>
            </w:r>
          </w:p>
        </w:tc>
        <w:tc>
          <w:tcPr>
            <w:tcW w:w="1650" w:type="dxa"/>
            <w:tcBorders>
              <w:top w:val="nil"/>
              <w:bottom w:val="single" w:sz="4" w:space="0" w:color="auto"/>
              <w:right w:val="single" w:sz="4" w:space="0" w:color="auto"/>
            </w:tcBorders>
            <w:tcMar>
              <w:left w:w="57" w:type="dxa"/>
              <w:right w:w="57" w:type="dxa"/>
            </w:tcMar>
          </w:tcPr>
          <w:p w14:paraId="33BCCD6E" w14:textId="77777777" w:rsidR="00761B6C" w:rsidRPr="00236418" w:rsidRDefault="00761B6C" w:rsidP="00FA013B">
            <w:pPr>
              <w:pStyle w:val="Tablehead"/>
              <w:spacing w:before="20" w:after="20"/>
              <w:rPr>
                <w:sz w:val="20"/>
              </w:rPr>
            </w:pPr>
            <w:r w:rsidRPr="00236418">
              <w:rPr>
                <w:sz w:val="20"/>
              </w:rPr>
              <w:t>Rémunérations globales</w:t>
            </w:r>
          </w:p>
        </w:tc>
      </w:tr>
      <w:tr w:rsidR="00761B6C" w:rsidRPr="00236418" w14:paraId="384EF0ED" w14:textId="77777777" w:rsidTr="00761B6C">
        <w:trPr>
          <w:jc w:val="center"/>
        </w:trPr>
        <w:tc>
          <w:tcPr>
            <w:tcW w:w="3874" w:type="dxa"/>
            <w:tcBorders>
              <w:top w:val="nil"/>
              <w:right w:val="single" w:sz="4" w:space="0" w:color="auto"/>
            </w:tcBorders>
          </w:tcPr>
          <w:p w14:paraId="4623F357" w14:textId="77777777" w:rsidR="00761B6C" w:rsidRPr="00236418" w:rsidRDefault="00761B6C" w:rsidP="00FA013B">
            <w:pPr>
              <w:pStyle w:val="Tabletext"/>
              <w:spacing w:before="20" w:after="20"/>
              <w:rPr>
                <w:rFonts w:eastAsia="Calibri"/>
                <w:sz w:val="20"/>
              </w:rPr>
            </w:pPr>
            <w:r w:rsidRPr="00236418">
              <w:rPr>
                <w:rFonts w:eastAsia="Calibri"/>
                <w:sz w:val="20"/>
              </w:rPr>
              <w:t>5 fonctionnaires élus</w:t>
            </w:r>
          </w:p>
        </w:tc>
        <w:tc>
          <w:tcPr>
            <w:tcW w:w="1366" w:type="dxa"/>
            <w:tcBorders>
              <w:top w:val="nil"/>
              <w:right w:val="single" w:sz="4" w:space="0" w:color="auto"/>
            </w:tcBorders>
          </w:tcPr>
          <w:p w14:paraId="6C3B3814"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5</w:t>
            </w:r>
          </w:p>
        </w:tc>
        <w:tc>
          <w:tcPr>
            <w:tcW w:w="1559" w:type="dxa"/>
            <w:tcBorders>
              <w:top w:val="nil"/>
              <w:right w:val="single" w:sz="4" w:space="0" w:color="auto"/>
            </w:tcBorders>
          </w:tcPr>
          <w:p w14:paraId="36E3518D"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2 135</w:t>
            </w:r>
          </w:p>
        </w:tc>
        <w:tc>
          <w:tcPr>
            <w:tcW w:w="1185" w:type="dxa"/>
            <w:tcBorders>
              <w:top w:val="single" w:sz="4" w:space="0" w:color="auto"/>
              <w:left w:val="single" w:sz="4" w:space="0" w:color="auto"/>
              <w:bottom w:val="nil"/>
              <w:right w:val="nil"/>
            </w:tcBorders>
            <w:vAlign w:val="center"/>
          </w:tcPr>
          <w:p w14:paraId="49BC527B"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sidRPr="00236418">
              <w:rPr>
                <w:rFonts w:cs="Arial"/>
                <w:color w:val="000000"/>
                <w:sz w:val="22"/>
                <w:szCs w:val="22"/>
                <w:lang w:eastAsia="zh-CN"/>
              </w:rPr>
              <w:t>5</w:t>
            </w:r>
          </w:p>
        </w:tc>
        <w:tc>
          <w:tcPr>
            <w:tcW w:w="1650" w:type="dxa"/>
            <w:tcBorders>
              <w:top w:val="single" w:sz="4" w:space="0" w:color="auto"/>
              <w:left w:val="nil"/>
              <w:bottom w:val="nil"/>
              <w:right w:val="single" w:sz="4" w:space="0" w:color="auto"/>
            </w:tcBorders>
            <w:vAlign w:val="center"/>
          </w:tcPr>
          <w:p w14:paraId="58B524BB"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sidRPr="00236418">
              <w:rPr>
                <w:rFonts w:cs="Arial"/>
                <w:color w:val="000000"/>
                <w:sz w:val="22"/>
                <w:szCs w:val="22"/>
                <w:lang w:eastAsia="zh-CN"/>
              </w:rPr>
              <w:t>2 270</w:t>
            </w:r>
          </w:p>
        </w:tc>
      </w:tr>
      <w:tr w:rsidR="00761B6C" w:rsidRPr="00236418" w14:paraId="7A6330B5" w14:textId="77777777" w:rsidTr="00761B6C">
        <w:trPr>
          <w:jc w:val="center"/>
        </w:trPr>
        <w:tc>
          <w:tcPr>
            <w:tcW w:w="3874" w:type="dxa"/>
            <w:tcBorders>
              <w:top w:val="single" w:sz="4" w:space="0" w:color="auto"/>
              <w:bottom w:val="single" w:sz="4" w:space="0" w:color="auto"/>
              <w:right w:val="single" w:sz="4" w:space="0" w:color="auto"/>
            </w:tcBorders>
          </w:tcPr>
          <w:p w14:paraId="477D8984" w14:textId="77777777" w:rsidR="00761B6C" w:rsidRPr="00236418" w:rsidRDefault="00761B6C" w:rsidP="00FA013B">
            <w:pPr>
              <w:pStyle w:val="Tabletext"/>
              <w:spacing w:before="20" w:after="20"/>
              <w:rPr>
                <w:rFonts w:eastAsia="Calibri"/>
                <w:b/>
                <w:bCs/>
                <w:sz w:val="20"/>
              </w:rPr>
            </w:pPr>
            <w:r w:rsidRPr="00236418">
              <w:rPr>
                <w:rFonts w:eastAsia="Calibri"/>
                <w:b/>
                <w:bCs/>
                <w:sz w:val="20"/>
              </w:rPr>
              <w:t>Principaux dirigeants</w:t>
            </w:r>
          </w:p>
        </w:tc>
        <w:tc>
          <w:tcPr>
            <w:tcW w:w="1366" w:type="dxa"/>
            <w:tcBorders>
              <w:right w:val="single" w:sz="4" w:space="0" w:color="auto"/>
            </w:tcBorders>
          </w:tcPr>
          <w:p w14:paraId="3611697E"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5</w:t>
            </w:r>
          </w:p>
        </w:tc>
        <w:tc>
          <w:tcPr>
            <w:tcW w:w="1559" w:type="dxa"/>
            <w:tcBorders>
              <w:right w:val="single" w:sz="4" w:space="0" w:color="auto"/>
            </w:tcBorders>
          </w:tcPr>
          <w:p w14:paraId="5508C6C3"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2 135</w:t>
            </w:r>
          </w:p>
        </w:tc>
        <w:tc>
          <w:tcPr>
            <w:tcW w:w="1185" w:type="dxa"/>
            <w:tcBorders>
              <w:top w:val="nil"/>
              <w:left w:val="single" w:sz="4" w:space="0" w:color="auto"/>
              <w:bottom w:val="nil"/>
              <w:right w:val="nil"/>
            </w:tcBorders>
            <w:vAlign w:val="center"/>
          </w:tcPr>
          <w:p w14:paraId="4CBE0553"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sidRPr="00236418">
              <w:rPr>
                <w:rFonts w:cs="Arial"/>
                <w:b/>
                <w:bCs/>
                <w:color w:val="000000"/>
                <w:sz w:val="22"/>
                <w:szCs w:val="22"/>
                <w:lang w:eastAsia="zh-CN"/>
              </w:rPr>
              <w:t>5</w:t>
            </w:r>
          </w:p>
        </w:tc>
        <w:tc>
          <w:tcPr>
            <w:tcW w:w="1650" w:type="dxa"/>
            <w:tcBorders>
              <w:top w:val="nil"/>
              <w:left w:val="nil"/>
              <w:bottom w:val="nil"/>
              <w:right w:val="single" w:sz="4" w:space="0" w:color="auto"/>
            </w:tcBorders>
            <w:vAlign w:val="center"/>
          </w:tcPr>
          <w:p w14:paraId="30DF1CDE"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sidRPr="00236418">
              <w:rPr>
                <w:rFonts w:cs="Arial"/>
                <w:b/>
                <w:bCs/>
                <w:color w:val="000000"/>
                <w:sz w:val="22"/>
                <w:szCs w:val="22"/>
                <w:lang w:eastAsia="zh-CN"/>
              </w:rPr>
              <w:t>2 270</w:t>
            </w:r>
          </w:p>
        </w:tc>
      </w:tr>
      <w:tr w:rsidR="00761B6C" w:rsidRPr="00236418" w14:paraId="445B580F" w14:textId="77777777" w:rsidTr="00761B6C">
        <w:trPr>
          <w:jc w:val="center"/>
        </w:trPr>
        <w:tc>
          <w:tcPr>
            <w:tcW w:w="3874" w:type="dxa"/>
            <w:tcBorders>
              <w:right w:val="single" w:sz="4" w:space="0" w:color="auto"/>
            </w:tcBorders>
          </w:tcPr>
          <w:p w14:paraId="4A509B92" w14:textId="77777777" w:rsidR="00761B6C" w:rsidRPr="00236418" w:rsidRDefault="00761B6C" w:rsidP="00FA013B">
            <w:pPr>
              <w:pStyle w:val="Tabletext"/>
              <w:spacing w:before="20" w:after="20"/>
              <w:rPr>
                <w:rFonts w:eastAsia="Calibri"/>
                <w:sz w:val="20"/>
              </w:rPr>
            </w:pPr>
            <w:r w:rsidRPr="00236418">
              <w:rPr>
                <w:rFonts w:eastAsia="Calibri"/>
                <w:sz w:val="20"/>
              </w:rPr>
              <w:t>Directeurs D.2</w:t>
            </w:r>
          </w:p>
        </w:tc>
        <w:tc>
          <w:tcPr>
            <w:tcW w:w="1366" w:type="dxa"/>
            <w:tcBorders>
              <w:right w:val="single" w:sz="4" w:space="0" w:color="auto"/>
            </w:tcBorders>
          </w:tcPr>
          <w:p w14:paraId="116D07C9"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4</w:t>
            </w:r>
          </w:p>
        </w:tc>
        <w:tc>
          <w:tcPr>
            <w:tcW w:w="1559" w:type="dxa"/>
            <w:tcBorders>
              <w:right w:val="single" w:sz="4" w:space="0" w:color="auto"/>
            </w:tcBorders>
          </w:tcPr>
          <w:p w14:paraId="1ED05209"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1 147</w:t>
            </w:r>
          </w:p>
        </w:tc>
        <w:tc>
          <w:tcPr>
            <w:tcW w:w="1185" w:type="dxa"/>
            <w:tcBorders>
              <w:top w:val="nil"/>
              <w:left w:val="single" w:sz="4" w:space="0" w:color="auto"/>
              <w:bottom w:val="nil"/>
              <w:right w:val="nil"/>
            </w:tcBorders>
            <w:vAlign w:val="center"/>
          </w:tcPr>
          <w:p w14:paraId="38E7D699"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sidRPr="00236418">
              <w:rPr>
                <w:rFonts w:cs="Arial"/>
                <w:color w:val="000000"/>
                <w:sz w:val="22"/>
                <w:szCs w:val="22"/>
                <w:lang w:eastAsia="zh-CN"/>
              </w:rPr>
              <w:t>3</w:t>
            </w:r>
          </w:p>
        </w:tc>
        <w:tc>
          <w:tcPr>
            <w:tcW w:w="1650" w:type="dxa"/>
            <w:tcBorders>
              <w:top w:val="nil"/>
              <w:left w:val="nil"/>
              <w:bottom w:val="nil"/>
              <w:right w:val="single" w:sz="4" w:space="0" w:color="auto"/>
            </w:tcBorders>
            <w:vAlign w:val="center"/>
          </w:tcPr>
          <w:p w14:paraId="31206F52"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sidRPr="00236418">
              <w:rPr>
                <w:rFonts w:cs="Arial"/>
                <w:color w:val="000000"/>
                <w:sz w:val="22"/>
                <w:szCs w:val="22"/>
                <w:lang w:eastAsia="zh-CN"/>
              </w:rPr>
              <w:t>775</w:t>
            </w:r>
          </w:p>
        </w:tc>
      </w:tr>
      <w:tr w:rsidR="00761B6C" w:rsidRPr="00236418" w14:paraId="5F49E90B" w14:textId="77777777" w:rsidTr="00761B6C">
        <w:trPr>
          <w:jc w:val="center"/>
        </w:trPr>
        <w:tc>
          <w:tcPr>
            <w:tcW w:w="3874" w:type="dxa"/>
            <w:tcBorders>
              <w:bottom w:val="nil"/>
              <w:right w:val="single" w:sz="4" w:space="0" w:color="auto"/>
            </w:tcBorders>
          </w:tcPr>
          <w:p w14:paraId="7F4E04EC" w14:textId="77777777" w:rsidR="00761B6C" w:rsidRPr="00236418" w:rsidRDefault="00761B6C" w:rsidP="00FA013B">
            <w:pPr>
              <w:pStyle w:val="Tabletext"/>
              <w:spacing w:before="20" w:after="20"/>
              <w:rPr>
                <w:rFonts w:eastAsia="Calibri"/>
                <w:sz w:val="20"/>
              </w:rPr>
            </w:pPr>
            <w:r w:rsidRPr="00236418">
              <w:rPr>
                <w:rFonts w:eastAsia="Calibri"/>
                <w:sz w:val="20"/>
              </w:rPr>
              <w:lastRenderedPageBreak/>
              <w:t>Directeurs D.1</w:t>
            </w:r>
          </w:p>
        </w:tc>
        <w:tc>
          <w:tcPr>
            <w:tcW w:w="1366" w:type="dxa"/>
            <w:tcBorders>
              <w:right w:val="single" w:sz="4" w:space="0" w:color="auto"/>
            </w:tcBorders>
          </w:tcPr>
          <w:p w14:paraId="6F1FCAE4"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20</w:t>
            </w:r>
          </w:p>
        </w:tc>
        <w:tc>
          <w:tcPr>
            <w:tcW w:w="1559" w:type="dxa"/>
            <w:tcBorders>
              <w:right w:val="single" w:sz="4" w:space="0" w:color="auto"/>
            </w:tcBorders>
          </w:tcPr>
          <w:p w14:paraId="31B78218"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Pr>
                <w:rFonts w:cs="Arial"/>
                <w:color w:val="000000"/>
                <w:sz w:val="22"/>
                <w:szCs w:val="22"/>
                <w:lang w:eastAsia="zh-CN"/>
              </w:rPr>
              <w:t>4 723</w:t>
            </w:r>
          </w:p>
        </w:tc>
        <w:tc>
          <w:tcPr>
            <w:tcW w:w="1185" w:type="dxa"/>
            <w:tcBorders>
              <w:top w:val="nil"/>
              <w:left w:val="single" w:sz="4" w:space="0" w:color="auto"/>
              <w:bottom w:val="nil"/>
              <w:right w:val="nil"/>
            </w:tcBorders>
            <w:vAlign w:val="center"/>
          </w:tcPr>
          <w:p w14:paraId="68069088"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sidRPr="00236418">
              <w:rPr>
                <w:rFonts w:cs="Arial"/>
                <w:color w:val="000000"/>
                <w:sz w:val="22"/>
                <w:szCs w:val="22"/>
                <w:lang w:eastAsia="zh-CN"/>
              </w:rPr>
              <w:t>18</w:t>
            </w:r>
          </w:p>
        </w:tc>
        <w:tc>
          <w:tcPr>
            <w:tcW w:w="1650" w:type="dxa"/>
            <w:tcBorders>
              <w:top w:val="nil"/>
              <w:left w:val="nil"/>
              <w:bottom w:val="nil"/>
              <w:right w:val="single" w:sz="4" w:space="0" w:color="auto"/>
            </w:tcBorders>
            <w:vAlign w:val="center"/>
          </w:tcPr>
          <w:p w14:paraId="5EE3ABFD"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22"/>
                <w:szCs w:val="22"/>
                <w:lang w:eastAsia="zh-CN"/>
              </w:rPr>
            </w:pPr>
            <w:r w:rsidRPr="00236418">
              <w:rPr>
                <w:rFonts w:cs="Arial"/>
                <w:color w:val="000000"/>
                <w:sz w:val="22"/>
                <w:szCs w:val="22"/>
                <w:lang w:eastAsia="zh-CN"/>
              </w:rPr>
              <w:t>5 728</w:t>
            </w:r>
          </w:p>
        </w:tc>
      </w:tr>
      <w:tr w:rsidR="00761B6C" w:rsidRPr="00236418" w14:paraId="32D539F9" w14:textId="77777777" w:rsidTr="00761B6C">
        <w:trPr>
          <w:jc w:val="center"/>
        </w:trPr>
        <w:tc>
          <w:tcPr>
            <w:tcW w:w="3874" w:type="dxa"/>
            <w:tcBorders>
              <w:top w:val="single" w:sz="4" w:space="0" w:color="auto"/>
              <w:bottom w:val="single" w:sz="4" w:space="0" w:color="auto"/>
              <w:right w:val="single" w:sz="4" w:space="0" w:color="auto"/>
            </w:tcBorders>
          </w:tcPr>
          <w:p w14:paraId="317E268F" w14:textId="77777777" w:rsidR="00761B6C" w:rsidRPr="00236418" w:rsidRDefault="00761B6C" w:rsidP="00FA013B">
            <w:pPr>
              <w:pStyle w:val="Tabletext"/>
              <w:spacing w:before="20" w:after="20"/>
              <w:rPr>
                <w:rFonts w:eastAsia="Calibri"/>
                <w:b/>
                <w:bCs/>
                <w:sz w:val="20"/>
              </w:rPr>
            </w:pPr>
            <w:r w:rsidRPr="00236418">
              <w:rPr>
                <w:rFonts w:eastAsia="Calibri"/>
                <w:b/>
                <w:bCs/>
                <w:sz w:val="20"/>
              </w:rPr>
              <w:t>Total des chefs de départements</w:t>
            </w:r>
          </w:p>
        </w:tc>
        <w:tc>
          <w:tcPr>
            <w:tcW w:w="1366" w:type="dxa"/>
            <w:tcBorders>
              <w:right w:val="single" w:sz="4" w:space="0" w:color="auto"/>
            </w:tcBorders>
          </w:tcPr>
          <w:p w14:paraId="4F9A1470"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24</w:t>
            </w:r>
          </w:p>
        </w:tc>
        <w:tc>
          <w:tcPr>
            <w:tcW w:w="1559" w:type="dxa"/>
            <w:tcBorders>
              <w:right w:val="single" w:sz="4" w:space="0" w:color="auto"/>
            </w:tcBorders>
          </w:tcPr>
          <w:p w14:paraId="650EFA61"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5 870</w:t>
            </w:r>
          </w:p>
        </w:tc>
        <w:tc>
          <w:tcPr>
            <w:tcW w:w="1185" w:type="dxa"/>
            <w:tcBorders>
              <w:top w:val="nil"/>
              <w:left w:val="single" w:sz="4" w:space="0" w:color="auto"/>
              <w:bottom w:val="nil"/>
              <w:right w:val="nil"/>
            </w:tcBorders>
            <w:vAlign w:val="center"/>
          </w:tcPr>
          <w:p w14:paraId="0AA85872"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sidRPr="00236418">
              <w:rPr>
                <w:rFonts w:cs="Arial"/>
                <w:b/>
                <w:bCs/>
                <w:color w:val="000000"/>
                <w:sz w:val="22"/>
                <w:szCs w:val="22"/>
                <w:lang w:eastAsia="zh-CN"/>
              </w:rPr>
              <w:t>21</w:t>
            </w:r>
          </w:p>
        </w:tc>
        <w:tc>
          <w:tcPr>
            <w:tcW w:w="1650" w:type="dxa"/>
            <w:tcBorders>
              <w:top w:val="nil"/>
              <w:left w:val="nil"/>
              <w:bottom w:val="nil"/>
              <w:right w:val="single" w:sz="4" w:space="0" w:color="auto"/>
            </w:tcBorders>
            <w:vAlign w:val="center"/>
          </w:tcPr>
          <w:p w14:paraId="7755D4E5"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sidRPr="00236418">
              <w:rPr>
                <w:rFonts w:cs="Arial"/>
                <w:b/>
                <w:bCs/>
                <w:color w:val="000000"/>
                <w:sz w:val="22"/>
                <w:szCs w:val="22"/>
                <w:lang w:eastAsia="zh-CN"/>
              </w:rPr>
              <w:t>6 503</w:t>
            </w:r>
          </w:p>
        </w:tc>
      </w:tr>
      <w:tr w:rsidR="00761B6C" w:rsidRPr="00236418" w14:paraId="223EF97C" w14:textId="77777777" w:rsidTr="00761B6C">
        <w:trPr>
          <w:trHeight w:val="349"/>
          <w:jc w:val="center"/>
        </w:trPr>
        <w:tc>
          <w:tcPr>
            <w:tcW w:w="3874" w:type="dxa"/>
            <w:tcBorders>
              <w:top w:val="single" w:sz="4" w:space="0" w:color="auto"/>
              <w:bottom w:val="single" w:sz="4" w:space="0" w:color="auto"/>
              <w:right w:val="single" w:sz="4" w:space="0" w:color="auto"/>
            </w:tcBorders>
            <w:vAlign w:val="center"/>
          </w:tcPr>
          <w:p w14:paraId="391DC4C6" w14:textId="77777777" w:rsidR="00761B6C" w:rsidRPr="00236418" w:rsidRDefault="00761B6C" w:rsidP="00FA013B">
            <w:pPr>
              <w:pStyle w:val="Tabletext"/>
              <w:spacing w:before="20" w:after="20"/>
              <w:rPr>
                <w:rFonts w:eastAsia="Calibri"/>
                <w:b/>
                <w:bCs/>
                <w:sz w:val="20"/>
              </w:rPr>
            </w:pPr>
            <w:r w:rsidRPr="00236418">
              <w:rPr>
                <w:rFonts w:eastAsia="Calibri"/>
                <w:b/>
                <w:bCs/>
                <w:sz w:val="20"/>
              </w:rPr>
              <w:t>Total des principaux dirigeants – UIT</w:t>
            </w:r>
          </w:p>
        </w:tc>
        <w:tc>
          <w:tcPr>
            <w:tcW w:w="1366" w:type="dxa"/>
            <w:tcBorders>
              <w:bottom w:val="single" w:sz="4" w:space="0" w:color="auto"/>
              <w:right w:val="single" w:sz="4" w:space="0" w:color="auto"/>
            </w:tcBorders>
          </w:tcPr>
          <w:p w14:paraId="4612A610"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29</w:t>
            </w:r>
          </w:p>
        </w:tc>
        <w:tc>
          <w:tcPr>
            <w:tcW w:w="1559" w:type="dxa"/>
            <w:tcBorders>
              <w:bottom w:val="single" w:sz="4" w:space="0" w:color="auto"/>
              <w:right w:val="single" w:sz="4" w:space="0" w:color="auto"/>
            </w:tcBorders>
          </w:tcPr>
          <w:p w14:paraId="54798E40"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Pr>
                <w:rFonts w:cs="Arial"/>
                <w:b/>
                <w:bCs/>
                <w:color w:val="000000"/>
                <w:sz w:val="22"/>
                <w:szCs w:val="22"/>
                <w:lang w:eastAsia="zh-CN"/>
              </w:rPr>
              <w:t>8 005</w:t>
            </w:r>
          </w:p>
        </w:tc>
        <w:tc>
          <w:tcPr>
            <w:tcW w:w="1185" w:type="dxa"/>
            <w:tcBorders>
              <w:top w:val="nil"/>
              <w:left w:val="single" w:sz="4" w:space="0" w:color="auto"/>
              <w:bottom w:val="single" w:sz="4" w:space="0" w:color="auto"/>
              <w:right w:val="nil"/>
            </w:tcBorders>
            <w:vAlign w:val="center"/>
          </w:tcPr>
          <w:p w14:paraId="5653104E"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sidRPr="00236418">
              <w:rPr>
                <w:rFonts w:cs="Arial"/>
                <w:b/>
                <w:bCs/>
                <w:color w:val="000000"/>
                <w:sz w:val="22"/>
                <w:szCs w:val="22"/>
                <w:lang w:eastAsia="zh-CN"/>
              </w:rPr>
              <w:t>26</w:t>
            </w:r>
          </w:p>
        </w:tc>
        <w:tc>
          <w:tcPr>
            <w:tcW w:w="1650" w:type="dxa"/>
            <w:tcBorders>
              <w:top w:val="nil"/>
              <w:left w:val="nil"/>
              <w:bottom w:val="single" w:sz="4" w:space="0" w:color="auto"/>
              <w:right w:val="single" w:sz="4" w:space="0" w:color="auto"/>
            </w:tcBorders>
            <w:vAlign w:val="center"/>
          </w:tcPr>
          <w:p w14:paraId="4BA55F1F" w14:textId="77777777" w:rsidR="00761B6C" w:rsidRPr="00236418" w:rsidRDefault="00761B6C" w:rsidP="00FA013B">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22"/>
                <w:szCs w:val="22"/>
                <w:lang w:eastAsia="zh-CN"/>
              </w:rPr>
            </w:pPr>
            <w:r w:rsidRPr="00236418">
              <w:rPr>
                <w:rFonts w:cs="Arial"/>
                <w:b/>
                <w:bCs/>
                <w:color w:val="000000"/>
                <w:sz w:val="22"/>
                <w:szCs w:val="22"/>
                <w:lang w:eastAsia="zh-CN"/>
              </w:rPr>
              <w:t>8 773</w:t>
            </w:r>
          </w:p>
        </w:tc>
      </w:tr>
    </w:tbl>
    <w:p w14:paraId="64F5DFFD" w14:textId="77777777" w:rsidR="00761B6C" w:rsidRPr="00236418" w:rsidRDefault="00761B6C" w:rsidP="003A1E34">
      <w:pPr>
        <w:pStyle w:val="Headingb"/>
        <w:spacing w:before="240"/>
      </w:pPr>
      <w:bookmarkStart w:id="2485" w:name="_Toc358379959"/>
      <w:bookmarkStart w:id="2486" w:name="_Toc358380502"/>
      <w:bookmarkStart w:id="2487" w:name="_Toc387166670"/>
      <w:bookmarkStart w:id="2488" w:name="_Toc395260955"/>
      <w:bookmarkStart w:id="2489" w:name="_Toc395511742"/>
      <w:bookmarkStart w:id="2490" w:name="_Toc452138644"/>
      <w:bookmarkStart w:id="2491" w:name="_Toc452139093"/>
      <w:bookmarkStart w:id="2492" w:name="_Toc452139457"/>
      <w:bookmarkStart w:id="2493" w:name="_Toc452139863"/>
      <w:bookmarkStart w:id="2494" w:name="_Toc452140737"/>
      <w:bookmarkStart w:id="2495" w:name="_Toc482801526"/>
      <w:bookmarkStart w:id="2496" w:name="_Toc511649505"/>
      <w:bookmarkStart w:id="2497" w:name="_Toc511649868"/>
      <w:bookmarkStart w:id="2498" w:name="_Toc511649991"/>
      <w:bookmarkStart w:id="2499" w:name="_Toc511651251"/>
      <w:bookmarkStart w:id="2500" w:name="_Toc511724114"/>
      <w:bookmarkStart w:id="2501" w:name="_Toc511739103"/>
      <w:bookmarkStart w:id="2502" w:name="_Toc511741274"/>
      <w:bookmarkStart w:id="2503" w:name="_Toc10450787"/>
      <w:bookmarkStart w:id="2504" w:name="_Toc41566373"/>
      <w:bookmarkStart w:id="2505" w:name="_Toc41567384"/>
      <w:bookmarkStart w:id="2506" w:name="_Toc41567880"/>
      <w:bookmarkStart w:id="2507" w:name="_Toc41814977"/>
      <w:bookmarkStart w:id="2508" w:name="_Toc73354474"/>
      <w:bookmarkStart w:id="2509" w:name="_Toc73356457"/>
      <w:r w:rsidRPr="00236418">
        <w:t>Note 28</w:t>
      </w:r>
      <w:r w:rsidRPr="00236418">
        <w:tab/>
        <w:t>Engagements</w:t>
      </w:r>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p>
    <w:p w14:paraId="479ED3DD" w14:textId="2D4AD48F" w:rsidR="00761B6C" w:rsidRPr="00236418" w:rsidRDefault="00761B6C" w:rsidP="00761B6C">
      <w:r w:rsidRPr="008562E7">
        <w:t>En rejoignant l</w:t>
      </w:r>
      <w:r>
        <w:t>'</w:t>
      </w:r>
      <w:r w:rsidRPr="008562E7">
        <w:t>UNSMIS à compter du</w:t>
      </w:r>
      <w:r>
        <w:t xml:space="preserve"> 1</w:t>
      </w:r>
      <w:r w:rsidRPr="00A268D9">
        <w:t xml:space="preserve">er </w:t>
      </w:r>
      <w:r>
        <w:t xml:space="preserve">janvier 2021, l'UIT a signé un contrat définissant le paiement des contributions extraordinaires. </w:t>
      </w:r>
      <w:r w:rsidRPr="008562E7">
        <w:t>Ces contributions r</w:t>
      </w:r>
      <w:r w:rsidR="00FA013B">
        <w:t>eprésentent un montant total de </w:t>
      </w:r>
      <w:r w:rsidRPr="008562E7">
        <w:t>22,53 millions USD r</w:t>
      </w:r>
      <w:r>
        <w:t>épartis sur 13 ans. Le premier versement a été effectué en 2020</w:t>
      </w:r>
      <w:r w:rsidRPr="0066219B">
        <w:t>.</w:t>
      </w:r>
    </w:p>
    <w:p w14:paraId="33328ECA" w14:textId="77777777" w:rsidR="00761B6C" w:rsidRPr="00236418" w:rsidRDefault="00761B6C" w:rsidP="003A1E34">
      <w:pPr>
        <w:pStyle w:val="Headingb"/>
        <w:spacing w:before="240"/>
      </w:pPr>
      <w:bookmarkStart w:id="2510" w:name="_Toc268007574"/>
      <w:bookmarkStart w:id="2511" w:name="_Toc329178810"/>
      <w:bookmarkStart w:id="2512" w:name="_Toc329181783"/>
      <w:bookmarkStart w:id="2513" w:name="_Toc329202611"/>
      <w:bookmarkStart w:id="2514" w:name="_Toc329205043"/>
      <w:bookmarkStart w:id="2515" w:name="_Toc329206880"/>
      <w:bookmarkStart w:id="2516" w:name="_Toc358379960"/>
      <w:bookmarkStart w:id="2517" w:name="_Toc358380503"/>
      <w:bookmarkStart w:id="2518" w:name="_Toc387166671"/>
      <w:bookmarkStart w:id="2519" w:name="_Toc395260956"/>
      <w:bookmarkStart w:id="2520" w:name="_Toc395511743"/>
      <w:bookmarkStart w:id="2521" w:name="_Toc452138645"/>
      <w:bookmarkStart w:id="2522" w:name="_Toc452139094"/>
      <w:bookmarkStart w:id="2523" w:name="_Toc452139458"/>
      <w:bookmarkStart w:id="2524" w:name="_Toc452139864"/>
      <w:bookmarkStart w:id="2525" w:name="_Toc452140738"/>
      <w:bookmarkStart w:id="2526" w:name="_Toc482801527"/>
      <w:bookmarkStart w:id="2527" w:name="_Toc511649506"/>
      <w:bookmarkStart w:id="2528" w:name="_Toc511649869"/>
      <w:bookmarkStart w:id="2529" w:name="_Toc511649992"/>
      <w:bookmarkStart w:id="2530" w:name="_Toc511651252"/>
      <w:bookmarkStart w:id="2531" w:name="_Toc511724115"/>
      <w:bookmarkStart w:id="2532" w:name="_Toc511739104"/>
      <w:bookmarkStart w:id="2533" w:name="_Toc511741275"/>
      <w:bookmarkStart w:id="2534" w:name="_Toc10450788"/>
      <w:bookmarkStart w:id="2535" w:name="_Toc41566374"/>
      <w:bookmarkStart w:id="2536" w:name="_Toc41567385"/>
      <w:bookmarkStart w:id="2537" w:name="_Toc41567881"/>
      <w:bookmarkStart w:id="2538" w:name="_Toc41814978"/>
      <w:bookmarkStart w:id="2539" w:name="_Toc73354475"/>
      <w:bookmarkStart w:id="2540" w:name="_Toc73356458"/>
      <w:r w:rsidRPr="00236418">
        <w:t>Note 29</w:t>
      </w:r>
      <w:r w:rsidRPr="00236418">
        <w:tab/>
        <w:t>Événements postérieurs à la date du bilan</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14:paraId="359CBC7E" w14:textId="50CB2E5D" w:rsidR="00761B6C" w:rsidRPr="008562E7" w:rsidRDefault="00761B6C" w:rsidP="00761B6C">
      <w:r w:rsidRPr="008562E7">
        <w:t xml:space="preserve">Aucun événement postérieur à la date de clôture </w:t>
      </w:r>
      <w:r>
        <w:t>ayant une incidence</w:t>
      </w:r>
      <w:r w:rsidRPr="008562E7">
        <w:t xml:space="preserve"> significati</w:t>
      </w:r>
      <w:r>
        <w:t xml:space="preserve">ve </w:t>
      </w:r>
      <w:r w:rsidRPr="008562E7">
        <w:t>sur les états financiers de l</w:t>
      </w:r>
      <w:r>
        <w:t>'</w:t>
      </w:r>
      <w:r w:rsidRPr="008562E7">
        <w:t xml:space="preserve">exercice </w:t>
      </w:r>
      <w:r>
        <w:t>2020</w:t>
      </w:r>
      <w:r w:rsidRPr="008562E7">
        <w:t xml:space="preserve"> n</w:t>
      </w:r>
      <w:r>
        <w:t>'</w:t>
      </w:r>
      <w:r w:rsidRPr="008562E7">
        <w:t>est à relever après la signature des états financiers</w:t>
      </w:r>
      <w:r>
        <w:t xml:space="preserve"> par le Secrétaire général le 15 mars 2021</w:t>
      </w:r>
      <w:r w:rsidRPr="008562E7">
        <w:t xml:space="preserve"> et leur soumission au Conseil</w:t>
      </w:r>
      <w:r>
        <w:t xml:space="preserve">. </w:t>
      </w:r>
      <w:r w:rsidRPr="008562E7">
        <w:t>Néanmoins, la pandémie mondiale demeure un sujet de préoccupation e</w:t>
      </w:r>
      <w:r>
        <w:t xml:space="preserve">t le suivi des mesures déjà mises en </w:t>
      </w:r>
      <w:r w:rsidR="00062F0F">
        <w:t>œuvre</w:t>
      </w:r>
      <w:r>
        <w:t xml:space="preserve"> est effectué avec la plus grande attention</w:t>
      </w:r>
      <w:r w:rsidRPr="008562E7">
        <w:t>.</w:t>
      </w:r>
    </w:p>
    <w:p w14:paraId="6C28A05D" w14:textId="77777777" w:rsidR="003A1E34" w:rsidRDefault="003A1E34" w:rsidP="00332DBC">
      <w:pPr>
        <w:pStyle w:val="Heading1"/>
        <w:spacing w:before="360"/>
      </w:pPr>
      <w:bookmarkStart w:id="2541" w:name="_Toc329202612"/>
      <w:bookmarkStart w:id="2542" w:name="_Toc329205044"/>
      <w:bookmarkStart w:id="2543" w:name="_Toc329206881"/>
      <w:bookmarkStart w:id="2544" w:name="_Toc358379324"/>
      <w:bookmarkStart w:id="2545" w:name="_Toc358379961"/>
      <w:bookmarkStart w:id="2546" w:name="_Toc358380504"/>
      <w:bookmarkStart w:id="2547" w:name="_Toc387167505"/>
      <w:bookmarkStart w:id="2548" w:name="_Toc395260957"/>
      <w:bookmarkStart w:id="2549" w:name="_Toc395261099"/>
      <w:bookmarkStart w:id="2550" w:name="_Toc395511744"/>
      <w:bookmarkStart w:id="2551" w:name="_Toc452138646"/>
      <w:bookmarkStart w:id="2552" w:name="_Toc452139095"/>
      <w:bookmarkStart w:id="2553" w:name="_Toc452139459"/>
      <w:bookmarkStart w:id="2554" w:name="_Toc452139865"/>
      <w:bookmarkStart w:id="2555" w:name="_Toc452140739"/>
      <w:bookmarkStart w:id="2556" w:name="_Toc482888041"/>
      <w:bookmarkStart w:id="2557" w:name="_Toc482888792"/>
      <w:bookmarkStart w:id="2558" w:name="_Toc511649507"/>
      <w:bookmarkStart w:id="2559" w:name="_Toc511649870"/>
      <w:bookmarkStart w:id="2560" w:name="_Toc511649993"/>
      <w:bookmarkStart w:id="2561" w:name="_Toc511650113"/>
      <w:bookmarkStart w:id="2562" w:name="_Toc511650607"/>
      <w:bookmarkStart w:id="2563" w:name="_Toc511651253"/>
      <w:bookmarkStart w:id="2564" w:name="_Toc511724116"/>
      <w:bookmarkStart w:id="2565" w:name="_Toc511739105"/>
      <w:bookmarkStart w:id="2566" w:name="_Toc511740829"/>
      <w:bookmarkStart w:id="2567" w:name="_Toc511741276"/>
      <w:bookmarkStart w:id="2568" w:name="_Toc10450789"/>
      <w:bookmarkStart w:id="2569" w:name="_Toc41566375"/>
      <w:bookmarkStart w:id="2570" w:name="_Toc41567386"/>
      <w:bookmarkStart w:id="2571" w:name="_Toc41567882"/>
      <w:bookmarkStart w:id="2572" w:name="_Toc41814979"/>
      <w:bookmarkStart w:id="2573" w:name="_Toc73354476"/>
      <w:r>
        <w:br w:type="page"/>
      </w:r>
    </w:p>
    <w:p w14:paraId="3ADF0B06" w14:textId="3E3E03E8" w:rsidR="00761B6C" w:rsidRPr="00236418" w:rsidRDefault="00761B6C" w:rsidP="00332DBC">
      <w:pPr>
        <w:pStyle w:val="Heading1"/>
        <w:spacing w:before="360"/>
      </w:pPr>
      <w:bookmarkStart w:id="2574" w:name="_Toc73356459"/>
      <w:r w:rsidRPr="00236418">
        <w:lastRenderedPageBreak/>
        <w:t>I</w:t>
      </w:r>
      <w:r w:rsidRPr="00236418">
        <w:tab/>
        <w:t>BUDGET ORDINAIRE (ANNEXE B1)</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p>
    <w:p w14:paraId="19B6B162" w14:textId="77777777" w:rsidR="00761B6C" w:rsidRPr="00236418" w:rsidRDefault="00761B6C" w:rsidP="00761B6C">
      <w:pPr>
        <w:pStyle w:val="Headingb"/>
      </w:pPr>
      <w:bookmarkStart w:id="2575" w:name="_Toc358379325"/>
      <w:bookmarkStart w:id="2576" w:name="_Toc358380505"/>
      <w:bookmarkStart w:id="2577" w:name="_Toc387167506"/>
      <w:bookmarkStart w:id="2578" w:name="_Toc452138647"/>
      <w:bookmarkStart w:id="2579" w:name="_Toc452139096"/>
      <w:bookmarkStart w:id="2580" w:name="_Toc452139460"/>
      <w:bookmarkStart w:id="2581" w:name="_Toc452139866"/>
      <w:bookmarkStart w:id="2582" w:name="_Toc452140740"/>
      <w:bookmarkStart w:id="2583" w:name="_Toc482888793"/>
      <w:bookmarkStart w:id="2584" w:name="_Toc511649508"/>
      <w:bookmarkStart w:id="2585" w:name="_Toc511649871"/>
      <w:bookmarkStart w:id="2586" w:name="_Toc511649994"/>
      <w:bookmarkStart w:id="2587" w:name="_Toc511650114"/>
      <w:bookmarkStart w:id="2588" w:name="_Toc511650608"/>
      <w:bookmarkStart w:id="2589" w:name="_Toc511651254"/>
      <w:bookmarkStart w:id="2590" w:name="_Toc511724117"/>
      <w:bookmarkStart w:id="2591" w:name="_Toc511739106"/>
      <w:bookmarkStart w:id="2592" w:name="_Toc511741277"/>
      <w:bookmarkStart w:id="2593" w:name="_Toc10450790"/>
      <w:bookmarkStart w:id="2594" w:name="_Toc41566376"/>
      <w:bookmarkStart w:id="2595" w:name="_Toc41814980"/>
      <w:bookmarkStart w:id="2596" w:name="_Toc73354477"/>
      <w:bookmarkStart w:id="2597" w:name="_Toc73356460"/>
      <w:r w:rsidRPr="00236418">
        <w:t xml:space="preserve">Budget </w:t>
      </w:r>
      <w:bookmarkEnd w:id="2575"/>
      <w:bookmarkEnd w:id="2576"/>
      <w:r w:rsidRPr="00236418">
        <w:t>ordinaire</w:t>
      </w:r>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p>
    <w:p w14:paraId="10BFCC07" w14:textId="77777777" w:rsidR="00761B6C" w:rsidRPr="006B5E63" w:rsidRDefault="00761B6C" w:rsidP="00761B6C">
      <w:r w:rsidRPr="00236418">
        <w:t>5</w:t>
      </w:r>
      <w:r>
        <w:t>0</w:t>
      </w:r>
      <w:r w:rsidRPr="00236418">
        <w:tab/>
        <w:t>Pendant l</w:t>
      </w:r>
      <w:r>
        <w:t>'</w:t>
      </w:r>
      <w:r w:rsidRPr="00236418">
        <w:t>exercice 20</w:t>
      </w:r>
      <w:r>
        <w:t>20</w:t>
      </w:r>
      <w:r w:rsidRPr="00236418">
        <w:t xml:space="preserve">, les produits ainsi que les charges budgétés </w:t>
      </w:r>
      <w:r>
        <w:t xml:space="preserve">ont </w:t>
      </w:r>
      <w:r w:rsidRPr="00236418">
        <w:t>représent</w:t>
      </w:r>
      <w:r>
        <w:t xml:space="preserve">é </w:t>
      </w:r>
      <w:r w:rsidRPr="00236418">
        <w:t>1</w:t>
      </w:r>
      <w:r>
        <w:t>67</w:t>
      </w:r>
      <w:r w:rsidRPr="00236418">
        <w:t>,</w:t>
      </w:r>
      <w:r>
        <w:t>47</w:t>
      </w:r>
      <w:r w:rsidRPr="00236418">
        <w:t> millions CHF.</w:t>
      </w:r>
      <w:bookmarkStart w:id="2598" w:name="_Toc358379326"/>
      <w:bookmarkStart w:id="2599" w:name="_Toc358380506"/>
      <w:r>
        <w:t xml:space="preserve"> </w:t>
      </w:r>
      <w:r w:rsidRPr="006B5E63">
        <w:t>En raison du report de la CMDT</w:t>
      </w:r>
      <w:r w:rsidRPr="00763E32">
        <w:t xml:space="preserve"> </w:t>
      </w:r>
      <w:r w:rsidRPr="006B5E63">
        <w:t>et de l</w:t>
      </w:r>
      <w:r>
        <w:t>'</w:t>
      </w:r>
      <w:r w:rsidRPr="006B5E63">
        <w:t>AMNT,</w:t>
      </w:r>
      <w:r>
        <w:t xml:space="preserve"> </w:t>
      </w:r>
      <w:r w:rsidRPr="00763E32">
        <w:t>pour qu</w:t>
      </w:r>
      <w:r>
        <w:t>'</w:t>
      </w:r>
      <w:r w:rsidRPr="00763E32">
        <w:t>elle</w:t>
      </w:r>
      <w:r>
        <w:t>s</w:t>
      </w:r>
      <w:r w:rsidRPr="00763E32">
        <w:t xml:space="preserve"> se tienne</w:t>
      </w:r>
      <w:r>
        <w:t xml:space="preserve">nt respectivement </w:t>
      </w:r>
      <w:r w:rsidRPr="006B5E63">
        <w:t>en 2022</w:t>
      </w:r>
      <w:r>
        <w:t xml:space="preserve"> et en 2023, un montant de 1,86 million CHF a été </w:t>
      </w:r>
      <w:r>
        <w:rPr>
          <w:color w:val="000000"/>
        </w:rPr>
        <w:t>comptabilisé dans les</w:t>
      </w:r>
      <w:r>
        <w:t xml:space="preserve"> activités reportées, ce qui porte le budget définitif à 165,11 millions CHF.</w:t>
      </w:r>
    </w:p>
    <w:p w14:paraId="2902F0B3" w14:textId="77777777" w:rsidR="00761B6C" w:rsidRPr="00236418" w:rsidRDefault="00761B6C" w:rsidP="00761B6C">
      <w:pPr>
        <w:pStyle w:val="Headingb"/>
      </w:pPr>
      <w:bookmarkStart w:id="2600" w:name="_Toc511649509"/>
      <w:bookmarkStart w:id="2601" w:name="_Toc511649872"/>
      <w:bookmarkStart w:id="2602" w:name="_Toc511649995"/>
      <w:bookmarkStart w:id="2603" w:name="_Toc511650115"/>
      <w:bookmarkStart w:id="2604" w:name="_Toc511650609"/>
      <w:bookmarkStart w:id="2605" w:name="_Toc511651255"/>
      <w:bookmarkStart w:id="2606" w:name="_Toc511724118"/>
      <w:bookmarkStart w:id="2607" w:name="_Toc511739107"/>
      <w:bookmarkStart w:id="2608" w:name="_Toc511741278"/>
      <w:bookmarkStart w:id="2609" w:name="_Toc10450791"/>
      <w:bookmarkStart w:id="2610" w:name="_Toc41566377"/>
      <w:bookmarkStart w:id="2611" w:name="_Toc41814981"/>
      <w:bookmarkStart w:id="2612" w:name="_Toc73354478"/>
      <w:bookmarkStart w:id="2613" w:name="_Toc73356461"/>
      <w:r w:rsidRPr="00236418">
        <w:t>Produits</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14:paraId="70D8D9CB" w14:textId="77777777" w:rsidR="00761B6C" w:rsidRPr="00236418" w:rsidRDefault="00761B6C" w:rsidP="00761B6C">
      <w:r w:rsidRPr="00236418">
        <w:t>5</w:t>
      </w:r>
      <w:r>
        <w:t>1</w:t>
      </w:r>
      <w:r w:rsidRPr="00236418">
        <w:tab/>
        <w:t xml:space="preserve">Un budget de </w:t>
      </w:r>
      <w:r>
        <w:t>2</w:t>
      </w:r>
      <w:r w:rsidRPr="00236418">
        <w:t>,25 million</w:t>
      </w:r>
      <w:r>
        <w:t>s</w:t>
      </w:r>
      <w:r w:rsidRPr="00236418">
        <w:t xml:space="preserve"> CHF a été attribué pour les projets Bâtiment (0,75 million CHF) et TIC (</w:t>
      </w:r>
      <w:r>
        <w:t>1</w:t>
      </w:r>
      <w:r w:rsidRPr="00236418">
        <w:t>,5 million CHF) pour l</w:t>
      </w:r>
      <w:r>
        <w:t>'</w:t>
      </w:r>
      <w:r w:rsidRPr="00236418">
        <w:t>année 20</w:t>
      </w:r>
      <w:r>
        <w:t>20</w:t>
      </w:r>
      <w:r w:rsidRPr="00236418">
        <w:t>. Les charges connexes pour</w:t>
      </w:r>
      <w:r>
        <w:t xml:space="preserve"> </w:t>
      </w:r>
      <w:r w:rsidRPr="00236418">
        <w:t>20</w:t>
      </w:r>
      <w:r>
        <w:t>20</w:t>
      </w:r>
      <w:r w:rsidRPr="00236418">
        <w:t xml:space="preserve"> sont incluses dans les charges totales du Secrétariat général.</w:t>
      </w:r>
    </w:p>
    <w:p w14:paraId="4A28279F" w14:textId="77777777" w:rsidR="00761B6C" w:rsidRPr="00236418" w:rsidRDefault="00761B6C" w:rsidP="00761B6C">
      <w:pPr>
        <w:pStyle w:val="Headingb"/>
        <w:rPr>
          <w:bCs/>
        </w:rPr>
      </w:pPr>
      <w:bookmarkStart w:id="2614" w:name="_Toc482888795"/>
      <w:bookmarkStart w:id="2615" w:name="_Toc511649510"/>
      <w:bookmarkStart w:id="2616" w:name="_Toc511649873"/>
      <w:bookmarkStart w:id="2617" w:name="_Toc511649996"/>
      <w:bookmarkStart w:id="2618" w:name="_Toc511650116"/>
      <w:bookmarkStart w:id="2619" w:name="_Toc511650610"/>
      <w:bookmarkStart w:id="2620" w:name="_Toc511651256"/>
      <w:bookmarkStart w:id="2621" w:name="_Toc511724119"/>
      <w:bookmarkStart w:id="2622" w:name="_Toc511739108"/>
      <w:bookmarkStart w:id="2623" w:name="_Toc511741279"/>
      <w:bookmarkStart w:id="2624" w:name="_Toc10450792"/>
      <w:bookmarkStart w:id="2625" w:name="_Toc41566378"/>
      <w:bookmarkStart w:id="2626" w:name="_Toc41814982"/>
      <w:bookmarkStart w:id="2627" w:name="_Toc73354479"/>
      <w:bookmarkStart w:id="2628" w:name="_Toc73356462"/>
      <w:r w:rsidRPr="00236418">
        <w:t>Contributions mise en recouvrement</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bookmarkEnd w:id="2598"/>
    <w:bookmarkEnd w:id="2599"/>
    <w:p w14:paraId="0184E7BE" w14:textId="77777777" w:rsidR="00761B6C" w:rsidRPr="00236418" w:rsidRDefault="00761B6C" w:rsidP="00761B6C">
      <w:r w:rsidRPr="00236418">
        <w:t>5</w:t>
      </w:r>
      <w:r>
        <w:t>2</w:t>
      </w:r>
      <w:r w:rsidRPr="00236418">
        <w:tab/>
        <w:t>Les recettes provenant des contributions mises en recouvrement sont budgétées à 12</w:t>
      </w:r>
      <w:r>
        <w:t>5</w:t>
      </w:r>
      <w:r w:rsidRPr="00236418">
        <w:t>,</w:t>
      </w:r>
      <w:r>
        <w:t>55</w:t>
      </w:r>
      <w:r w:rsidRPr="00236418">
        <w:t> millions CHF par an pour l</w:t>
      </w:r>
      <w:r>
        <w:t>'</w:t>
      </w:r>
      <w:r w:rsidRPr="00236418">
        <w:t>exercice biennal</w:t>
      </w:r>
      <w:r>
        <w:t xml:space="preserve"> </w:t>
      </w:r>
      <w:r w:rsidRPr="00236418">
        <w:t>20</w:t>
      </w:r>
      <w:r>
        <w:t>20</w:t>
      </w:r>
      <w:r w:rsidRPr="00236418">
        <w:t>-20</w:t>
      </w:r>
      <w:r>
        <w:t>21</w:t>
      </w:r>
      <w:r w:rsidRPr="00236418">
        <w:t>. Le total des contributions effectivement mises en compte s</w:t>
      </w:r>
      <w:r>
        <w:t>'</w:t>
      </w:r>
      <w:r w:rsidRPr="00236418">
        <w:t>est élevé à 12</w:t>
      </w:r>
      <w:r>
        <w:t>5</w:t>
      </w:r>
      <w:r w:rsidRPr="00236418">
        <w:t>,</w:t>
      </w:r>
      <w:r>
        <w:t>74</w:t>
      </w:r>
      <w:r w:rsidRPr="00236418">
        <w:t> millions CHF en 20</w:t>
      </w:r>
      <w:r>
        <w:t>20</w:t>
      </w:r>
      <w:r w:rsidRPr="00236418">
        <w:t>.</w:t>
      </w:r>
    </w:p>
    <w:p w14:paraId="62BB037E" w14:textId="77777777" w:rsidR="00761B6C" w:rsidRPr="001D7ADD" w:rsidRDefault="00761B6C" w:rsidP="00761B6C">
      <w:r w:rsidRPr="001D7ADD">
        <w:t>53</w:t>
      </w:r>
      <w:r w:rsidRPr="001D7ADD">
        <w:tab/>
        <w:t xml:space="preserve">Malgré les difficultés liées au </w:t>
      </w:r>
      <w:r>
        <w:t xml:space="preserve">COVID et le ralentissement </w:t>
      </w:r>
      <w:r>
        <w:rPr>
          <w:color w:val="000000"/>
        </w:rPr>
        <w:t>de l'activité économique mondiale</w:t>
      </w:r>
      <w:r>
        <w:t xml:space="preserve">, et les regroupements qui en ont découlé dans le secteur privé, le nombre de membres de l'UIT est resté stable en 2020, et a même légèrement augmenté. </w:t>
      </w:r>
      <w:r w:rsidRPr="001D7ADD">
        <w:t>Le nombre de membres de l</w:t>
      </w:r>
      <w:r>
        <w:t>'</w:t>
      </w:r>
      <w:r w:rsidRPr="001D7ADD">
        <w:t>UIT s</w:t>
      </w:r>
      <w:r>
        <w:t>'</w:t>
      </w:r>
      <w:r w:rsidRPr="001D7ADD">
        <w:t>élève aujourd</w:t>
      </w:r>
      <w:r>
        <w:t>'</w:t>
      </w:r>
      <w:r w:rsidRPr="001D7ADD">
        <w:t>hui à 925 e</w:t>
      </w:r>
      <w:r>
        <w:t>ntités, soit le plus haut niveau jamais atteint, avec près de 100 nouveaux membres</w:t>
      </w:r>
      <w:r w:rsidRPr="001D7ADD">
        <w:t>.</w:t>
      </w:r>
    </w:p>
    <w:p w14:paraId="3B81DDB4" w14:textId="77777777" w:rsidR="00761B6C" w:rsidRPr="00432794" w:rsidRDefault="00761B6C" w:rsidP="00761B6C">
      <w:r w:rsidRPr="001D7ADD">
        <w:t>54</w:t>
      </w:r>
      <w:r w:rsidRPr="001D7ADD">
        <w:tab/>
      </w:r>
      <w:r>
        <w:rPr>
          <w:color w:val="000000"/>
        </w:rPr>
        <w:t>C'est dans le Secteur de l'UIT-T que l'augmentation du nombre de membres issus du secteur privé a été la plus forte.</w:t>
      </w:r>
      <w:r>
        <w:t xml:space="preserve"> </w:t>
      </w:r>
      <w:r w:rsidRPr="005E78CC">
        <w:t>Des établissements universitaires de renom spécialisés dans des domaines d</w:t>
      </w:r>
      <w:r>
        <w:t>'</w:t>
      </w:r>
      <w:r w:rsidRPr="005E78CC">
        <w:t>avant-garde sont devenus membres de l</w:t>
      </w:r>
      <w:r>
        <w:t>'</w:t>
      </w:r>
      <w:r w:rsidRPr="005E78CC">
        <w:t>UIT, attirés par les nouvelles activités.</w:t>
      </w:r>
    </w:p>
    <w:p w14:paraId="00231B09" w14:textId="77777777" w:rsidR="00761B6C" w:rsidRPr="008953FE" w:rsidRDefault="00761B6C" w:rsidP="00761B6C">
      <w:r w:rsidRPr="005E78CC">
        <w:t>55</w:t>
      </w:r>
      <w:r w:rsidRPr="005E78CC">
        <w:tab/>
        <w:t xml:space="preserve">En outre, de nouvelles contributions financières réduites pour les PME ont été mises en </w:t>
      </w:r>
      <w:r>
        <w:t xml:space="preserve">place en 2020, conformément à la Résolution 209 (Rév. </w:t>
      </w:r>
      <w:r w:rsidRPr="00432794">
        <w:t xml:space="preserve">Dubaï, 2018) de la Conférence de plénipotentiaires. </w:t>
      </w:r>
      <w:r w:rsidRPr="00B42B27">
        <w:t>À la suite d</w:t>
      </w:r>
      <w:r>
        <w:t>'</w:t>
      </w:r>
      <w:r w:rsidRPr="00B42B27">
        <w:t>efforts de marketing n</w:t>
      </w:r>
      <w:r>
        <w:t>umérique</w:t>
      </w:r>
      <w:r w:rsidRPr="00B42B27">
        <w:t xml:space="preserve"> et </w:t>
      </w:r>
      <w:r>
        <w:t>d'</w:t>
      </w:r>
      <w:r>
        <w:rPr>
          <w:color w:val="000000"/>
        </w:rPr>
        <w:t>activités de sensibilisation</w:t>
      </w:r>
      <w:r>
        <w:t>, l'UIT a accueilli 23 PME, dont 21 au sein de l'UIT-T et 2 au sein de l'UIT-R</w:t>
      </w:r>
      <w:r w:rsidRPr="00B42B27">
        <w:t>.</w:t>
      </w:r>
      <w:r>
        <w:t xml:space="preserve"> Près des </w:t>
      </w:r>
      <w:r w:rsidRPr="008953FE">
        <w:t>deux tiers des nouveaux Associés de l</w:t>
      </w:r>
      <w:r>
        <w:t>'UIT-T en 2020 répondaient aux critères requis concernant les contributions financières réduites pour les PME</w:t>
      </w:r>
      <w:r w:rsidRPr="008953FE">
        <w:t>.</w:t>
      </w:r>
    </w:p>
    <w:p w14:paraId="5DD0D72C" w14:textId="77777777" w:rsidR="00761B6C" w:rsidRPr="00467356" w:rsidRDefault="00761B6C" w:rsidP="00761B6C">
      <w:r w:rsidRPr="008953FE">
        <w:t>56</w:t>
      </w:r>
      <w:r w:rsidRPr="008953FE">
        <w:tab/>
        <w:t>Pour résumer, le</w:t>
      </w:r>
      <w:r>
        <w:t xml:space="preserve"> choix de </w:t>
      </w:r>
      <w:r w:rsidRPr="008953FE">
        <w:t>nouveaux t</w:t>
      </w:r>
      <w:r>
        <w:t>hèmes et les efforts particuliers qui ont été déployés contribuent à attirer de nouveaux acteurs au sein de l'UIT, ce qui permet aux membres de l'UIT d'évoluer vers plus d'inclusivité et de refléter l'écosystème des TIC en évolution</w:t>
      </w:r>
      <w:r w:rsidRPr="00467356">
        <w:t>.</w:t>
      </w:r>
    </w:p>
    <w:p w14:paraId="2FDBA7F3" w14:textId="77777777" w:rsidR="00761B6C" w:rsidRPr="00236418" w:rsidRDefault="00761B6C" w:rsidP="00761B6C">
      <w:pPr>
        <w:pStyle w:val="Headingb"/>
      </w:pPr>
      <w:bookmarkStart w:id="2629" w:name="_Toc387167507"/>
      <w:bookmarkStart w:id="2630" w:name="_Toc452138649"/>
      <w:bookmarkStart w:id="2631" w:name="_Toc452139098"/>
      <w:bookmarkStart w:id="2632" w:name="_Toc452139462"/>
      <w:bookmarkStart w:id="2633" w:name="_Toc452139868"/>
      <w:bookmarkStart w:id="2634" w:name="_Toc452140742"/>
      <w:bookmarkStart w:id="2635" w:name="_Toc482888796"/>
      <w:bookmarkStart w:id="2636" w:name="_Toc511649511"/>
      <w:bookmarkStart w:id="2637" w:name="_Toc511649874"/>
      <w:bookmarkStart w:id="2638" w:name="_Toc511649997"/>
      <w:bookmarkStart w:id="2639" w:name="_Toc511650117"/>
      <w:bookmarkStart w:id="2640" w:name="_Toc511650611"/>
      <w:bookmarkStart w:id="2641" w:name="_Toc511651257"/>
      <w:bookmarkStart w:id="2642" w:name="_Toc511724120"/>
      <w:bookmarkStart w:id="2643" w:name="_Toc511739109"/>
      <w:bookmarkStart w:id="2644" w:name="_Toc511741280"/>
      <w:bookmarkStart w:id="2645" w:name="_Toc10450793"/>
      <w:bookmarkStart w:id="2646" w:name="_Toc41566379"/>
      <w:bookmarkStart w:id="2647" w:name="_Toc41814983"/>
      <w:bookmarkStart w:id="2648" w:name="_Toc73354480"/>
      <w:bookmarkStart w:id="2649" w:name="_Toc73356463"/>
      <w:r w:rsidRPr="00236418">
        <w:t>Recettes au titre de l</w:t>
      </w:r>
      <w:r>
        <w:t>'</w:t>
      </w:r>
      <w:r w:rsidRPr="00236418">
        <w:t>appui aux projets</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p>
    <w:p w14:paraId="18C6EBE6" w14:textId="77777777" w:rsidR="00761B6C" w:rsidRPr="00236418" w:rsidRDefault="00761B6C" w:rsidP="00761B6C">
      <w:r>
        <w:t>57</w:t>
      </w:r>
      <w:r w:rsidRPr="00236418">
        <w:tab/>
        <w:t>Les recettes au titre de l</w:t>
      </w:r>
      <w:r>
        <w:t>'</w:t>
      </w:r>
      <w:r w:rsidRPr="00236418">
        <w:t>appui aux projets étaient budgétées à 1,37 million CHF pour 20</w:t>
      </w:r>
      <w:r>
        <w:t>20</w:t>
      </w:r>
      <w:r w:rsidRPr="00236418">
        <w:t>. Les recettes effectives se sont élevées à 0,</w:t>
      </w:r>
      <w:r>
        <w:t>2</w:t>
      </w:r>
      <w:r w:rsidRPr="00236418">
        <w:t xml:space="preserve"> million CHF, </w:t>
      </w:r>
      <w:r>
        <w:t>contre 0,4 million CHF en 2019</w:t>
      </w:r>
      <w:r w:rsidRPr="00236418">
        <w:t xml:space="preserve">. Les recettes sont comptabilisées uniquement si les projets sont mis en œuvre. </w:t>
      </w:r>
    </w:p>
    <w:p w14:paraId="22548922" w14:textId="77777777" w:rsidR="00761B6C" w:rsidRPr="00846C38" w:rsidRDefault="00761B6C" w:rsidP="00761B6C">
      <w:pPr>
        <w:pStyle w:val="Headingb"/>
      </w:pPr>
      <w:bookmarkStart w:id="2650" w:name="_Toc358379327"/>
      <w:bookmarkStart w:id="2651" w:name="_Toc358380507"/>
      <w:bookmarkStart w:id="2652" w:name="_Toc387167508"/>
      <w:bookmarkStart w:id="2653" w:name="_Toc452138650"/>
      <w:bookmarkStart w:id="2654" w:name="_Toc452139099"/>
      <w:bookmarkStart w:id="2655" w:name="_Toc452139463"/>
      <w:bookmarkStart w:id="2656" w:name="_Toc452139869"/>
      <w:bookmarkStart w:id="2657" w:name="_Toc452140743"/>
      <w:bookmarkStart w:id="2658" w:name="_Toc482888797"/>
      <w:bookmarkStart w:id="2659" w:name="_Toc511649512"/>
      <w:bookmarkStart w:id="2660" w:name="_Toc511649875"/>
      <w:bookmarkStart w:id="2661" w:name="_Toc511649998"/>
      <w:bookmarkStart w:id="2662" w:name="_Toc511650118"/>
      <w:bookmarkStart w:id="2663" w:name="_Toc511650612"/>
      <w:bookmarkStart w:id="2664" w:name="_Toc511651258"/>
      <w:bookmarkStart w:id="2665" w:name="_Toc511724121"/>
      <w:bookmarkStart w:id="2666" w:name="_Toc511739110"/>
      <w:bookmarkStart w:id="2667" w:name="_Toc511741281"/>
      <w:bookmarkStart w:id="2668" w:name="_Toc10450794"/>
      <w:bookmarkStart w:id="2669" w:name="_Toc41566380"/>
      <w:bookmarkStart w:id="2670" w:name="_Toc41814984"/>
      <w:bookmarkStart w:id="2671" w:name="_Toc73354481"/>
      <w:bookmarkStart w:id="2672" w:name="_Toc73356464"/>
      <w:bookmarkStart w:id="2673" w:name="_Toc358379328"/>
      <w:bookmarkStart w:id="2674" w:name="_Toc358380508"/>
      <w:bookmarkStart w:id="2675" w:name="_Toc387167509"/>
      <w:bookmarkStart w:id="2676" w:name="_Toc452138651"/>
      <w:bookmarkStart w:id="2677" w:name="_Toc452139100"/>
      <w:bookmarkStart w:id="2678" w:name="_Toc452139464"/>
      <w:bookmarkStart w:id="2679" w:name="_Toc452139870"/>
      <w:bookmarkStart w:id="2680" w:name="_Toc452140744"/>
      <w:r w:rsidRPr="00846C38">
        <w:t>Ventes de publications</w:t>
      </w:r>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p>
    <w:p w14:paraId="201DA822" w14:textId="0763739A" w:rsidR="00761B6C" w:rsidRPr="00432794" w:rsidRDefault="00761B6C" w:rsidP="00761B6C">
      <w:r w:rsidRPr="00432794">
        <w:t>58</w:t>
      </w:r>
      <w:r w:rsidRPr="00432794">
        <w:tab/>
        <w:t>Les produits tirés de l</w:t>
      </w:r>
      <w:r>
        <w:t xml:space="preserve">a vente de publications en 2020 se sont élevés à 17,12 millions CHF, ce qui représente une augmentation de 10% par rapport aux recettes </w:t>
      </w:r>
      <w:r w:rsidR="00FA013B">
        <w:t>effectives tirées des ventes en </w:t>
      </w:r>
      <w:r>
        <w:t>2019 (15,61 millions CHF) et 90% du budget pour 2020.</w:t>
      </w:r>
    </w:p>
    <w:p w14:paraId="2CC7DE78" w14:textId="587736F8" w:rsidR="00761B6C" w:rsidRPr="00236418" w:rsidRDefault="00761B6C" w:rsidP="00761B6C">
      <w:pPr>
        <w:keepNext/>
        <w:keepLines/>
      </w:pPr>
      <w:r>
        <w:lastRenderedPageBreak/>
        <w:t>59</w:t>
      </w:r>
      <w:r w:rsidRPr="00236418">
        <w:tab/>
      </w:r>
      <w:r>
        <w:t>En 2020, l</w:t>
      </w:r>
      <w:r w:rsidRPr="00236418">
        <w:t xml:space="preserve">es ventes ont augmenté principalement en raison </w:t>
      </w:r>
      <w:r>
        <w:t xml:space="preserve">du lancement, au quatrième trimestre, de deux publications actualisées tous les quatre ans, à savoir le Règlement des radiocommunications (édition de 2020) et le Manuel </w:t>
      </w:r>
      <w:r w:rsidRPr="00432794">
        <w:t>à l</w:t>
      </w:r>
      <w:r>
        <w:t>'</w:t>
      </w:r>
      <w:r w:rsidRPr="00432794">
        <w:t>usage des services mobiles maritime et mobile maritime par satellite</w:t>
      </w:r>
      <w:r>
        <w:t xml:space="preserve"> (édition de 2020 du Manuel sur le service maritime).</w:t>
      </w:r>
      <w:r w:rsidRPr="00236418">
        <w:t xml:space="preserve"> Les activités de développement des ventes ont consisté à ajouter </w:t>
      </w:r>
      <w:r>
        <w:t>deux</w:t>
      </w:r>
      <w:r w:rsidRPr="00236418">
        <w:t xml:space="preserve"> nouve</w:t>
      </w:r>
      <w:r w:rsidR="00FA013B">
        <w:t>aux revendeurs dans le monde en </w:t>
      </w:r>
      <w:r w:rsidRPr="00236418">
        <w:t>20</w:t>
      </w:r>
      <w:r>
        <w:t>20</w:t>
      </w:r>
      <w:r w:rsidRPr="00236418">
        <w:t>, afin de continuer à élargir les canaux de diffusion, ainsi qu</w:t>
      </w:r>
      <w:r>
        <w:t>'</w:t>
      </w:r>
      <w:r w:rsidRPr="00236418">
        <w:t xml:space="preserve">à </w:t>
      </w:r>
      <w:r>
        <w:t xml:space="preserve">continuer de </w:t>
      </w:r>
      <w:r w:rsidRPr="00236418">
        <w:t xml:space="preserve">renforcer </w:t>
      </w:r>
      <w:r>
        <w:t>l</w:t>
      </w:r>
      <w:r w:rsidRPr="00236418">
        <w:t>es campagnes menées auprès des inspecteurs des ports afin de faire connaître les éléments concernant la lutte contre la contrefaçon</w:t>
      </w:r>
      <w:r>
        <w:t>, qui figurent désormais</w:t>
      </w:r>
      <w:r w:rsidRPr="00236418">
        <w:t xml:space="preserve"> dans toutes les publications de service de l</w:t>
      </w:r>
      <w:r>
        <w:t>'</w:t>
      </w:r>
      <w:r w:rsidRPr="00236418">
        <w:t>UIT relatives au service maritime.</w:t>
      </w:r>
    </w:p>
    <w:p w14:paraId="0AAE6B54" w14:textId="77777777" w:rsidR="00761B6C" w:rsidRPr="00236418" w:rsidRDefault="00761B6C" w:rsidP="00761B6C">
      <w:r w:rsidRPr="00236418">
        <w:t>6</w:t>
      </w:r>
      <w:r>
        <w:t>0</w:t>
      </w:r>
      <w:r w:rsidRPr="00236418">
        <w:tab/>
        <w:t>Bien que la grande majorité des contenus et titres de l</w:t>
      </w:r>
      <w:r>
        <w:t>'</w:t>
      </w:r>
      <w:r w:rsidRPr="00236418">
        <w:t>UIT soit désormais accessible gratuitement en ligne, les grands clients traditionnels utilisant les statistiques sur les télécommunications dans le monde (par exemple, Economist Intelligence Unit, Financial Times, Ernst &amp; Young, etc.) ont renouvelé l</w:t>
      </w:r>
      <w:r>
        <w:t>'</w:t>
      </w:r>
      <w:r w:rsidRPr="00236418">
        <w:t>accord de licence personnalisé en matière de données qu</w:t>
      </w:r>
      <w:r>
        <w:t>'</w:t>
      </w:r>
      <w:r w:rsidRPr="00236418">
        <w:t>ils avaient signé pour la base de données de l</w:t>
      </w:r>
      <w:r>
        <w:t>'</w:t>
      </w:r>
      <w:r w:rsidRPr="00236418">
        <w:t>UIT-D sur les indicateurs des télécommunications/TIC dans le monde et continuent donc de verser des redevances annuelles à l</w:t>
      </w:r>
      <w:r>
        <w:t>'</w:t>
      </w:r>
      <w:r w:rsidRPr="00236418">
        <w:t xml:space="preserve">UIT. </w:t>
      </w:r>
    </w:p>
    <w:p w14:paraId="60581ECD" w14:textId="77777777" w:rsidR="00761B6C" w:rsidRPr="00236418" w:rsidRDefault="00761B6C" w:rsidP="00761B6C">
      <w:pPr>
        <w:pStyle w:val="Headingb"/>
      </w:pPr>
      <w:bookmarkStart w:id="2681" w:name="_Toc482888798"/>
      <w:bookmarkStart w:id="2682" w:name="_Toc511649513"/>
      <w:bookmarkStart w:id="2683" w:name="_Toc511649876"/>
      <w:bookmarkStart w:id="2684" w:name="_Toc511649999"/>
      <w:bookmarkStart w:id="2685" w:name="_Toc511650119"/>
      <w:bookmarkStart w:id="2686" w:name="_Toc511650613"/>
      <w:bookmarkStart w:id="2687" w:name="_Toc511651259"/>
      <w:bookmarkStart w:id="2688" w:name="_Toc511724122"/>
      <w:bookmarkStart w:id="2689" w:name="_Toc511739111"/>
      <w:bookmarkStart w:id="2690" w:name="_Toc511741282"/>
      <w:bookmarkStart w:id="2691" w:name="_Toc10450795"/>
      <w:bookmarkStart w:id="2692" w:name="_Toc41566381"/>
      <w:bookmarkStart w:id="2693" w:name="_Toc41814985"/>
      <w:bookmarkStart w:id="2694" w:name="_Toc73354482"/>
      <w:bookmarkStart w:id="2695" w:name="_Toc73356465"/>
      <w:r w:rsidRPr="00236418">
        <w:t>Produits et services au titre du recouvrement des coûts</w:t>
      </w:r>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p>
    <w:p w14:paraId="2FA27B89" w14:textId="338F329C" w:rsidR="00761B6C" w:rsidRPr="00A268D9" w:rsidRDefault="00761B6C" w:rsidP="00761B6C">
      <w:pPr>
        <w:rPr>
          <w:color w:val="000000"/>
        </w:rPr>
      </w:pPr>
      <w:bookmarkStart w:id="2696" w:name="_Hlk73007320"/>
      <w:r w:rsidRPr="00A268D9">
        <w:t>61</w:t>
      </w:r>
      <w:r w:rsidRPr="00A268D9">
        <w:tab/>
        <w:t>Les produits et services au titre du recouvrement des coûts ont été estimés à 17,5 millions CHF dans le budget ordinaire pour 2020. Les revenus effectifs se sont élevés à 13,92 millions CHF (13,72 millions CHF en 2019). En raison du</w:t>
      </w:r>
      <w:r w:rsidR="00FA013B">
        <w:t xml:space="preserve"> report de la manifestation ITU </w:t>
      </w:r>
      <w:r w:rsidRPr="00A268D9">
        <w:t>TELECOM World 2020, le Secrétaire général a décidé de ne pas procéder au recouvrement des coûts d</w:t>
      </w:r>
      <w:r>
        <w:t>'</w:t>
      </w:r>
      <w:r w:rsidRPr="00A268D9">
        <w:t xml:space="preserve">un montant de 1,5 million CHF. Cette baisse est aussi due au nombre de </w:t>
      </w:r>
      <w:r w:rsidRPr="00A268D9">
        <w:rPr>
          <w:color w:val="000000"/>
        </w:rPr>
        <w:t xml:space="preserve">fiches de </w:t>
      </w:r>
      <w:r w:rsidRPr="00FA013B">
        <w:rPr>
          <w:color w:val="000000"/>
        </w:rPr>
        <w:t>notification de réseaux à satellite. Malgré de nombreuses demand</w:t>
      </w:r>
      <w:r w:rsidR="00FA013B">
        <w:rPr>
          <w:color w:val="000000"/>
        </w:rPr>
        <w:t>es de notification facturées en </w:t>
      </w:r>
      <w:r w:rsidRPr="00FA013B">
        <w:rPr>
          <w:color w:val="000000"/>
        </w:rPr>
        <w:t>2020, il n'a pas été possible de publier toutes les fiches de notification de réseaux à satellite, ce qui a entraîné une augmentation des produits différés.</w:t>
      </w:r>
    </w:p>
    <w:bookmarkEnd w:id="2696"/>
    <w:p w14:paraId="076A012D" w14:textId="77777777" w:rsidR="00761B6C" w:rsidRPr="00A268D9" w:rsidRDefault="00761B6C" w:rsidP="00761B6C">
      <w:r w:rsidRPr="00A268D9">
        <w:t>62</w:t>
      </w:r>
      <w:r w:rsidRPr="00A268D9">
        <w:tab/>
        <w:t>En 2020, un montant de 16,6 millions CHF a été facturé, contre 13,2 millions en 2019.</w:t>
      </w:r>
    </w:p>
    <w:p w14:paraId="08BBDCFD" w14:textId="77777777" w:rsidR="00761B6C" w:rsidRPr="00236418" w:rsidRDefault="00761B6C" w:rsidP="00761B6C">
      <w:pPr>
        <w:pStyle w:val="Headingb"/>
      </w:pPr>
      <w:bookmarkStart w:id="2697" w:name="_Toc358379329"/>
      <w:bookmarkStart w:id="2698" w:name="_Toc358380509"/>
      <w:bookmarkStart w:id="2699" w:name="_Toc387167510"/>
      <w:bookmarkStart w:id="2700" w:name="_Toc452138652"/>
      <w:bookmarkStart w:id="2701" w:name="_Toc452139101"/>
      <w:bookmarkStart w:id="2702" w:name="_Toc452139465"/>
      <w:bookmarkStart w:id="2703" w:name="_Toc452139871"/>
      <w:bookmarkStart w:id="2704" w:name="_Toc452140745"/>
      <w:bookmarkStart w:id="2705" w:name="_Toc482888799"/>
      <w:bookmarkStart w:id="2706" w:name="_Toc511649514"/>
      <w:bookmarkStart w:id="2707" w:name="_Toc511649877"/>
      <w:bookmarkStart w:id="2708" w:name="_Toc511650000"/>
      <w:bookmarkStart w:id="2709" w:name="_Toc511650120"/>
      <w:bookmarkStart w:id="2710" w:name="_Toc511650614"/>
      <w:bookmarkStart w:id="2711" w:name="_Toc511651260"/>
      <w:bookmarkStart w:id="2712" w:name="_Toc511724123"/>
      <w:bookmarkStart w:id="2713" w:name="_Toc511739112"/>
      <w:bookmarkStart w:id="2714" w:name="_Toc511741283"/>
      <w:bookmarkStart w:id="2715" w:name="_Toc10450796"/>
      <w:bookmarkStart w:id="2716" w:name="_Toc41566382"/>
      <w:bookmarkStart w:id="2717" w:name="_Toc41814986"/>
      <w:bookmarkStart w:id="2718" w:name="_Toc73354483"/>
      <w:bookmarkStart w:id="2719" w:name="_Toc73356466"/>
      <w:r w:rsidRPr="00236418">
        <w:t>Intérêts créditeurs</w:t>
      </w:r>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r>
        <w:t xml:space="preserve"> </w:t>
      </w:r>
    </w:p>
    <w:p w14:paraId="2A198DE2" w14:textId="77777777" w:rsidR="00761B6C" w:rsidRPr="00236418" w:rsidRDefault="00761B6C" w:rsidP="00761B6C">
      <w:pPr>
        <w:rPr>
          <w:rFonts w:eastAsia="SimSun"/>
        </w:rPr>
      </w:pPr>
      <w:r w:rsidRPr="00236418">
        <w:t>6</w:t>
      </w:r>
      <w:r>
        <w:t>3</w:t>
      </w:r>
      <w:r w:rsidRPr="00236418">
        <w:tab/>
        <w:t>Le montant des intérêts créditeurs a été budgété à 0,3 million CHF. Le montant effectif s</w:t>
      </w:r>
      <w:r>
        <w:t>'</w:t>
      </w:r>
      <w:r w:rsidRPr="00236418">
        <w:t>est élevé à </w:t>
      </w:r>
      <w:r>
        <w:t>125</w:t>
      </w:r>
      <w:r w:rsidRPr="00236418">
        <w:t xml:space="preserve"> 000 CHF (</w:t>
      </w:r>
      <w:r>
        <w:t>408</w:t>
      </w:r>
      <w:r w:rsidRPr="00236418">
        <w:t xml:space="preserve"> 000 CHF en 201</w:t>
      </w:r>
      <w:r>
        <w:t>9</w:t>
      </w:r>
      <w:r w:rsidRPr="00236418">
        <w:t>).</w:t>
      </w:r>
      <w:r w:rsidRPr="00236418">
        <w:rPr>
          <w:rFonts w:eastAsia="SimSun" w:cs="Arial"/>
        </w:rPr>
        <w:t xml:space="preserve"> </w:t>
      </w:r>
      <w:r>
        <w:rPr>
          <w:rFonts w:eastAsia="SimSun" w:cs="Arial"/>
        </w:rPr>
        <w:t xml:space="preserve">En 2020, la situation concernant </w:t>
      </w:r>
      <w:r w:rsidRPr="00236418">
        <w:rPr>
          <w:rFonts w:eastAsia="SimSun" w:cs="Arial"/>
        </w:rPr>
        <w:t>le franc suisse</w:t>
      </w:r>
      <w:r>
        <w:rPr>
          <w:rFonts w:eastAsia="SimSun" w:cs="Arial"/>
        </w:rPr>
        <w:t xml:space="preserve"> est devenue plus difficile. L'UIT a fait l'objet d'intérêts négatifs qui ont été compensés par des dépôts en dollar des États-Unis. Toutefois, le taux de rendement du dollar des États-Unis a lui aussi baissé, ce qui explique le niveau relativement bas des intérêts créditeurs pour 2020</w:t>
      </w:r>
      <w:r w:rsidRPr="00236418">
        <w:rPr>
          <w:rFonts w:eastAsia="SimSun" w:cs="Arial"/>
        </w:rPr>
        <w:t>.</w:t>
      </w:r>
    </w:p>
    <w:p w14:paraId="3164E4E1" w14:textId="037E9E33" w:rsidR="00761B6C" w:rsidRPr="00236418" w:rsidRDefault="00761B6C" w:rsidP="00761B6C">
      <w:pPr>
        <w:pStyle w:val="Headingb"/>
      </w:pPr>
      <w:bookmarkStart w:id="2720" w:name="_Toc358379330"/>
      <w:bookmarkStart w:id="2721" w:name="_Toc358380510"/>
      <w:bookmarkStart w:id="2722" w:name="_Toc387167511"/>
      <w:bookmarkStart w:id="2723" w:name="_Toc452138653"/>
      <w:bookmarkStart w:id="2724" w:name="_Toc452139102"/>
      <w:bookmarkStart w:id="2725" w:name="_Toc452139466"/>
      <w:bookmarkStart w:id="2726" w:name="_Toc452139872"/>
      <w:bookmarkStart w:id="2727" w:name="_Toc452140746"/>
      <w:bookmarkStart w:id="2728" w:name="_Toc482888800"/>
      <w:bookmarkStart w:id="2729" w:name="_Toc511649515"/>
      <w:bookmarkStart w:id="2730" w:name="_Toc511649878"/>
      <w:bookmarkStart w:id="2731" w:name="_Toc511650001"/>
      <w:bookmarkStart w:id="2732" w:name="_Toc511650121"/>
      <w:bookmarkStart w:id="2733" w:name="_Toc511650615"/>
      <w:bookmarkStart w:id="2734" w:name="_Toc511651261"/>
      <w:bookmarkStart w:id="2735" w:name="_Toc511724124"/>
      <w:bookmarkStart w:id="2736" w:name="_Toc511739113"/>
      <w:bookmarkStart w:id="2737" w:name="_Toc511741284"/>
      <w:bookmarkStart w:id="2738" w:name="_Toc10450797"/>
      <w:bookmarkStart w:id="2739" w:name="_Toc41566383"/>
      <w:bookmarkStart w:id="2740" w:name="_Toc41814987"/>
      <w:bookmarkStart w:id="2741" w:name="_Toc73354484"/>
      <w:bookmarkStart w:id="2742" w:name="_Toc73356467"/>
      <w:r w:rsidRPr="00236418">
        <w:t>Charges</w:t>
      </w:r>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p>
    <w:p w14:paraId="06AD540C" w14:textId="77777777" w:rsidR="00761B6C" w:rsidRPr="00236418" w:rsidRDefault="00761B6C" w:rsidP="00761B6C">
      <w:pPr>
        <w:rPr>
          <w:color w:val="000000" w:themeColor="text1"/>
        </w:rPr>
      </w:pPr>
      <w:r>
        <w:t>64</w:t>
      </w:r>
      <w:r w:rsidRPr="00236418">
        <w:tab/>
        <w:t xml:space="preserve">Des informations relatives aux charges sont fournies dans </w:t>
      </w:r>
      <w:r w:rsidRPr="00236418">
        <w:rPr>
          <w:color w:val="000000" w:themeColor="text1"/>
        </w:rPr>
        <w:t>la Note 23.</w:t>
      </w:r>
    </w:p>
    <w:p w14:paraId="427E0EB3" w14:textId="77777777" w:rsidR="00761B6C" w:rsidRPr="00236418" w:rsidRDefault="00761B6C" w:rsidP="00761B6C">
      <w:r>
        <w:t>65</w:t>
      </w:r>
      <w:r w:rsidRPr="00236418">
        <w:tab/>
        <w:t xml:space="preserve">Les charges totales </w:t>
      </w:r>
      <w:r>
        <w:t>de l'UIT-T</w:t>
      </w:r>
      <w:r w:rsidRPr="00236418">
        <w:t xml:space="preserve"> se sont chiffrées à 13,</w:t>
      </w:r>
      <w:r>
        <w:t>08</w:t>
      </w:r>
      <w:r w:rsidRPr="00236418">
        <w:t xml:space="preserve"> millions CHF en 20</w:t>
      </w:r>
      <w:r>
        <w:t>20</w:t>
      </w:r>
      <w:r w:rsidRPr="00236418">
        <w:t>, soit</w:t>
      </w:r>
      <w:r>
        <w:t xml:space="preserve"> 98%</w:t>
      </w:r>
      <w:r w:rsidRPr="00236418">
        <w:t xml:space="preserve"> du budget de 13,</w:t>
      </w:r>
      <w:r>
        <w:t>35</w:t>
      </w:r>
      <w:r w:rsidRPr="00236418">
        <w:t xml:space="preserve"> millions CHF.</w:t>
      </w:r>
    </w:p>
    <w:p w14:paraId="7906C7A9" w14:textId="77777777" w:rsidR="00761B6C" w:rsidRPr="00C76DF7" w:rsidRDefault="00761B6C" w:rsidP="00761B6C">
      <w:r w:rsidRPr="00C76DF7">
        <w:t>66</w:t>
      </w:r>
      <w:r w:rsidRPr="00C76DF7">
        <w:tab/>
      </w:r>
      <w:r>
        <w:t xml:space="preserve">En </w:t>
      </w:r>
      <w:r w:rsidRPr="00C76DF7">
        <w:t xml:space="preserve">2020, le Bureau des radiocommunications </w:t>
      </w:r>
      <w:r>
        <w:t xml:space="preserve">(BR) </w:t>
      </w:r>
      <w:r w:rsidRPr="00C76DF7">
        <w:t>a</w:t>
      </w:r>
      <w:r>
        <w:t xml:space="preserve"> été géré de la manière la plus efficace et rigoureuse, conformément au Règlement financier et aux Règles financières de l'UIT. </w:t>
      </w:r>
      <w:r w:rsidRPr="00C76DF7">
        <w:t>Les dépenses du BR sont restées dans les limites d</w:t>
      </w:r>
      <w:r>
        <w:t>u budget approuvé, et le montant total des dépenses s'est chiffré à 27,3 millions CHF, ce qui représente 92% du budget approuvé de 29,8 millions</w:t>
      </w:r>
      <w:r w:rsidRPr="00C76DF7">
        <w:t>.</w:t>
      </w:r>
    </w:p>
    <w:p w14:paraId="129B405A" w14:textId="77777777" w:rsidR="003A1E34" w:rsidRDefault="003A1E34" w:rsidP="00761B6C">
      <w:r>
        <w:br w:type="page"/>
      </w:r>
    </w:p>
    <w:p w14:paraId="1426880C" w14:textId="4086E8BC" w:rsidR="00761B6C" w:rsidRPr="00846C38" w:rsidRDefault="00761B6C" w:rsidP="00761B6C">
      <w:r w:rsidRPr="002E22BB">
        <w:lastRenderedPageBreak/>
        <w:t>67</w:t>
      </w:r>
      <w:r w:rsidRPr="002E22BB">
        <w:tab/>
        <w:t xml:space="preserve">Afin de veiller à ce que le travail du BDT soit mené de la manière la plus efficace possible avec des résultats concrets et mesurables produisant des effets réels, le Bureau </w:t>
      </w:r>
      <w:r w:rsidRPr="00C76DF7">
        <w:t>a opté pour des solutions numériques, en définissant progressivement de nouvelles modalités pour la fourniture de ses services</w:t>
      </w:r>
      <w:r>
        <w:t>, notamment de nouvelles approches concernant le Plan opérationnel</w:t>
      </w:r>
      <w:r w:rsidRPr="00C76DF7">
        <w:t>.</w:t>
      </w:r>
    </w:p>
    <w:p w14:paraId="253DEC55" w14:textId="77777777" w:rsidR="00761B6C" w:rsidRPr="009F157C" w:rsidRDefault="00761B6C" w:rsidP="00761B6C">
      <w:r w:rsidRPr="009F157C">
        <w:t>68</w:t>
      </w:r>
      <w:r w:rsidRPr="009F157C">
        <w:tab/>
        <w:t>Les nouveaux outils électroniques c</w:t>
      </w:r>
      <w:r>
        <w:t xml:space="preserve">ontinuent d'être améliorés aux fins de la planification, du suivi et du partage d'informations et d'activités. </w:t>
      </w:r>
      <w:r w:rsidRPr="009F157C">
        <w:t>Le BDT a lancé une série de tableaux de b</w:t>
      </w:r>
      <w:r>
        <w:t>ord permettant de visualiser les données sur différents systèmes, ce qui permet de renforcer la capacité de suivre en temps réel des informations</w:t>
      </w:r>
      <w:r w:rsidRPr="006A3A62">
        <w:rPr>
          <w:color w:val="000000"/>
        </w:rPr>
        <w:t xml:space="preserve"> </w:t>
      </w:r>
      <w:r>
        <w:rPr>
          <w:color w:val="000000"/>
        </w:rPr>
        <w:t>exploitables</w:t>
      </w:r>
      <w:r w:rsidRPr="009F157C">
        <w:t>.</w:t>
      </w:r>
    </w:p>
    <w:p w14:paraId="53A046A7" w14:textId="77777777" w:rsidR="00761B6C" w:rsidRPr="00DE7463" w:rsidRDefault="00761B6C" w:rsidP="00761B6C">
      <w:r w:rsidRPr="009F157C">
        <w:t>69</w:t>
      </w:r>
      <w:r w:rsidRPr="009F157C">
        <w:tab/>
        <w:t>De plus, un exercice d</w:t>
      </w:r>
      <w:r>
        <w:t xml:space="preserve">e gestion axée sur les résultats (GAR) renforcé a été déployé à grande échelle en 2020. </w:t>
      </w:r>
      <w:r w:rsidRPr="007460F0">
        <w:t>Une formation dans ce domaine a été dispensée d</w:t>
      </w:r>
      <w:r>
        <w:t>ans toutes les unités et les régions du BDT en 2020</w:t>
      </w:r>
      <w:r w:rsidRPr="00DE7463">
        <w:t xml:space="preserve">. </w:t>
      </w:r>
      <w:r>
        <w:t xml:space="preserve">Un cadre de délégation de pouvoir a été mis en place en juin 2020 pour améliorer l'efficacité de la coordination entre le siège et les bureaux régionaux. Un processus d'examen de la gestion trimestriel a aussi été engagé, afin d'évaluer à intervalles réguliers les ressources, les risques et les indicateurs fondamentaux de performance (IFP) </w:t>
      </w:r>
    </w:p>
    <w:p w14:paraId="46C36356" w14:textId="77777777" w:rsidR="00761B6C" w:rsidRPr="00236418" w:rsidRDefault="00761B6C" w:rsidP="00761B6C">
      <w:bookmarkStart w:id="2743" w:name="_Toc358379331"/>
      <w:bookmarkStart w:id="2744" w:name="_Toc358380511"/>
      <w:bookmarkStart w:id="2745" w:name="_Toc387167512"/>
      <w:bookmarkStart w:id="2746" w:name="_Toc452138654"/>
      <w:bookmarkStart w:id="2747" w:name="_Toc452139103"/>
      <w:bookmarkStart w:id="2748" w:name="_Toc452139467"/>
      <w:bookmarkStart w:id="2749" w:name="_Toc452139873"/>
      <w:bookmarkStart w:id="2750" w:name="_Toc452140747"/>
      <w:bookmarkStart w:id="2751" w:name="_Toc482888801"/>
      <w:bookmarkStart w:id="2752" w:name="_Toc511649516"/>
      <w:bookmarkStart w:id="2753" w:name="_Toc511649879"/>
      <w:bookmarkStart w:id="2754" w:name="_Toc511650002"/>
      <w:bookmarkStart w:id="2755" w:name="_Toc511650122"/>
      <w:bookmarkStart w:id="2756" w:name="_Toc511650616"/>
      <w:bookmarkStart w:id="2757" w:name="_Toc511651262"/>
      <w:bookmarkStart w:id="2758" w:name="_Toc511724125"/>
      <w:bookmarkStart w:id="2759" w:name="_Toc511739114"/>
      <w:bookmarkStart w:id="2760" w:name="_Toc511741285"/>
      <w:r w:rsidRPr="00236418">
        <w:t>7</w:t>
      </w:r>
      <w:r>
        <w:t>0</w:t>
      </w:r>
      <w:r w:rsidRPr="00236418">
        <w:tab/>
      </w:r>
      <w:r w:rsidRPr="00236418">
        <w:rPr>
          <w:bCs/>
        </w:rPr>
        <w:t>Les dépenses totales du BDT se sont élevées à 2</w:t>
      </w:r>
      <w:r>
        <w:rPr>
          <w:bCs/>
        </w:rPr>
        <w:t>9</w:t>
      </w:r>
      <w:r w:rsidRPr="00236418">
        <w:rPr>
          <w:bCs/>
        </w:rPr>
        <w:t>,</w:t>
      </w:r>
      <w:r>
        <w:rPr>
          <w:bCs/>
        </w:rPr>
        <w:t>79</w:t>
      </w:r>
      <w:r w:rsidRPr="00236418">
        <w:rPr>
          <w:bCs/>
        </w:rPr>
        <w:t xml:space="preserve"> millions CHF en 20</w:t>
      </w:r>
      <w:r>
        <w:rPr>
          <w:bCs/>
        </w:rPr>
        <w:t>20</w:t>
      </w:r>
      <w:r w:rsidRPr="00236418">
        <w:rPr>
          <w:bCs/>
        </w:rPr>
        <w:t xml:space="preserve">, soit </w:t>
      </w:r>
      <w:r>
        <w:rPr>
          <w:bCs/>
        </w:rPr>
        <w:t>94</w:t>
      </w:r>
      <w:r w:rsidRPr="00236418">
        <w:rPr>
          <w:bCs/>
        </w:rPr>
        <w:t>,</w:t>
      </w:r>
      <w:r>
        <w:rPr>
          <w:bCs/>
        </w:rPr>
        <w:t>9</w:t>
      </w:r>
      <w:r w:rsidRPr="00236418">
        <w:rPr>
          <w:bCs/>
        </w:rPr>
        <w:t xml:space="preserve">% du budget approuvé de </w:t>
      </w:r>
      <w:r>
        <w:rPr>
          <w:bCs/>
        </w:rPr>
        <w:t>31</w:t>
      </w:r>
      <w:r w:rsidRPr="00236418">
        <w:rPr>
          <w:bCs/>
        </w:rPr>
        <w:t>,</w:t>
      </w:r>
      <w:r>
        <w:rPr>
          <w:bCs/>
        </w:rPr>
        <w:t>39</w:t>
      </w:r>
      <w:r w:rsidRPr="00236418">
        <w:rPr>
          <w:bCs/>
        </w:rPr>
        <w:t xml:space="preserve"> millions CHF.</w:t>
      </w:r>
    </w:p>
    <w:p w14:paraId="50C6BEF2" w14:textId="77777777" w:rsidR="00761B6C" w:rsidRPr="00236418" w:rsidRDefault="00761B6C" w:rsidP="00761B6C">
      <w:pPr>
        <w:pStyle w:val="Headingb"/>
      </w:pPr>
      <w:bookmarkStart w:id="2761" w:name="_Toc10450798"/>
      <w:bookmarkStart w:id="2762" w:name="_Toc41566384"/>
      <w:bookmarkStart w:id="2763" w:name="_Toc41814988"/>
      <w:bookmarkStart w:id="2764" w:name="_Toc73354485"/>
      <w:bookmarkStart w:id="2765" w:name="_Toc73356468"/>
      <w:r w:rsidRPr="00236418">
        <w:t>Charges non prévues au budget</w:t>
      </w:r>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p>
    <w:p w14:paraId="7398288C" w14:textId="77777777" w:rsidR="00761B6C" w:rsidRPr="00236418" w:rsidRDefault="00761B6C" w:rsidP="00761B6C">
      <w:r w:rsidRPr="00236418">
        <w:t>7</w:t>
      </w:r>
      <w:r>
        <w:t>1</w:t>
      </w:r>
      <w:r w:rsidRPr="00236418">
        <w:tab/>
        <w:t xml:space="preserve">Un montant de </w:t>
      </w:r>
      <w:r>
        <w:t>22</w:t>
      </w:r>
      <w:r w:rsidRPr="00236418">
        <w:t>,</w:t>
      </w:r>
      <w:r>
        <w:t>78</w:t>
      </w:r>
      <w:r w:rsidRPr="00236418">
        <w:t xml:space="preserve"> millions CHF a été comptabilisé en charges pour ajuster la provision pour les prestations maladie après cessation de service dues aux fonctionnaires (ASHI). Cette charge est considérée comme statistique et ne fait pas partie des résultats budgétaires.</w:t>
      </w:r>
    </w:p>
    <w:p w14:paraId="2F586C82" w14:textId="77777777" w:rsidR="00761B6C" w:rsidRPr="00236418" w:rsidRDefault="00761B6C" w:rsidP="00761B6C">
      <w:r w:rsidRPr="00236418">
        <w:t>7</w:t>
      </w:r>
      <w:r>
        <w:t>2</w:t>
      </w:r>
      <w:r w:rsidRPr="00236418">
        <w:tab/>
        <w:t>Une contribution en nature a été comptabilisée à la fois en charges et en produits. Cette reconnaissance de la contribution en nature fait suite à la décision du Parlement suisse, qui a pris effet le 1er janvier 1996, de renoncer à prélever des intérêts sur les prêts accordés par la Fondation des immeubles pour les organisations internationales (FIPOI). Au 31 décembre 20</w:t>
      </w:r>
      <w:r>
        <w:t>20</w:t>
      </w:r>
      <w:r w:rsidRPr="00236418">
        <w:t>, cette contribution représente pour l</w:t>
      </w:r>
      <w:r>
        <w:t>'</w:t>
      </w:r>
      <w:r w:rsidRPr="00236418">
        <w:t>Union une économie d</w:t>
      </w:r>
      <w:r>
        <w:t>'</w:t>
      </w:r>
      <w:r w:rsidRPr="00236418">
        <w:t>environ 8</w:t>
      </w:r>
      <w:r>
        <w:t>20</w:t>
      </w:r>
      <w:r w:rsidRPr="00236418">
        <w:t xml:space="preserve"> 000 CHF sur la base du taux d</w:t>
      </w:r>
      <w:r>
        <w:t>'</w:t>
      </w:r>
      <w:r w:rsidRPr="00236418">
        <w:t>intérêts à long terme de 3,25%.</w:t>
      </w:r>
    </w:p>
    <w:p w14:paraId="6E47958F" w14:textId="77777777" w:rsidR="00761B6C" w:rsidRPr="00236418" w:rsidRDefault="00761B6C" w:rsidP="00761B6C">
      <w:r w:rsidRPr="00236418">
        <w:t>7</w:t>
      </w:r>
      <w:r>
        <w:t>3</w:t>
      </w:r>
      <w:r w:rsidRPr="00236418">
        <w:tab/>
        <w:t xml:space="preserve">Un montant de </w:t>
      </w:r>
      <w:r>
        <w:t>7</w:t>
      </w:r>
      <w:r w:rsidRPr="00236418">
        <w:t xml:space="preserve"> millions CHF a été comptabilisé en charges. Il s</w:t>
      </w:r>
      <w:r>
        <w:t>'</w:t>
      </w:r>
      <w:r w:rsidRPr="00236418">
        <w:t>agit des dépréciations constatées au cours de l</w:t>
      </w:r>
      <w:r>
        <w:t>'</w:t>
      </w:r>
      <w:r w:rsidRPr="00236418">
        <w:t>exercice 20</w:t>
      </w:r>
      <w:r>
        <w:t>20</w:t>
      </w:r>
      <w:r w:rsidRPr="00236418">
        <w:t>.</w:t>
      </w:r>
    </w:p>
    <w:p w14:paraId="4B418316" w14:textId="77777777" w:rsidR="00761B6C" w:rsidRPr="00236418" w:rsidRDefault="00761B6C" w:rsidP="00761B6C">
      <w:pPr>
        <w:pStyle w:val="Headingb"/>
      </w:pPr>
      <w:bookmarkStart w:id="2766" w:name="_Toc10450799"/>
      <w:bookmarkStart w:id="2767" w:name="_Toc41566385"/>
      <w:bookmarkStart w:id="2768" w:name="_Toc41814989"/>
      <w:bookmarkStart w:id="2769" w:name="_Toc73354486"/>
      <w:bookmarkStart w:id="2770" w:name="_Toc73356469"/>
      <w:r w:rsidRPr="00236418">
        <w:t>Cas de fraude</w:t>
      </w:r>
      <w:bookmarkEnd w:id="2766"/>
      <w:bookmarkEnd w:id="2767"/>
      <w:bookmarkEnd w:id="2768"/>
      <w:bookmarkEnd w:id="2769"/>
      <w:bookmarkEnd w:id="2770"/>
    </w:p>
    <w:p w14:paraId="2B4ED1D0" w14:textId="77777777" w:rsidR="00761B6C" w:rsidRPr="00236418" w:rsidRDefault="00761B6C" w:rsidP="00761B6C">
      <w:r w:rsidRPr="00236418">
        <w:t>7</w:t>
      </w:r>
      <w:r>
        <w:t>4</w:t>
      </w:r>
      <w:r w:rsidRPr="00236418">
        <w:tab/>
        <w:t>Un groupe de coordination interne a été créé afin de prendre des mesures et de veiller à ce qu</w:t>
      </w:r>
      <w:r>
        <w:t>'</w:t>
      </w:r>
      <w:r w:rsidRPr="00236418">
        <w:t>un tel cas ne se reproduise pas à l</w:t>
      </w:r>
      <w:r>
        <w:t>'</w:t>
      </w:r>
      <w:r w:rsidRPr="00236418">
        <w:t>UIT. Ce groupe a déjà présenté son rapport au GTC-FHR sur la mise en œuvre des recommandations du vérificateur extérieur des comptes et du CCIG.</w:t>
      </w:r>
    </w:p>
    <w:p w14:paraId="09D3E4D8" w14:textId="77777777" w:rsidR="00761B6C" w:rsidRDefault="00761B6C" w:rsidP="00761B6C">
      <w:r w:rsidRPr="00BA2B3E">
        <w:t>75</w:t>
      </w:r>
      <w:r w:rsidRPr="00BA2B3E">
        <w:tab/>
        <w:t xml:space="preserve">Ces recommandations seront présentées en détail, avec leurs dates de mise en œuvre, à la session du Conseil (Document </w:t>
      </w:r>
      <w:hyperlink r:id="rId54" w:history="1">
        <w:r w:rsidRPr="00BA2B3E">
          <w:rPr>
            <w:rStyle w:val="Hyperlink"/>
          </w:rPr>
          <w:t>C21/63</w:t>
        </w:r>
      </w:hyperlink>
      <w:r>
        <w:t>)</w:t>
      </w:r>
      <w:r w:rsidRPr="00BA2B3E">
        <w:t>.</w:t>
      </w:r>
    </w:p>
    <w:p w14:paraId="20FEE280" w14:textId="77777777" w:rsidR="00761B6C" w:rsidRPr="00DE7463" w:rsidRDefault="00761B6C" w:rsidP="00761B6C">
      <w:r w:rsidRPr="00DE7463">
        <w:t>76</w:t>
      </w:r>
      <w:r w:rsidRPr="00DE7463">
        <w:tab/>
        <w:t xml:space="preserve">En 2020, un montant de 172 304 USD a été remboursé au </w:t>
      </w:r>
      <w:r>
        <w:t>bailleur de fonds NBTC à Bangkok, à sa demande</w:t>
      </w:r>
      <w:r w:rsidRPr="00DE7463">
        <w:t>.</w:t>
      </w:r>
    </w:p>
    <w:p w14:paraId="3EB58306" w14:textId="77777777" w:rsidR="003A1E34" w:rsidRDefault="003A1E34" w:rsidP="00332DBC">
      <w:pPr>
        <w:pStyle w:val="Heading1"/>
        <w:spacing w:before="360"/>
      </w:pPr>
      <w:bookmarkStart w:id="2771" w:name="_Toc511649520"/>
      <w:bookmarkStart w:id="2772" w:name="_Toc511649883"/>
      <w:bookmarkStart w:id="2773" w:name="_Toc511650006"/>
      <w:bookmarkStart w:id="2774" w:name="_Toc511650126"/>
      <w:bookmarkStart w:id="2775" w:name="_Toc511650620"/>
      <w:bookmarkStart w:id="2776" w:name="_Toc511651266"/>
      <w:bookmarkStart w:id="2777" w:name="_Toc511724129"/>
      <w:bookmarkStart w:id="2778" w:name="_Toc511739118"/>
      <w:bookmarkStart w:id="2779" w:name="_Toc511740830"/>
      <w:bookmarkStart w:id="2780" w:name="_Toc511741289"/>
      <w:bookmarkStart w:id="2781" w:name="_Toc10450803"/>
      <w:bookmarkStart w:id="2782" w:name="_Toc41566387"/>
      <w:bookmarkStart w:id="2783" w:name="_Toc41567387"/>
      <w:bookmarkStart w:id="2784" w:name="_Toc41567883"/>
      <w:bookmarkStart w:id="2785" w:name="_Toc41814991"/>
      <w:bookmarkStart w:id="2786" w:name="_Toc73354487"/>
      <w:bookmarkStart w:id="2787" w:name="_Toc329202613"/>
      <w:bookmarkStart w:id="2788" w:name="_Toc329205045"/>
      <w:bookmarkStart w:id="2789" w:name="_Toc329206882"/>
      <w:bookmarkStart w:id="2790" w:name="_Toc358379335"/>
      <w:bookmarkStart w:id="2791" w:name="_Toc358379962"/>
      <w:bookmarkStart w:id="2792" w:name="_Toc358380515"/>
      <w:bookmarkStart w:id="2793" w:name="_Toc387167517"/>
      <w:bookmarkStart w:id="2794" w:name="_Toc395260959"/>
      <w:bookmarkStart w:id="2795" w:name="_Toc395261100"/>
      <w:bookmarkStart w:id="2796" w:name="_Toc395511746"/>
      <w:bookmarkStart w:id="2797" w:name="_Toc452138658"/>
      <w:bookmarkStart w:id="2798" w:name="_Toc452139107"/>
      <w:bookmarkStart w:id="2799" w:name="_Toc452139471"/>
      <w:bookmarkStart w:id="2800" w:name="_Toc452139877"/>
      <w:bookmarkStart w:id="2801" w:name="_Toc452140751"/>
      <w:bookmarkStart w:id="2802" w:name="_Toc482888042"/>
      <w:bookmarkStart w:id="2803" w:name="_Toc482888805"/>
      <w:r>
        <w:br w:type="page"/>
      </w:r>
    </w:p>
    <w:p w14:paraId="6D440C88" w14:textId="00D3216A" w:rsidR="00761B6C" w:rsidRPr="00236418" w:rsidRDefault="00761B6C" w:rsidP="00332DBC">
      <w:pPr>
        <w:pStyle w:val="Heading1"/>
        <w:spacing w:before="360"/>
      </w:pPr>
      <w:bookmarkStart w:id="2804" w:name="_Toc73356470"/>
      <w:r w:rsidRPr="00236418">
        <w:lastRenderedPageBreak/>
        <w:t>II</w:t>
      </w:r>
      <w:r w:rsidRPr="00236418">
        <w:tab/>
        <w:t>NOUVEAUX LOCAUX DU SIÈGE (ANNEXE B2)</w:t>
      </w:r>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804"/>
    </w:p>
    <w:p w14:paraId="66A1BAE9" w14:textId="77777777" w:rsidR="00761B6C" w:rsidRDefault="00761B6C" w:rsidP="00761B6C">
      <w:r>
        <w:t>77</w:t>
      </w:r>
      <w:r w:rsidRPr="00236418">
        <w:tab/>
        <w:t xml:space="preserve">En 2020, la conception et le coût du projet </w:t>
      </w:r>
      <w:r>
        <w:t>ont continué</w:t>
      </w:r>
      <w:r w:rsidRPr="00236418">
        <w:t xml:space="preserve"> d</w:t>
      </w:r>
      <w:r>
        <w:t>'</w:t>
      </w:r>
      <w:r w:rsidRPr="00236418">
        <w:t xml:space="preserve">être peaufinés et la demande de permis de construire </w:t>
      </w:r>
      <w:r>
        <w:t>a été</w:t>
      </w:r>
      <w:r w:rsidRPr="00236418">
        <w:t xml:space="preserve"> soumise à la fin de l</w:t>
      </w:r>
      <w:r>
        <w:t>'</w:t>
      </w:r>
      <w:r w:rsidRPr="00236418">
        <w:t xml:space="preserve">année. </w:t>
      </w:r>
    </w:p>
    <w:p w14:paraId="658C6013" w14:textId="77777777" w:rsidR="00761B6C" w:rsidRPr="00DE7463" w:rsidRDefault="00761B6C" w:rsidP="00761B6C">
      <w:r w:rsidRPr="00DE7463">
        <w:t>78</w:t>
      </w:r>
      <w:r w:rsidRPr="00DE7463">
        <w:tab/>
        <w:t>La seconde tranche du prêt, d</w:t>
      </w:r>
      <w:r>
        <w:t>'</w:t>
      </w:r>
      <w:r w:rsidRPr="00DE7463">
        <w:t>un mo</w:t>
      </w:r>
      <w:r>
        <w:t>nt</w:t>
      </w:r>
      <w:r w:rsidRPr="00DE7463">
        <w:t>ant de 138 millions CHF, a été octroyée en fé</w:t>
      </w:r>
      <w:r>
        <w:t>vrier </w:t>
      </w:r>
      <w:r w:rsidRPr="00DE7463">
        <w:t>2021.</w:t>
      </w:r>
    </w:p>
    <w:p w14:paraId="554E942A" w14:textId="77777777" w:rsidR="00761B6C" w:rsidRDefault="00761B6C" w:rsidP="00761B6C">
      <w:r>
        <w:t>79</w:t>
      </w:r>
      <w:r w:rsidRPr="00236418">
        <w:tab/>
        <w:t>Un prêt de 3</w:t>
      </w:r>
      <w:r>
        <w:t xml:space="preserve">,65 </w:t>
      </w:r>
      <w:r w:rsidRPr="00236418">
        <w:rPr>
          <w:bCs/>
        </w:rPr>
        <w:t xml:space="preserve">millions CHF </w:t>
      </w:r>
      <w:r w:rsidRPr="00236418">
        <w:t>a été reçu et, en 20</w:t>
      </w:r>
      <w:r>
        <w:t>20</w:t>
      </w:r>
      <w:r w:rsidRPr="00236418">
        <w:t xml:space="preserve">, les dépenses liées au projet de nouveau bâtiment se sont chiffrées à </w:t>
      </w:r>
      <w:r>
        <w:t>4,2</w:t>
      </w:r>
      <w:r w:rsidRPr="00236418">
        <w:t xml:space="preserve"> </w:t>
      </w:r>
      <w:r>
        <w:t>millions</w:t>
      </w:r>
      <w:r w:rsidRPr="00236418">
        <w:t xml:space="preserve"> CHF.</w:t>
      </w:r>
    </w:p>
    <w:p w14:paraId="4296F23D" w14:textId="77777777" w:rsidR="00761B6C" w:rsidRPr="001B353B" w:rsidRDefault="00761B6C" w:rsidP="00761B6C">
      <w:pPr>
        <w:keepNext/>
        <w:keepLines/>
      </w:pPr>
      <w:r w:rsidRPr="001B353B">
        <w:t>80</w:t>
      </w:r>
      <w:r w:rsidRPr="001B353B">
        <w:tab/>
        <w:t>À la suite de la mise en œuvre du budget, un montant de 2 million</w:t>
      </w:r>
      <w:r>
        <w:t xml:space="preserve">s </w:t>
      </w:r>
      <w:r w:rsidRPr="001B353B">
        <w:t xml:space="preserve">CHF a été </w:t>
      </w:r>
      <w:r>
        <w:t>versé au Fonds pour le registre des risques, qui se chiffre à 3,4 millions CHF</w:t>
      </w:r>
      <w:r w:rsidRPr="001B353B">
        <w:t>.</w:t>
      </w:r>
    </w:p>
    <w:p w14:paraId="33D7E5FA" w14:textId="77777777" w:rsidR="00761B6C" w:rsidRPr="001B353B" w:rsidRDefault="00761B6C" w:rsidP="00761B6C">
      <w:pPr>
        <w:keepNext/>
        <w:keepLines/>
      </w:pPr>
      <w:r w:rsidRPr="001B353B">
        <w:t>81</w:t>
      </w:r>
      <w:r w:rsidRPr="001B353B">
        <w:tab/>
      </w:r>
      <w:r>
        <w:t>O</w:t>
      </w:r>
      <w:r w:rsidRPr="001B353B">
        <w:t>n trouvera de</w:t>
      </w:r>
      <w:r>
        <w:t xml:space="preserve"> plus amples informations dans le</w:t>
      </w:r>
      <w:r w:rsidRPr="001B353B">
        <w:t xml:space="preserve"> Document </w:t>
      </w:r>
      <w:hyperlink r:id="rId55" w:history="1">
        <w:r w:rsidRPr="001B353B">
          <w:rPr>
            <w:rStyle w:val="Hyperlink"/>
          </w:rPr>
          <w:t>C21/7</w:t>
        </w:r>
      </w:hyperlink>
      <w:r w:rsidRPr="001B353B">
        <w:t>.</w:t>
      </w:r>
    </w:p>
    <w:p w14:paraId="7C9E7D29" w14:textId="77777777" w:rsidR="00761B6C" w:rsidRPr="00236418" w:rsidRDefault="00761B6C" w:rsidP="00332DBC">
      <w:pPr>
        <w:pStyle w:val="Heading1"/>
        <w:spacing w:before="360"/>
      </w:pPr>
      <w:bookmarkStart w:id="2805" w:name="_Toc511649521"/>
      <w:bookmarkStart w:id="2806" w:name="_Toc511649884"/>
      <w:bookmarkStart w:id="2807" w:name="_Toc511650007"/>
      <w:bookmarkStart w:id="2808" w:name="_Toc511650127"/>
      <w:bookmarkStart w:id="2809" w:name="_Toc511650621"/>
      <w:bookmarkStart w:id="2810" w:name="_Toc511651267"/>
      <w:bookmarkStart w:id="2811" w:name="_Toc511724130"/>
      <w:bookmarkStart w:id="2812" w:name="_Toc511739119"/>
      <w:bookmarkStart w:id="2813" w:name="_Toc511740831"/>
      <w:bookmarkStart w:id="2814" w:name="_Toc511741290"/>
      <w:bookmarkStart w:id="2815" w:name="_Toc10450804"/>
      <w:bookmarkStart w:id="2816" w:name="_Toc41566388"/>
      <w:bookmarkStart w:id="2817" w:name="_Toc41567388"/>
      <w:bookmarkStart w:id="2818" w:name="_Toc41567884"/>
      <w:bookmarkStart w:id="2819" w:name="_Toc41814992"/>
      <w:bookmarkStart w:id="2820" w:name="_Toc73354488"/>
      <w:bookmarkStart w:id="2821" w:name="_Toc73356471"/>
      <w:r w:rsidRPr="00236418">
        <w:t>III</w:t>
      </w:r>
      <w:r w:rsidRPr="00236418">
        <w:tab/>
        <w:t>CAISSE D</w:t>
      </w:r>
      <w:r>
        <w:t>'</w:t>
      </w:r>
      <w:r w:rsidRPr="00236418">
        <w:t>ASSURANCE (ANNEXE B3)</w:t>
      </w:r>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p>
    <w:p w14:paraId="673489D3" w14:textId="77777777" w:rsidR="00761B6C" w:rsidRPr="00236418" w:rsidRDefault="00761B6C" w:rsidP="00761B6C">
      <w:r w:rsidRPr="00236418">
        <w:t>8</w:t>
      </w:r>
      <w:r>
        <w:t>2</w:t>
      </w:r>
      <w:r w:rsidRPr="00236418">
        <w:tab/>
        <w:t>La Caisse d</w:t>
      </w:r>
      <w:r>
        <w:t>'</w:t>
      </w:r>
      <w:r w:rsidRPr="00236418">
        <w:t>assurance du personnel de l</w:t>
      </w:r>
      <w:r>
        <w:t>'</w:t>
      </w:r>
      <w:r w:rsidRPr="00236418">
        <w:t>UIT couvre l</w:t>
      </w:r>
      <w:r>
        <w:t>'</w:t>
      </w:r>
      <w:r w:rsidRPr="00236418">
        <w:t>ensemble des fonds garantissant les pensions du personnel qui était en fonction avant le 1er janvier 1960, date à laquelle l</w:t>
      </w:r>
      <w:r>
        <w:t>'</w:t>
      </w:r>
      <w:r w:rsidRPr="00236418">
        <w:t>UIT a été affiliée à la Caisse commune des pensions du personnel des Nations Unies. À l</w:t>
      </w:r>
      <w:r>
        <w:t>'</w:t>
      </w:r>
      <w:r w:rsidRPr="00236418">
        <w:t>origine, elle se composait de plusieurs fonds et comptes individuels. Fin 20</w:t>
      </w:r>
      <w:r>
        <w:t>20</w:t>
      </w:r>
      <w:r w:rsidRPr="00236418">
        <w:t xml:space="preserve">, le Fonds de réserve et des compléments a servi </w:t>
      </w:r>
      <w:r>
        <w:t>16</w:t>
      </w:r>
      <w:r w:rsidRPr="00236418">
        <w:rPr>
          <w:color w:val="000000" w:themeColor="text1"/>
        </w:rPr>
        <w:t xml:space="preserve"> </w:t>
      </w:r>
      <w:r w:rsidRPr="00236418">
        <w:t>pensions de retraites et 1</w:t>
      </w:r>
      <w:r>
        <w:t>6</w:t>
      </w:r>
      <w:r w:rsidRPr="00236418">
        <w:t xml:space="preserve"> pensions de survivants, et le Fonds d</w:t>
      </w:r>
      <w:r>
        <w:t>'</w:t>
      </w:r>
      <w:r w:rsidRPr="00236418">
        <w:t>intervention a permis d</w:t>
      </w:r>
      <w:r>
        <w:t>'</w:t>
      </w:r>
      <w:r w:rsidRPr="00236418">
        <w:t>assister les fonctionnaires et les pensionnés se trouvant dans une situation financière difficile. Le dernier calcul des engagements à provisionner pour les assurés de la Caisse d</w:t>
      </w:r>
      <w:r>
        <w:t>'</w:t>
      </w:r>
      <w:r w:rsidRPr="00236418">
        <w:t>assurance du personnel de l</w:t>
      </w:r>
      <w:r>
        <w:t>'</w:t>
      </w:r>
      <w:r w:rsidRPr="00236418">
        <w:t>UIT a été effectué le 31 décembre 2011.</w:t>
      </w:r>
    </w:p>
    <w:p w14:paraId="65984E46" w14:textId="77777777" w:rsidR="00761B6C" w:rsidRPr="00236418" w:rsidRDefault="00761B6C" w:rsidP="00761B6C">
      <w:pPr>
        <w:keepLines/>
      </w:pPr>
      <w:r w:rsidRPr="00236418">
        <w:t>8</w:t>
      </w:r>
      <w:r>
        <w:t>3</w:t>
      </w:r>
      <w:r w:rsidRPr="00236418">
        <w:tab/>
        <w:t>Conformément à la Résolution 7 (Genève, 1959) de la Conférence de plénipotentiaires), le personnel de l</w:t>
      </w:r>
      <w:r>
        <w:t>'</w:t>
      </w:r>
      <w:r w:rsidRPr="00236418">
        <w:t>UIT est affilié à partir du 1er janvier 1960, à la Caisse commune des pensions du personnel des Nations Unies. Aux termes de l</w:t>
      </w:r>
      <w:r>
        <w:t>'</w:t>
      </w:r>
      <w:r w:rsidRPr="00236418">
        <w:t>Article 86 de ses Statuts, la Caisse d</w:t>
      </w:r>
      <w:r>
        <w:t>'</w:t>
      </w:r>
      <w:r w:rsidRPr="00236418">
        <w:t>assurance du personnel de l</w:t>
      </w:r>
      <w:r>
        <w:t>'</w:t>
      </w:r>
      <w:r w:rsidRPr="00236418">
        <w:t>UIT est administrée par l</w:t>
      </w:r>
      <w:r>
        <w:t>'</w:t>
      </w:r>
      <w:r w:rsidRPr="00236418">
        <w:t>Union. La fortune de la Caisse d</w:t>
      </w:r>
      <w:r>
        <w:t>'</w:t>
      </w:r>
      <w:r w:rsidRPr="00236418">
        <w:t>assurance est à placer en valeurs pupillaires. Les comptes de cette Caisse sont vérifiés par le Vérificateur extérieur dans le cadre des contrôles périodiques des comptes de l</w:t>
      </w:r>
      <w:r>
        <w:t>'</w:t>
      </w:r>
      <w:r w:rsidRPr="00236418">
        <w:t>Union.</w:t>
      </w:r>
    </w:p>
    <w:p w14:paraId="1EFFBF7B" w14:textId="77777777" w:rsidR="00761B6C" w:rsidRDefault="00761B6C" w:rsidP="00761B6C">
      <w:r w:rsidRPr="00236418">
        <w:t>8</w:t>
      </w:r>
      <w:r>
        <w:t>4</w:t>
      </w:r>
      <w:r w:rsidRPr="00236418">
        <w:tab/>
        <w:t>Un compte courant est ouvert pour chacun des deux fonds restants auprès du Crédit Mutuel en France.</w:t>
      </w:r>
    </w:p>
    <w:p w14:paraId="54618250" w14:textId="159BDFD7" w:rsidR="00761B6C" w:rsidRPr="00B34E10" w:rsidRDefault="00761B6C" w:rsidP="00761B6C">
      <w:r w:rsidRPr="002A0DD1">
        <w:t>85</w:t>
      </w:r>
      <w:r w:rsidRPr="002A0DD1">
        <w:tab/>
        <w:t>En 2020, afin d'éviter les intérêts négatifs sur les avoirs e</w:t>
      </w:r>
      <w:r w:rsidR="002A0DD1">
        <w:t>n francs suisses, un montant de </w:t>
      </w:r>
      <w:r w:rsidRPr="002A0DD1">
        <w:t>5 millions USD a été acheté et investi, ce qui a entraîné un excédent de 7 984 CHF sur le Fonds de réserve et des compléments.</w:t>
      </w:r>
    </w:p>
    <w:p w14:paraId="79C2A54D" w14:textId="77777777" w:rsidR="00332DBC" w:rsidRDefault="00332DBC" w:rsidP="00761B6C">
      <w:pPr>
        <w:pStyle w:val="Heading1"/>
      </w:pPr>
      <w:bookmarkStart w:id="2822" w:name="_Toc70850583"/>
      <w:bookmarkStart w:id="2823" w:name="_Toc329202614"/>
      <w:bookmarkStart w:id="2824" w:name="_Toc329205046"/>
      <w:bookmarkStart w:id="2825" w:name="_Toc329206883"/>
      <w:bookmarkStart w:id="2826" w:name="_Toc358379336"/>
      <w:bookmarkStart w:id="2827" w:name="_Toc358379963"/>
      <w:bookmarkStart w:id="2828" w:name="_Toc358380516"/>
      <w:bookmarkStart w:id="2829" w:name="_Toc387167518"/>
      <w:bookmarkStart w:id="2830" w:name="_Toc395260960"/>
      <w:bookmarkStart w:id="2831" w:name="_Toc395261101"/>
      <w:bookmarkStart w:id="2832" w:name="_Toc395511747"/>
      <w:bookmarkStart w:id="2833" w:name="_Toc452138659"/>
      <w:bookmarkStart w:id="2834" w:name="_Toc452139108"/>
      <w:bookmarkStart w:id="2835" w:name="_Toc452139472"/>
      <w:bookmarkStart w:id="2836" w:name="_Toc452139878"/>
      <w:bookmarkStart w:id="2837" w:name="_Toc452140752"/>
      <w:bookmarkStart w:id="2838" w:name="_Toc482888043"/>
      <w:bookmarkStart w:id="2839" w:name="_Toc482888806"/>
      <w:bookmarkStart w:id="2840" w:name="_Toc511649522"/>
      <w:bookmarkStart w:id="2841" w:name="_Toc511649885"/>
      <w:bookmarkStart w:id="2842" w:name="_Toc511650008"/>
      <w:bookmarkStart w:id="2843" w:name="_Toc511650128"/>
      <w:bookmarkStart w:id="2844" w:name="_Toc511650622"/>
      <w:bookmarkStart w:id="2845" w:name="_Toc511651268"/>
      <w:bookmarkStart w:id="2846" w:name="_Toc511724131"/>
      <w:bookmarkStart w:id="2847" w:name="_Toc511739120"/>
      <w:bookmarkStart w:id="2848" w:name="_Toc511740832"/>
      <w:bookmarkStart w:id="2849" w:name="_Toc511741291"/>
      <w:bookmarkStart w:id="2850" w:name="_Toc10450805"/>
      <w:bookmarkStart w:id="2851" w:name="_Toc41566389"/>
      <w:bookmarkStart w:id="2852" w:name="_Toc41567389"/>
      <w:bookmarkStart w:id="2853" w:name="_Toc41567885"/>
      <w:bookmarkStart w:id="2854" w:name="_Toc41814993"/>
      <w:r>
        <w:br w:type="page"/>
      </w:r>
    </w:p>
    <w:p w14:paraId="3BD10C7B" w14:textId="2E367210" w:rsidR="00761B6C" w:rsidRPr="00236418" w:rsidRDefault="00761B6C" w:rsidP="00332DBC">
      <w:pPr>
        <w:pStyle w:val="Heading1"/>
        <w:spacing w:before="360"/>
      </w:pPr>
      <w:bookmarkStart w:id="2855" w:name="_Toc73354489"/>
      <w:bookmarkStart w:id="2856" w:name="_Toc73356472"/>
      <w:r w:rsidRPr="00236418">
        <w:lastRenderedPageBreak/>
        <w:t>IV</w:t>
      </w:r>
      <w:r w:rsidRPr="00236418">
        <w:tab/>
        <w:t>PROGRAMME DES NATIONS UNIES</w:t>
      </w:r>
      <w:bookmarkEnd w:id="2822"/>
      <w:bookmarkEnd w:id="2823"/>
      <w:bookmarkEnd w:id="2824"/>
      <w:bookmarkEnd w:id="2825"/>
      <w:bookmarkEnd w:id="2826"/>
      <w:bookmarkEnd w:id="2827"/>
      <w:bookmarkEnd w:id="2828"/>
      <w:bookmarkEnd w:id="2829"/>
      <w:bookmarkEnd w:id="2830"/>
      <w:bookmarkEnd w:id="2831"/>
      <w:bookmarkEnd w:id="2832"/>
      <w:r w:rsidRPr="00236418">
        <w:t xml:space="preserve"> POUR LE DÉVELOPPEMENT</w:t>
      </w:r>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14:paraId="5DD8A738" w14:textId="77777777" w:rsidR="00761B6C" w:rsidRPr="00236418" w:rsidRDefault="00761B6C" w:rsidP="00761B6C">
      <w:r>
        <w:t>86</w:t>
      </w:r>
      <w:r w:rsidRPr="00236418">
        <w:tab/>
        <w:t>Selon la catégorie de projets PNUD, l</w:t>
      </w:r>
      <w:r>
        <w:t>'</w:t>
      </w:r>
      <w:r w:rsidRPr="00236418">
        <w:t>UIT peut être l</w:t>
      </w:r>
      <w:r>
        <w:t>'</w:t>
      </w:r>
      <w:r w:rsidRPr="00236418">
        <w:t>agent d</w:t>
      </w:r>
      <w:r>
        <w:t>'</w:t>
      </w:r>
      <w:r w:rsidRPr="00236418">
        <w:t>exécution exclusif ou exécuter le projet conjointement avec le PNUD.</w:t>
      </w:r>
    </w:p>
    <w:p w14:paraId="5B93F5B2" w14:textId="77777777" w:rsidR="00761B6C" w:rsidRPr="00236418" w:rsidRDefault="00761B6C" w:rsidP="00761B6C">
      <w:r>
        <w:t>87</w:t>
      </w:r>
      <w:r w:rsidRPr="00236418">
        <w:tab/>
        <w:t>D</w:t>
      </w:r>
      <w:r>
        <w:t>'</w:t>
      </w:r>
      <w:r w:rsidRPr="00236418">
        <w:t>une manière générale, il existe deux catégories de projets PNUD: les projets exécutés par l</w:t>
      </w:r>
      <w:r>
        <w:t>'</w:t>
      </w:r>
      <w:r w:rsidRPr="00236418">
        <w:t>UIT et les projets exécutés par les gouvernements.</w:t>
      </w:r>
    </w:p>
    <w:p w14:paraId="56458C26" w14:textId="3A1DDC32" w:rsidR="00761B6C" w:rsidRPr="00236418" w:rsidRDefault="00761B6C" w:rsidP="00761B6C">
      <w:r>
        <w:t>88</w:t>
      </w:r>
      <w:r w:rsidRPr="00236418">
        <w:tab/>
        <w:t>Pour les projets exécutés partiellement ou en totalité par l</w:t>
      </w:r>
      <w:r>
        <w:t>'</w:t>
      </w:r>
      <w:r w:rsidRPr="00236418">
        <w:t>UIT, le PNUD fixe un budget à l</w:t>
      </w:r>
      <w:r>
        <w:t>'</w:t>
      </w:r>
      <w:r w:rsidRPr="00236418">
        <w:t>intention de l</w:t>
      </w:r>
      <w:r>
        <w:t>'</w:t>
      </w:r>
      <w:r w:rsidRPr="00236418">
        <w:t>UIT. À la fin de chaque année, le PNUD rembourse à l</w:t>
      </w:r>
      <w:r>
        <w:t>'</w:t>
      </w:r>
      <w:r w:rsidRPr="00236418">
        <w:t>UIT la totalité des dépenses encourues dans le cadre de ce budget, sur la base du "Project Delivery Report" (PDR). Au titre de son appui aux projets, l</w:t>
      </w:r>
      <w:r>
        <w:t>'</w:t>
      </w:r>
      <w:r w:rsidRPr="00236418">
        <w:t>UIT perçoit une allocation calculée au prorata des dépenses enregistrées dans les PDR.</w:t>
      </w:r>
    </w:p>
    <w:p w14:paraId="451E6984" w14:textId="77777777" w:rsidR="00761B6C" w:rsidRPr="00236418" w:rsidRDefault="00761B6C" w:rsidP="00761B6C">
      <w:r>
        <w:t>89</w:t>
      </w:r>
      <w:r w:rsidRPr="00236418">
        <w:tab/>
        <w:t>En 20</w:t>
      </w:r>
      <w:r>
        <w:t>20</w:t>
      </w:r>
      <w:r w:rsidRPr="00236418">
        <w:t xml:space="preserve">, </w:t>
      </w:r>
      <w:r w:rsidRPr="00236418">
        <w:rPr>
          <w:color w:val="000000"/>
        </w:rPr>
        <w:t xml:space="preserve">le compte du Fonds opérationnel (Operating </w:t>
      </w:r>
      <w:proofErr w:type="spellStart"/>
      <w:r w:rsidRPr="00236418">
        <w:rPr>
          <w:color w:val="000000"/>
        </w:rPr>
        <w:t>Fund</w:t>
      </w:r>
      <w:proofErr w:type="spellEnd"/>
      <w:r w:rsidRPr="00236418">
        <w:rPr>
          <w:color w:val="000000"/>
        </w:rPr>
        <w:t xml:space="preserve">) avec le PNUD présente un solde </w:t>
      </w:r>
      <w:r>
        <w:rPr>
          <w:color w:val="000000"/>
        </w:rPr>
        <w:t xml:space="preserve">de 1 million CHF en faveur de l'UIT </w:t>
      </w:r>
      <w:r w:rsidRPr="00236418">
        <w:t>(</w:t>
      </w:r>
      <w:r>
        <w:t xml:space="preserve">209 579 </w:t>
      </w:r>
      <w:r w:rsidRPr="00236418">
        <w:t>CHF en faveur de l</w:t>
      </w:r>
      <w:r>
        <w:t>'</w:t>
      </w:r>
      <w:r w:rsidRPr="00236418">
        <w:t>UIT en 201</w:t>
      </w:r>
      <w:r>
        <w:t>9</w:t>
      </w:r>
      <w:r w:rsidRPr="00236418">
        <w:t>).</w:t>
      </w:r>
    </w:p>
    <w:p w14:paraId="3AC2D361" w14:textId="77777777" w:rsidR="00761B6C" w:rsidRPr="00236418" w:rsidRDefault="00761B6C" w:rsidP="00332DBC">
      <w:pPr>
        <w:pStyle w:val="Heading1"/>
        <w:spacing w:before="360"/>
      </w:pPr>
      <w:bookmarkStart w:id="2857" w:name="_Toc70850598"/>
      <w:bookmarkStart w:id="2858" w:name="_Toc329202616"/>
      <w:bookmarkStart w:id="2859" w:name="_Toc329205048"/>
      <w:bookmarkStart w:id="2860" w:name="_Toc329206885"/>
      <w:bookmarkStart w:id="2861" w:name="_Toc358379338"/>
      <w:bookmarkStart w:id="2862" w:name="_Toc358379965"/>
      <w:bookmarkStart w:id="2863" w:name="_Toc358380518"/>
      <w:bookmarkStart w:id="2864" w:name="_Toc387167520"/>
      <w:bookmarkStart w:id="2865" w:name="_Toc395260962"/>
      <w:bookmarkStart w:id="2866" w:name="_Toc395261103"/>
      <w:bookmarkStart w:id="2867" w:name="_Toc395511749"/>
      <w:bookmarkStart w:id="2868" w:name="_Toc452138660"/>
      <w:bookmarkStart w:id="2869" w:name="_Toc452139109"/>
      <w:bookmarkStart w:id="2870" w:name="_Toc452139473"/>
      <w:bookmarkStart w:id="2871" w:name="_Toc452139879"/>
      <w:bookmarkStart w:id="2872" w:name="_Toc452140753"/>
      <w:bookmarkStart w:id="2873" w:name="_Toc482888044"/>
      <w:bookmarkStart w:id="2874" w:name="_Toc482888807"/>
      <w:bookmarkStart w:id="2875" w:name="_Toc511649523"/>
      <w:bookmarkStart w:id="2876" w:name="_Toc511649886"/>
      <w:bookmarkStart w:id="2877" w:name="_Toc511650009"/>
      <w:bookmarkStart w:id="2878" w:name="_Toc511650129"/>
      <w:bookmarkStart w:id="2879" w:name="_Toc511650623"/>
      <w:bookmarkStart w:id="2880" w:name="_Toc511651269"/>
      <w:bookmarkStart w:id="2881" w:name="_Toc511724132"/>
      <w:bookmarkStart w:id="2882" w:name="_Toc511739121"/>
      <w:bookmarkStart w:id="2883" w:name="_Toc511740833"/>
      <w:bookmarkStart w:id="2884" w:name="_Toc511741292"/>
      <w:bookmarkStart w:id="2885" w:name="_Toc10450806"/>
      <w:bookmarkStart w:id="2886" w:name="_Toc41566390"/>
      <w:bookmarkStart w:id="2887" w:name="_Toc41567390"/>
      <w:bookmarkStart w:id="2888" w:name="_Toc41567886"/>
      <w:bookmarkStart w:id="2889" w:name="_Toc41814994"/>
      <w:bookmarkStart w:id="2890" w:name="_Toc73354490"/>
      <w:bookmarkStart w:id="2891" w:name="_Toc73356473"/>
      <w:r w:rsidRPr="00236418">
        <w:t>V</w:t>
      </w:r>
      <w:r w:rsidRPr="00236418">
        <w:tab/>
        <w:t>FONDS D</w:t>
      </w:r>
      <w:r>
        <w:t>'</w:t>
      </w:r>
      <w:r w:rsidRPr="00236418">
        <w:t>AFFECTATION SPÉCIALE</w:t>
      </w:r>
      <w:bookmarkEnd w:id="2857"/>
      <w:r w:rsidRPr="00236418">
        <w:t xml:space="preserve"> (ANNEXE B4)</w:t>
      </w:r>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p>
    <w:p w14:paraId="5F3415B1" w14:textId="77777777" w:rsidR="00761B6C" w:rsidRPr="00236418" w:rsidRDefault="00761B6C" w:rsidP="00761B6C">
      <w:r w:rsidRPr="00236418">
        <w:t>9</w:t>
      </w:r>
      <w:r>
        <w:t>0</w:t>
      </w:r>
      <w:r w:rsidRPr="00236418">
        <w:tab/>
        <w:t>Le Fonds spécial de coopération technique (FSCT) a été créé en vue de répondre aux besoins des pays en développement qui sollicitent de l</w:t>
      </w:r>
      <w:r>
        <w:t>'</w:t>
      </w:r>
      <w:r w:rsidRPr="00236418">
        <w:t>Union une assistance d</w:t>
      </w:r>
      <w:r>
        <w:t>'</w:t>
      </w:r>
      <w:r w:rsidRPr="00236418">
        <w:t>urgence. Ce Fonds est alimenté par des contributions volontaires soit sous forme de dons en espèces dans n</w:t>
      </w:r>
      <w:r>
        <w:t>'</w:t>
      </w:r>
      <w:r w:rsidRPr="00236418">
        <w:t>importe quelle devise, ou sous toute autre forme.</w:t>
      </w:r>
    </w:p>
    <w:p w14:paraId="6C30FEE4" w14:textId="77777777" w:rsidR="00761B6C" w:rsidRPr="00236418" w:rsidRDefault="00761B6C" w:rsidP="00761B6C">
      <w:pPr>
        <w:keepNext/>
        <w:keepLines/>
        <w:rPr>
          <w:rFonts w:cstheme="majorBidi"/>
        </w:rPr>
      </w:pPr>
      <w:r w:rsidRPr="00236418">
        <w:rPr>
          <w:rFonts w:cstheme="majorBidi"/>
        </w:rPr>
        <w:t>9</w:t>
      </w:r>
      <w:r>
        <w:rPr>
          <w:rFonts w:cstheme="majorBidi"/>
        </w:rPr>
        <w:t>1</w:t>
      </w:r>
      <w:r w:rsidRPr="00236418">
        <w:rPr>
          <w:rFonts w:cstheme="majorBidi"/>
        </w:rPr>
        <w:tab/>
        <w:t>Les crédits non utilisés pour tous les types de projets financés par des tiers ainsi que des fonds de l</w:t>
      </w:r>
      <w:r>
        <w:rPr>
          <w:rFonts w:cstheme="majorBidi"/>
        </w:rPr>
        <w:t>'</w:t>
      </w:r>
      <w:r w:rsidRPr="00236418">
        <w:rPr>
          <w:rFonts w:cstheme="majorBidi"/>
        </w:rPr>
        <w:t>UIT</w:t>
      </w:r>
      <w:r>
        <w:rPr>
          <w:rFonts w:cstheme="majorBidi"/>
        </w:rPr>
        <w:t xml:space="preserve"> ont </w:t>
      </w:r>
      <w:r w:rsidRPr="00236418">
        <w:rPr>
          <w:rFonts w:cstheme="majorBidi"/>
        </w:rPr>
        <w:t>représent</w:t>
      </w:r>
      <w:r>
        <w:rPr>
          <w:rFonts w:cstheme="majorBidi"/>
        </w:rPr>
        <w:t>é 37,6</w:t>
      </w:r>
      <w:r w:rsidRPr="00236418">
        <w:rPr>
          <w:rFonts w:cstheme="majorBidi"/>
        </w:rPr>
        <w:t xml:space="preserve"> millions CHF en 20</w:t>
      </w:r>
      <w:r>
        <w:rPr>
          <w:rFonts w:cstheme="majorBidi"/>
        </w:rPr>
        <w:t>20</w:t>
      </w:r>
      <w:r w:rsidRPr="00236418">
        <w:rPr>
          <w:rFonts w:cstheme="majorBidi"/>
        </w:rPr>
        <w:t xml:space="preserve"> (44,8 </w:t>
      </w:r>
      <w:r w:rsidRPr="00236418">
        <w:t>millions CHF</w:t>
      </w:r>
      <w:r w:rsidRPr="00236418">
        <w:rPr>
          <w:rFonts w:cstheme="majorBidi"/>
        </w:rPr>
        <w:t xml:space="preserve"> en 201</w:t>
      </w:r>
      <w:r>
        <w:rPr>
          <w:rFonts w:cstheme="majorBidi"/>
        </w:rPr>
        <w:t>9</w:t>
      </w:r>
      <w:r w:rsidRPr="00236418">
        <w:rPr>
          <w:rFonts w:cstheme="majorBidi"/>
        </w:rPr>
        <w:t>). Le solde du Fonds de tiers en cours d</w:t>
      </w:r>
      <w:r>
        <w:rPr>
          <w:rFonts w:cstheme="majorBidi"/>
        </w:rPr>
        <w:t>'</w:t>
      </w:r>
      <w:r w:rsidRPr="00236418">
        <w:rPr>
          <w:rFonts w:cstheme="majorBidi"/>
        </w:rPr>
        <w:t>affectation</w:t>
      </w:r>
      <w:r>
        <w:rPr>
          <w:rFonts w:cstheme="majorBidi"/>
        </w:rPr>
        <w:t>,</w:t>
      </w:r>
      <w:r w:rsidRPr="00236418">
        <w:rPr>
          <w:rFonts w:cstheme="majorBidi"/>
        </w:rPr>
        <w:t xml:space="preserve"> qui s</w:t>
      </w:r>
      <w:r>
        <w:rPr>
          <w:rFonts w:cstheme="majorBidi"/>
        </w:rPr>
        <w:t>'</w:t>
      </w:r>
      <w:r w:rsidRPr="00236418">
        <w:rPr>
          <w:rFonts w:cstheme="majorBidi"/>
        </w:rPr>
        <w:t>élevait à</w:t>
      </w:r>
      <w:r w:rsidRPr="00236418">
        <w:t xml:space="preserve"> </w:t>
      </w:r>
      <w:r>
        <w:t>3</w:t>
      </w:r>
      <w:r w:rsidRPr="00236418">
        <w:t xml:space="preserve"> million</w:t>
      </w:r>
      <w:r>
        <w:t>s</w:t>
      </w:r>
      <w:r w:rsidRPr="00236418">
        <w:t xml:space="preserve"> CHF fin 20</w:t>
      </w:r>
      <w:r>
        <w:t>20</w:t>
      </w:r>
      <w:r w:rsidRPr="00236418">
        <w:t xml:space="preserve"> (</w:t>
      </w:r>
      <w:r>
        <w:t>1,7</w:t>
      </w:r>
      <w:r w:rsidRPr="00236418">
        <w:t xml:space="preserve"> million CHF fin 201</w:t>
      </w:r>
      <w:r>
        <w:t>9</w:t>
      </w:r>
      <w:r w:rsidRPr="00236418">
        <w:t>)</w:t>
      </w:r>
      <w:r>
        <w:t xml:space="preserve">, </w:t>
      </w:r>
      <w:r w:rsidRPr="00236418">
        <w:t>est composé des dernières sommes reçues pour les projets sur le point d</w:t>
      </w:r>
      <w:r>
        <w:t>'</w:t>
      </w:r>
      <w:r w:rsidRPr="00236418">
        <w:t>être lancés ainsi que des sommes restant après la clôture de projets. Celles-ci sont retournées aux bailleurs de fonds ou allouées à de nouveaux projets.</w:t>
      </w:r>
    </w:p>
    <w:p w14:paraId="2EAF57A2" w14:textId="77777777" w:rsidR="00761B6C" w:rsidRPr="00236418" w:rsidRDefault="00761B6C" w:rsidP="00761B6C">
      <w:pPr>
        <w:rPr>
          <w:rFonts w:cstheme="majorBidi"/>
        </w:rPr>
      </w:pPr>
      <w:r w:rsidRPr="00236418">
        <w:rPr>
          <w:rFonts w:cstheme="majorBidi"/>
        </w:rPr>
        <w:t>9</w:t>
      </w:r>
      <w:r>
        <w:rPr>
          <w:rFonts w:cstheme="majorBidi"/>
        </w:rPr>
        <w:t>2</w:t>
      </w:r>
      <w:r w:rsidRPr="00236418">
        <w:rPr>
          <w:rFonts w:cstheme="majorBidi"/>
        </w:rPr>
        <w:tab/>
        <w:t>En 20</w:t>
      </w:r>
      <w:r>
        <w:rPr>
          <w:rFonts w:cstheme="majorBidi"/>
        </w:rPr>
        <w:t>20</w:t>
      </w:r>
      <w:r w:rsidRPr="00236418">
        <w:rPr>
          <w:rFonts w:cstheme="majorBidi"/>
        </w:rPr>
        <w:t>, les actifs liquides</w:t>
      </w:r>
      <w:r w:rsidRPr="00236418">
        <w:t xml:space="preserve"> </w:t>
      </w:r>
      <w:r w:rsidRPr="00236418">
        <w:rPr>
          <w:rFonts w:cstheme="majorBidi"/>
        </w:rPr>
        <w:t>s</w:t>
      </w:r>
      <w:r>
        <w:rPr>
          <w:rFonts w:cstheme="majorBidi"/>
        </w:rPr>
        <w:t>'</w:t>
      </w:r>
      <w:r w:rsidRPr="00236418">
        <w:rPr>
          <w:rFonts w:cstheme="majorBidi"/>
        </w:rPr>
        <w:t xml:space="preserve">élevaient à </w:t>
      </w:r>
      <w:r>
        <w:rPr>
          <w:rFonts w:cstheme="majorBidi"/>
        </w:rPr>
        <w:t>15,5</w:t>
      </w:r>
      <w:r w:rsidRPr="00236418">
        <w:rPr>
          <w:rFonts w:cstheme="majorBidi"/>
        </w:rPr>
        <w:t xml:space="preserve"> millions </w:t>
      </w:r>
      <w:r w:rsidRPr="00236418">
        <w:t>CHF</w:t>
      </w:r>
      <w:r w:rsidRPr="00236418">
        <w:rPr>
          <w:rFonts w:cstheme="majorBidi"/>
        </w:rPr>
        <w:t xml:space="preserve"> (contre</w:t>
      </w:r>
      <w:r w:rsidRPr="00236418">
        <w:t xml:space="preserve"> </w:t>
      </w:r>
      <w:r>
        <w:t>23,9</w:t>
      </w:r>
      <w:r w:rsidRPr="00236418">
        <w:t xml:space="preserve"> millions CHF</w:t>
      </w:r>
      <w:r w:rsidRPr="00236418">
        <w:rPr>
          <w:rFonts w:cstheme="majorBidi"/>
        </w:rPr>
        <w:t xml:space="preserve"> </w:t>
      </w:r>
      <w:r w:rsidRPr="00236418">
        <w:t>en 201</w:t>
      </w:r>
      <w:r>
        <w:t>9</w:t>
      </w:r>
      <w:r w:rsidRPr="00236418">
        <w:t>)</w:t>
      </w:r>
      <w:r w:rsidRPr="00236418">
        <w:rPr>
          <w:rFonts w:cstheme="majorBidi"/>
        </w:rPr>
        <w:t>. Le montant des placements</w:t>
      </w:r>
      <w:r w:rsidRPr="00236418">
        <w:t xml:space="preserve"> s</w:t>
      </w:r>
      <w:r w:rsidRPr="00236418">
        <w:rPr>
          <w:rFonts w:cstheme="majorBidi"/>
        </w:rPr>
        <w:t xml:space="preserve">e chiffrait à </w:t>
      </w:r>
      <w:r>
        <w:rPr>
          <w:rFonts w:cstheme="majorBidi"/>
        </w:rPr>
        <w:t>20</w:t>
      </w:r>
      <w:r w:rsidRPr="00236418">
        <w:rPr>
          <w:rFonts w:cstheme="majorBidi"/>
        </w:rPr>
        <w:t>,</w:t>
      </w:r>
      <w:r>
        <w:rPr>
          <w:rFonts w:cstheme="majorBidi"/>
        </w:rPr>
        <w:t>8</w:t>
      </w:r>
      <w:r w:rsidRPr="00236418">
        <w:rPr>
          <w:rFonts w:cstheme="majorBidi"/>
        </w:rPr>
        <w:t xml:space="preserve"> millions </w:t>
      </w:r>
      <w:r w:rsidRPr="00236418">
        <w:t>CHF</w:t>
      </w:r>
      <w:r w:rsidRPr="00236418">
        <w:rPr>
          <w:rFonts w:cstheme="majorBidi"/>
        </w:rPr>
        <w:t xml:space="preserve"> fin 20</w:t>
      </w:r>
      <w:r>
        <w:rPr>
          <w:rFonts w:cstheme="majorBidi"/>
        </w:rPr>
        <w:t>20</w:t>
      </w:r>
      <w:r w:rsidRPr="00236418">
        <w:rPr>
          <w:rFonts w:cstheme="majorBidi"/>
        </w:rPr>
        <w:t xml:space="preserve"> (1</w:t>
      </w:r>
      <w:r>
        <w:rPr>
          <w:rFonts w:cstheme="majorBidi"/>
        </w:rPr>
        <w:t>3</w:t>
      </w:r>
      <w:r w:rsidRPr="00236418">
        <w:rPr>
          <w:rFonts w:cstheme="majorBidi"/>
        </w:rPr>
        <w:t>,</w:t>
      </w:r>
      <w:r>
        <w:rPr>
          <w:rFonts w:cstheme="majorBidi"/>
        </w:rPr>
        <w:t>9</w:t>
      </w:r>
      <w:r w:rsidRPr="00236418">
        <w:rPr>
          <w:rFonts w:cstheme="majorBidi"/>
        </w:rPr>
        <w:t xml:space="preserve"> millions </w:t>
      </w:r>
      <w:r w:rsidRPr="00236418">
        <w:t>CHF en 20</w:t>
      </w:r>
      <w:r>
        <w:t>19</w:t>
      </w:r>
      <w:r w:rsidRPr="00236418">
        <w:t>)</w:t>
      </w:r>
      <w:r w:rsidRPr="00236418">
        <w:rPr>
          <w:rFonts w:cstheme="majorBidi"/>
        </w:rPr>
        <w:t>. Ces placements ont généré des intérêts s</w:t>
      </w:r>
      <w:r>
        <w:rPr>
          <w:rFonts w:cstheme="majorBidi"/>
        </w:rPr>
        <w:t>'</w:t>
      </w:r>
      <w:r w:rsidRPr="00236418">
        <w:rPr>
          <w:rFonts w:cstheme="majorBidi"/>
        </w:rPr>
        <w:t xml:space="preserve">élevant à </w:t>
      </w:r>
      <w:r>
        <w:rPr>
          <w:rFonts w:cstheme="majorBidi"/>
        </w:rPr>
        <w:t>204</w:t>
      </w:r>
      <w:r w:rsidRPr="00236418">
        <w:rPr>
          <w:rFonts w:cstheme="majorBidi"/>
        </w:rPr>
        <w:t xml:space="preserve"> 000 </w:t>
      </w:r>
      <w:r w:rsidRPr="00236418">
        <w:t>CHF</w:t>
      </w:r>
      <w:r w:rsidRPr="00236418">
        <w:rPr>
          <w:rFonts w:cstheme="majorBidi"/>
        </w:rPr>
        <w:t xml:space="preserve"> en 20</w:t>
      </w:r>
      <w:r>
        <w:rPr>
          <w:rFonts w:cstheme="majorBidi"/>
        </w:rPr>
        <w:t>20</w:t>
      </w:r>
      <w:r w:rsidRPr="00236418">
        <w:rPr>
          <w:rFonts w:cstheme="majorBidi"/>
        </w:rPr>
        <w:t xml:space="preserve"> (</w:t>
      </w:r>
      <w:r>
        <w:rPr>
          <w:rFonts w:cstheme="majorBidi"/>
        </w:rPr>
        <w:t>447</w:t>
      </w:r>
      <w:r w:rsidRPr="00236418">
        <w:rPr>
          <w:rFonts w:cstheme="majorBidi"/>
        </w:rPr>
        <w:t> 000 </w:t>
      </w:r>
      <w:r w:rsidRPr="00236418">
        <w:t>CHF en 201</w:t>
      </w:r>
      <w:r>
        <w:t>9</w:t>
      </w:r>
      <w:r w:rsidRPr="00236418">
        <w:rPr>
          <w:rFonts w:cstheme="majorBidi"/>
        </w:rPr>
        <w:t>).</w:t>
      </w:r>
    </w:p>
    <w:p w14:paraId="17C19D6C" w14:textId="77777777" w:rsidR="00761B6C" w:rsidRPr="00236418" w:rsidRDefault="00761B6C" w:rsidP="00761B6C">
      <w:pPr>
        <w:pStyle w:val="Headingb"/>
      </w:pPr>
      <w:bookmarkStart w:id="2892" w:name="_Toc358379339"/>
      <w:bookmarkStart w:id="2893" w:name="_Toc358380519"/>
      <w:bookmarkStart w:id="2894" w:name="_Toc387167521"/>
      <w:bookmarkStart w:id="2895" w:name="_Toc452138661"/>
      <w:bookmarkStart w:id="2896" w:name="_Toc452139110"/>
      <w:bookmarkStart w:id="2897" w:name="_Toc452139474"/>
      <w:bookmarkStart w:id="2898" w:name="_Toc452139880"/>
      <w:bookmarkStart w:id="2899" w:name="_Toc452140754"/>
      <w:bookmarkStart w:id="2900" w:name="_Toc482888808"/>
      <w:bookmarkStart w:id="2901" w:name="_Toc511649524"/>
      <w:bookmarkStart w:id="2902" w:name="_Toc511649887"/>
      <w:bookmarkStart w:id="2903" w:name="_Toc511650010"/>
      <w:bookmarkStart w:id="2904" w:name="_Toc511650130"/>
      <w:bookmarkStart w:id="2905" w:name="_Toc511650624"/>
      <w:bookmarkStart w:id="2906" w:name="_Toc511651270"/>
      <w:bookmarkStart w:id="2907" w:name="_Toc511724133"/>
      <w:bookmarkStart w:id="2908" w:name="_Toc511739122"/>
      <w:bookmarkStart w:id="2909" w:name="_Toc511741293"/>
      <w:bookmarkStart w:id="2910" w:name="_Toc10450807"/>
      <w:bookmarkStart w:id="2911" w:name="_Toc41566391"/>
      <w:bookmarkStart w:id="2912" w:name="_Toc41814995"/>
      <w:bookmarkStart w:id="2913" w:name="_Toc73354491"/>
      <w:bookmarkStart w:id="2914" w:name="_Toc73356474"/>
      <w:bookmarkStart w:id="2915" w:name="_Toc70850602"/>
      <w:r w:rsidRPr="00236418">
        <w:t>Dépenses relatives aux projets et dépenses d</w:t>
      </w:r>
      <w:r>
        <w:t>'</w:t>
      </w:r>
      <w:r w:rsidRPr="00236418">
        <w:t xml:space="preserve">appui </w:t>
      </w:r>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r w:rsidRPr="00236418">
        <w:t>20</w:t>
      </w:r>
      <w:bookmarkEnd w:id="2910"/>
      <w:bookmarkEnd w:id="2911"/>
      <w:bookmarkEnd w:id="2912"/>
      <w:r>
        <w:t>20</w:t>
      </w:r>
      <w:bookmarkEnd w:id="2913"/>
      <w:bookmarkEnd w:id="2914"/>
    </w:p>
    <w:p w14:paraId="79C0FB38" w14:textId="77777777" w:rsidR="00761B6C" w:rsidRPr="00236418" w:rsidRDefault="00761B6C" w:rsidP="00761B6C">
      <w:r w:rsidRPr="00236418">
        <w:t>9</w:t>
      </w:r>
      <w:r>
        <w:t>3</w:t>
      </w:r>
      <w:r w:rsidRPr="00236418">
        <w:tab/>
        <w:t>En 20</w:t>
      </w:r>
      <w:r>
        <w:t>20</w:t>
      </w:r>
      <w:r w:rsidRPr="00236418">
        <w:t>, les dépenses pour l</w:t>
      </w:r>
      <w:r>
        <w:t>'</w:t>
      </w:r>
      <w:r w:rsidRPr="00236418">
        <w:t>ensemble des projets financés sur des fonds d</w:t>
      </w:r>
      <w:r>
        <w:t>'</w:t>
      </w:r>
      <w:r w:rsidRPr="00236418">
        <w:t>affectation spéciale se sont élevées à </w:t>
      </w:r>
      <w:r>
        <w:t>6</w:t>
      </w:r>
      <w:r w:rsidRPr="00236418">
        <w:t xml:space="preserve">,7 millions CHF, contre </w:t>
      </w:r>
      <w:r>
        <w:t>8</w:t>
      </w:r>
      <w:r w:rsidRPr="00236418">
        <w:t>,</w:t>
      </w:r>
      <w:r>
        <w:t>7</w:t>
      </w:r>
      <w:r w:rsidRPr="00236418">
        <w:t xml:space="preserve"> millions CHF en 201</w:t>
      </w:r>
      <w:r>
        <w:t>9</w:t>
      </w:r>
      <w:r w:rsidRPr="00236418">
        <w:t>. Les dépenses d</w:t>
      </w:r>
      <w:r>
        <w:t>'</w:t>
      </w:r>
      <w:r w:rsidRPr="00236418">
        <w:t xml:space="preserve">appui se sont chiffrées à </w:t>
      </w:r>
      <w:r>
        <w:t>236</w:t>
      </w:r>
      <w:r w:rsidRPr="00236418">
        <w:t xml:space="preserve"> 000 CHF en 20</w:t>
      </w:r>
      <w:r>
        <w:t>20</w:t>
      </w:r>
      <w:r w:rsidRPr="00236418">
        <w:t xml:space="preserve"> (4</w:t>
      </w:r>
      <w:r>
        <w:t>14</w:t>
      </w:r>
      <w:r w:rsidRPr="00236418">
        <w:t xml:space="preserve"> 000 CHF en 201</w:t>
      </w:r>
      <w:r>
        <w:t>9</w:t>
      </w:r>
      <w:r w:rsidRPr="00236418">
        <w:t>).</w:t>
      </w:r>
    </w:p>
    <w:p w14:paraId="7B727C04" w14:textId="77777777" w:rsidR="00761B6C" w:rsidRPr="008D75D9" w:rsidRDefault="00761B6C" w:rsidP="00332DBC">
      <w:pPr>
        <w:pStyle w:val="Heading1"/>
        <w:spacing w:before="360"/>
      </w:pPr>
      <w:bookmarkStart w:id="2916" w:name="_Toc70850608"/>
      <w:bookmarkStart w:id="2917" w:name="_Toc329202617"/>
      <w:bookmarkStart w:id="2918" w:name="_Toc329205049"/>
      <w:bookmarkStart w:id="2919" w:name="_Toc329206886"/>
      <w:bookmarkStart w:id="2920" w:name="_Toc358379344"/>
      <w:bookmarkStart w:id="2921" w:name="_Toc358379966"/>
      <w:bookmarkStart w:id="2922" w:name="_Toc358380524"/>
      <w:bookmarkStart w:id="2923" w:name="_Toc387167522"/>
      <w:bookmarkStart w:id="2924" w:name="_Toc395260963"/>
      <w:bookmarkStart w:id="2925" w:name="_Toc395261104"/>
      <w:bookmarkStart w:id="2926" w:name="_Toc395511750"/>
      <w:bookmarkStart w:id="2927" w:name="_Toc452138662"/>
      <w:bookmarkStart w:id="2928" w:name="_Toc452139111"/>
      <w:bookmarkStart w:id="2929" w:name="_Toc452139475"/>
      <w:bookmarkStart w:id="2930" w:name="_Toc452139881"/>
      <w:bookmarkStart w:id="2931" w:name="_Toc452140755"/>
      <w:bookmarkStart w:id="2932" w:name="_Toc482888045"/>
      <w:bookmarkStart w:id="2933" w:name="_Toc482888809"/>
      <w:bookmarkStart w:id="2934" w:name="_Toc511649525"/>
      <w:bookmarkStart w:id="2935" w:name="_Toc511649888"/>
      <w:bookmarkStart w:id="2936" w:name="_Toc511650011"/>
      <w:bookmarkStart w:id="2937" w:name="_Toc511650131"/>
      <w:bookmarkStart w:id="2938" w:name="_Toc511650625"/>
      <w:bookmarkStart w:id="2939" w:name="_Toc511651271"/>
      <w:bookmarkStart w:id="2940" w:name="_Toc511724134"/>
      <w:bookmarkStart w:id="2941" w:name="_Toc511739123"/>
      <w:bookmarkStart w:id="2942" w:name="_Toc511740834"/>
      <w:bookmarkStart w:id="2943" w:name="_Toc511741294"/>
      <w:bookmarkStart w:id="2944" w:name="_Toc10450808"/>
      <w:bookmarkStart w:id="2945" w:name="_Toc41566392"/>
      <w:bookmarkStart w:id="2946" w:name="_Toc41567391"/>
      <w:bookmarkStart w:id="2947" w:name="_Toc41567887"/>
      <w:bookmarkStart w:id="2948" w:name="_Toc41814996"/>
      <w:bookmarkStart w:id="2949" w:name="_Toc73354492"/>
      <w:bookmarkStart w:id="2950" w:name="_Toc73356475"/>
      <w:bookmarkEnd w:id="2915"/>
      <w:r w:rsidRPr="008D75D9">
        <w:t>VI</w:t>
      </w:r>
      <w:r w:rsidRPr="008D75D9">
        <w:tab/>
        <w:t>CONTRIBUTIONS VOLONTAIRES</w:t>
      </w:r>
      <w:bookmarkEnd w:id="2916"/>
      <w:r w:rsidRPr="008D75D9">
        <w:t xml:space="preserve"> (ANNEXE B5)</w:t>
      </w:r>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p>
    <w:p w14:paraId="720C9C36" w14:textId="77777777" w:rsidR="00761B6C" w:rsidRPr="00236418" w:rsidRDefault="00761B6C" w:rsidP="00761B6C">
      <w:pPr>
        <w:rPr>
          <w:rFonts w:cstheme="majorBidi"/>
        </w:rPr>
      </w:pPr>
      <w:r w:rsidRPr="00236418">
        <w:rPr>
          <w:rFonts w:cstheme="majorBidi"/>
        </w:rPr>
        <w:t>9</w:t>
      </w:r>
      <w:r>
        <w:rPr>
          <w:rFonts w:cstheme="majorBidi"/>
        </w:rPr>
        <w:t>4</w:t>
      </w:r>
      <w:r w:rsidRPr="00236418">
        <w:rPr>
          <w:rFonts w:cstheme="majorBidi"/>
        </w:rPr>
        <w:tab/>
        <w:t>En 20</w:t>
      </w:r>
      <w:r>
        <w:rPr>
          <w:rFonts w:cstheme="majorBidi"/>
        </w:rPr>
        <w:t>20</w:t>
      </w:r>
      <w:r w:rsidRPr="00236418">
        <w:rPr>
          <w:rFonts w:cstheme="majorBidi"/>
        </w:rPr>
        <w:t>, les actifs liquides</w:t>
      </w:r>
      <w:r w:rsidRPr="00236418">
        <w:t xml:space="preserve"> </w:t>
      </w:r>
      <w:r w:rsidRPr="00236418">
        <w:rPr>
          <w:rFonts w:cstheme="majorBidi"/>
        </w:rPr>
        <w:t>s</w:t>
      </w:r>
      <w:r>
        <w:rPr>
          <w:rFonts w:cstheme="majorBidi"/>
        </w:rPr>
        <w:t>'</w:t>
      </w:r>
      <w:r w:rsidRPr="00236418">
        <w:rPr>
          <w:rFonts w:cstheme="majorBidi"/>
        </w:rPr>
        <w:t xml:space="preserve">élevaient à </w:t>
      </w:r>
      <w:r>
        <w:rPr>
          <w:rFonts w:cstheme="majorBidi"/>
        </w:rPr>
        <w:t>5</w:t>
      </w:r>
      <w:r w:rsidRPr="00236418">
        <w:rPr>
          <w:rFonts w:cstheme="majorBidi"/>
        </w:rPr>
        <w:t>,</w:t>
      </w:r>
      <w:r>
        <w:rPr>
          <w:rFonts w:cstheme="majorBidi"/>
        </w:rPr>
        <w:t>6</w:t>
      </w:r>
      <w:r w:rsidRPr="00236418">
        <w:rPr>
          <w:rFonts w:cstheme="majorBidi"/>
        </w:rPr>
        <w:t xml:space="preserve"> millions </w:t>
      </w:r>
      <w:r w:rsidRPr="00236418">
        <w:t>CHF</w:t>
      </w:r>
      <w:r w:rsidRPr="00236418">
        <w:rPr>
          <w:rFonts w:cstheme="majorBidi"/>
        </w:rPr>
        <w:t xml:space="preserve"> (</w:t>
      </w:r>
      <w:r w:rsidRPr="00236418">
        <w:t>9,</w:t>
      </w:r>
      <w:r>
        <w:t>4</w:t>
      </w:r>
      <w:r w:rsidRPr="00236418">
        <w:t xml:space="preserve"> millions CHF</w:t>
      </w:r>
      <w:r w:rsidRPr="00236418">
        <w:rPr>
          <w:rFonts w:cstheme="majorBidi"/>
        </w:rPr>
        <w:t xml:space="preserve"> </w:t>
      </w:r>
      <w:r w:rsidRPr="00236418">
        <w:t>en 201</w:t>
      </w:r>
      <w:r>
        <w:t>9</w:t>
      </w:r>
      <w:r w:rsidRPr="00236418">
        <w:t>)</w:t>
      </w:r>
      <w:r w:rsidRPr="00236418">
        <w:rPr>
          <w:rFonts w:cstheme="majorBidi"/>
        </w:rPr>
        <w:t>.</w:t>
      </w:r>
    </w:p>
    <w:p w14:paraId="68D1C012" w14:textId="77777777" w:rsidR="00761B6C" w:rsidRPr="00236418" w:rsidRDefault="00761B6C" w:rsidP="00761B6C">
      <w:pPr>
        <w:rPr>
          <w:rFonts w:cstheme="majorBidi"/>
        </w:rPr>
      </w:pPr>
      <w:r w:rsidRPr="00236418">
        <w:rPr>
          <w:rFonts w:cstheme="majorBidi"/>
        </w:rPr>
        <w:t>9</w:t>
      </w:r>
      <w:r>
        <w:rPr>
          <w:rFonts w:cstheme="majorBidi"/>
        </w:rPr>
        <w:t>5</w:t>
      </w:r>
      <w:r w:rsidRPr="00236418">
        <w:rPr>
          <w:rFonts w:cstheme="majorBidi"/>
        </w:rPr>
        <w:tab/>
      </w:r>
      <w:r w:rsidRPr="00236418">
        <w:t>En 20</w:t>
      </w:r>
      <w:r>
        <w:t>20</w:t>
      </w:r>
      <w:r w:rsidRPr="00236418">
        <w:t>, les dépenses pour l</w:t>
      </w:r>
      <w:r>
        <w:t>'</w:t>
      </w:r>
      <w:r w:rsidRPr="00236418">
        <w:t>ensemble des contributions volontaires se sont chiffrées à </w:t>
      </w:r>
      <w:r>
        <w:t>3</w:t>
      </w:r>
      <w:r w:rsidRPr="00236418">
        <w:t>,</w:t>
      </w:r>
      <w:r>
        <w:t>2</w:t>
      </w:r>
      <w:r w:rsidRPr="00236418">
        <w:t> millions CHF, contre 4,4 millions CHF en 201</w:t>
      </w:r>
      <w:r>
        <w:t>9</w:t>
      </w:r>
      <w:r w:rsidRPr="00236418">
        <w:t>.</w:t>
      </w:r>
    </w:p>
    <w:p w14:paraId="0D59C591" w14:textId="77777777" w:rsidR="00332DBC" w:rsidRDefault="00332DBC" w:rsidP="00761B6C">
      <w:pPr>
        <w:pStyle w:val="Heading1"/>
      </w:pPr>
      <w:bookmarkStart w:id="2951" w:name="_Toc329202618"/>
      <w:bookmarkStart w:id="2952" w:name="_Toc329205050"/>
      <w:bookmarkStart w:id="2953" w:name="_Toc329206887"/>
      <w:bookmarkStart w:id="2954" w:name="_Toc358379345"/>
      <w:bookmarkStart w:id="2955" w:name="_Toc358379967"/>
      <w:bookmarkStart w:id="2956" w:name="_Toc358380525"/>
      <w:bookmarkStart w:id="2957" w:name="_Toc387167523"/>
      <w:bookmarkStart w:id="2958" w:name="_Toc395260964"/>
      <w:bookmarkStart w:id="2959" w:name="_Toc395261105"/>
      <w:bookmarkStart w:id="2960" w:name="_Toc395511751"/>
      <w:bookmarkStart w:id="2961" w:name="_Toc452138663"/>
      <w:bookmarkStart w:id="2962" w:name="_Toc452139112"/>
      <w:bookmarkStart w:id="2963" w:name="_Toc452139476"/>
      <w:bookmarkStart w:id="2964" w:name="_Toc452139882"/>
      <w:bookmarkStart w:id="2965" w:name="_Toc452140756"/>
      <w:bookmarkStart w:id="2966" w:name="_Toc482888046"/>
      <w:bookmarkStart w:id="2967" w:name="_Toc482888810"/>
      <w:bookmarkStart w:id="2968" w:name="_Toc511649526"/>
      <w:bookmarkStart w:id="2969" w:name="_Toc511649889"/>
      <w:bookmarkStart w:id="2970" w:name="_Toc511650012"/>
      <w:bookmarkStart w:id="2971" w:name="_Toc511650132"/>
      <w:bookmarkStart w:id="2972" w:name="_Toc511650626"/>
      <w:bookmarkStart w:id="2973" w:name="_Toc511651272"/>
      <w:bookmarkStart w:id="2974" w:name="_Toc511724135"/>
      <w:bookmarkStart w:id="2975" w:name="_Toc511739124"/>
      <w:bookmarkStart w:id="2976" w:name="_Toc511740835"/>
      <w:bookmarkStart w:id="2977" w:name="_Toc511741295"/>
      <w:bookmarkStart w:id="2978" w:name="_Toc10450809"/>
      <w:bookmarkStart w:id="2979" w:name="_Toc41566393"/>
      <w:bookmarkStart w:id="2980" w:name="_Toc41567392"/>
      <w:bookmarkStart w:id="2981" w:name="_Toc41567888"/>
      <w:bookmarkStart w:id="2982" w:name="_Toc41814997"/>
      <w:r>
        <w:br w:type="page"/>
      </w:r>
    </w:p>
    <w:p w14:paraId="51C26780" w14:textId="002E5AB0" w:rsidR="00761B6C" w:rsidRPr="00236418" w:rsidRDefault="00761B6C" w:rsidP="00332DBC">
      <w:pPr>
        <w:pStyle w:val="Heading1"/>
        <w:spacing w:before="360"/>
      </w:pPr>
      <w:bookmarkStart w:id="2983" w:name="_Toc73354493"/>
      <w:bookmarkStart w:id="2984" w:name="_Toc73356476"/>
      <w:r w:rsidRPr="00236418">
        <w:lastRenderedPageBreak/>
        <w:t>VII</w:t>
      </w:r>
      <w:r w:rsidRPr="00236418">
        <w:tab/>
        <w:t>FONDS POUR LE DÉVELOPPEMENT DES TIC (FDTIC) (ANNEXE B6)</w:t>
      </w:r>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p>
    <w:p w14:paraId="2A098819" w14:textId="77777777" w:rsidR="00761B6C" w:rsidRPr="00236418" w:rsidRDefault="00761B6C" w:rsidP="00761B6C">
      <w:r>
        <w:t>96</w:t>
      </w:r>
      <w:r w:rsidRPr="00236418">
        <w:tab/>
        <w:t>Le solde du Fonds pour le développement des TIC s</w:t>
      </w:r>
      <w:r>
        <w:t>'</w:t>
      </w:r>
      <w:r w:rsidRPr="00236418">
        <w:t xml:space="preserve">établissait à </w:t>
      </w:r>
      <w:r>
        <w:t>3</w:t>
      </w:r>
      <w:r w:rsidRPr="00236418">
        <w:t>,</w:t>
      </w:r>
      <w:r>
        <w:t>8</w:t>
      </w:r>
      <w:r w:rsidRPr="00236418">
        <w:t xml:space="preserve"> millions</w:t>
      </w:r>
      <w:r>
        <w:t> </w:t>
      </w:r>
      <w:r w:rsidRPr="00236418">
        <w:t>CHF au 31 décembre 20</w:t>
      </w:r>
      <w:r>
        <w:t>20</w:t>
      </w:r>
      <w:r w:rsidRPr="00236418">
        <w:t xml:space="preserve"> (4,</w:t>
      </w:r>
      <w:r>
        <w:t>6</w:t>
      </w:r>
      <w:r w:rsidRPr="00236418">
        <w:t xml:space="preserve"> millions CHF au 31 décembre 201</w:t>
      </w:r>
      <w:r>
        <w:t>9</w:t>
      </w:r>
      <w:r w:rsidRPr="00236418">
        <w:t>).</w:t>
      </w:r>
    </w:p>
    <w:p w14:paraId="4AB6DE74" w14:textId="77777777" w:rsidR="00761B6C" w:rsidRPr="00236418" w:rsidRDefault="00761B6C" w:rsidP="00761B6C">
      <w:r>
        <w:t>97</w:t>
      </w:r>
      <w:r w:rsidRPr="00236418">
        <w:tab/>
        <w:t>En 20</w:t>
      </w:r>
      <w:r>
        <w:t>20</w:t>
      </w:r>
      <w:r w:rsidRPr="00236418">
        <w:t xml:space="preserve">, un montant de </w:t>
      </w:r>
      <w:r>
        <w:t>1,7 million</w:t>
      </w:r>
      <w:r w:rsidRPr="00236418">
        <w:t xml:space="preserve"> CHF a été alloué au financement de projets TIC et les intérêts générés par les dépôts, qui se sont chiffrés à </w:t>
      </w:r>
      <w:r>
        <w:t>16</w:t>
      </w:r>
      <w:r w:rsidRPr="00236418">
        <w:t xml:space="preserve"> 000 CHF, ont été transférés vers le Fonds de roulement des TIC.</w:t>
      </w:r>
    </w:p>
    <w:p w14:paraId="6480EAE5" w14:textId="77777777" w:rsidR="00761B6C" w:rsidRPr="00BA2D27" w:rsidRDefault="00761B6C" w:rsidP="00332DBC">
      <w:pPr>
        <w:pStyle w:val="Heading1"/>
        <w:spacing w:before="360"/>
        <w:rPr>
          <w:lang w:val="en-US"/>
        </w:rPr>
      </w:pPr>
      <w:bookmarkStart w:id="2985" w:name="_Toc452138664"/>
      <w:bookmarkStart w:id="2986" w:name="_Toc452139113"/>
      <w:bookmarkStart w:id="2987" w:name="_Toc452139477"/>
      <w:bookmarkStart w:id="2988" w:name="_Toc452139883"/>
      <w:bookmarkStart w:id="2989" w:name="_Toc452140757"/>
      <w:bookmarkStart w:id="2990" w:name="_Toc482888047"/>
      <w:bookmarkStart w:id="2991" w:name="_Toc482888811"/>
      <w:bookmarkStart w:id="2992" w:name="_Toc511649527"/>
      <w:bookmarkStart w:id="2993" w:name="_Toc511649890"/>
      <w:bookmarkStart w:id="2994" w:name="_Toc511650013"/>
      <w:bookmarkStart w:id="2995" w:name="_Toc511650133"/>
      <w:bookmarkStart w:id="2996" w:name="_Toc511650627"/>
      <w:bookmarkStart w:id="2997" w:name="_Toc511651273"/>
      <w:bookmarkStart w:id="2998" w:name="_Toc511724136"/>
      <w:bookmarkStart w:id="2999" w:name="_Toc511739125"/>
      <w:bookmarkStart w:id="3000" w:name="_Toc511740836"/>
      <w:bookmarkStart w:id="3001" w:name="_Toc511741296"/>
      <w:bookmarkStart w:id="3002" w:name="_Toc10450810"/>
      <w:bookmarkStart w:id="3003" w:name="_Toc41566394"/>
      <w:bookmarkStart w:id="3004" w:name="_Toc41567393"/>
      <w:bookmarkStart w:id="3005" w:name="_Toc41567889"/>
      <w:bookmarkStart w:id="3006" w:name="_Toc41814998"/>
      <w:bookmarkStart w:id="3007" w:name="_Toc73354494"/>
      <w:bookmarkStart w:id="3008" w:name="_Toc73356477"/>
      <w:r w:rsidRPr="00BA2D27">
        <w:rPr>
          <w:lang w:val="en-US"/>
        </w:rPr>
        <w:t>VIII</w:t>
      </w:r>
      <w:r w:rsidRPr="00BA2D27">
        <w:rPr>
          <w:lang w:val="en-US"/>
        </w:rPr>
        <w:tab/>
        <w:t>ITU TELECOM WORLD 2019 (ANNEXE B7)</w:t>
      </w:r>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p>
    <w:p w14:paraId="40C03C77" w14:textId="0F13C639" w:rsidR="00761B6C" w:rsidRPr="00846C38" w:rsidRDefault="00761B6C" w:rsidP="00761B6C">
      <w:r w:rsidRPr="008F67D7">
        <w:t>98</w:t>
      </w:r>
      <w:r w:rsidRPr="008F67D7">
        <w:tab/>
      </w:r>
      <w:r>
        <w:t>E</w:t>
      </w:r>
      <w:r w:rsidRPr="008F67D7">
        <w:t xml:space="preserve">n raison de la crise actuelle liée au COVID-19, </w:t>
      </w:r>
      <w:r>
        <w:t>il est prévu (a</w:t>
      </w:r>
      <w:r w:rsidRPr="008F67D7">
        <w:t xml:space="preserve">u moment </w:t>
      </w:r>
      <w:r>
        <w:t>de la rédaction du</w:t>
      </w:r>
      <w:r w:rsidRPr="008F67D7">
        <w:t xml:space="preserve"> présent rapport</w:t>
      </w:r>
      <w:r>
        <w:t xml:space="preserve">) que </w:t>
      </w:r>
      <w:r w:rsidRPr="008F67D7">
        <w:t>la manifestation ITU Digital World 2020 (</w:t>
      </w:r>
      <w:r w:rsidR="002A0DD1">
        <w:t>la manifestation ITU Telecom de </w:t>
      </w:r>
      <w:r w:rsidRPr="008F67D7">
        <w:t>2020</w:t>
      </w:r>
      <w:r>
        <w:t xml:space="preserve"> </w:t>
      </w:r>
      <w:r w:rsidRPr="008F67D7">
        <w:t>qui devait initialement se tenir à Hanoï (Viet Nam)</w:t>
      </w:r>
      <w:r>
        <w:t xml:space="preserve"> </w:t>
      </w:r>
      <w:r w:rsidRPr="008F67D7">
        <w:t>du 6 au 9 septembre 2020)</w:t>
      </w:r>
      <w:r>
        <w:t xml:space="preserve">, ait </w:t>
      </w:r>
      <w:r w:rsidRPr="008F67D7">
        <w:t xml:space="preserve">lieu </w:t>
      </w:r>
      <w:r w:rsidR="002A0DD1">
        <w:t>du </w:t>
      </w:r>
      <w:r>
        <w:t>12 au 15</w:t>
      </w:r>
      <w:r w:rsidRPr="008F67D7">
        <w:t xml:space="preserve"> octobre 2021, au même endroit,</w:t>
      </w:r>
      <w:r>
        <w:t xml:space="preserve"> </w:t>
      </w:r>
      <w:r w:rsidRPr="00D2208E">
        <w:t xml:space="preserve">sous la dénomination </w:t>
      </w:r>
      <w:r w:rsidRPr="008F67D7">
        <w:t>ITU Digital World 2021</w:t>
      </w:r>
      <w:r w:rsidR="002A0DD1">
        <w:t>.</w:t>
      </w:r>
    </w:p>
    <w:p w14:paraId="29DC82F0" w14:textId="77777777" w:rsidR="00761B6C" w:rsidRPr="00846C38" w:rsidRDefault="00761B6C" w:rsidP="00761B6C">
      <w:r w:rsidRPr="008F67D7">
        <w:t>99</w:t>
      </w:r>
      <w:r w:rsidRPr="008F67D7">
        <w:tab/>
        <w:t>Le budget d</w:t>
      </w:r>
      <w:r>
        <w:t>'</w:t>
      </w:r>
      <w:r w:rsidRPr="008F67D7">
        <w:t xml:space="preserve">ITU Telecom World </w:t>
      </w:r>
      <w:r>
        <w:t>2020</w:t>
      </w:r>
      <w:r w:rsidRPr="008F67D7">
        <w:t xml:space="preserve"> a été approuvé avec un montant total attendu des produits de </w:t>
      </w:r>
      <w:r>
        <w:t>plus de 6 millions CHF et</w:t>
      </w:r>
      <w:r w:rsidRPr="008F67D7">
        <w:t xml:space="preserve"> un montant total des charges de </w:t>
      </w:r>
      <w:r>
        <w:t>5,91 millions</w:t>
      </w:r>
      <w:r w:rsidRPr="008F67D7">
        <w:t xml:space="preserve"> CHF, soit un résultat </w:t>
      </w:r>
      <w:r>
        <w:t>de 91 000</w:t>
      </w:r>
      <w:r w:rsidRPr="008F67D7">
        <w:t xml:space="preserve"> CHF pour la manifestation.</w:t>
      </w:r>
    </w:p>
    <w:p w14:paraId="0B9805A3" w14:textId="77777777" w:rsidR="00761B6C" w:rsidRPr="008F67D7" w:rsidRDefault="00761B6C" w:rsidP="00761B6C">
      <w:pPr>
        <w:rPr>
          <w:rFonts w:ascii="Ebrima" w:hAnsi="Ebrima"/>
        </w:rPr>
      </w:pPr>
      <w:r w:rsidRPr="008F67D7">
        <w:t>100</w:t>
      </w:r>
      <w:r w:rsidRPr="008F67D7">
        <w:tab/>
        <w:t>À la suite du report</w:t>
      </w:r>
      <w:r>
        <w:t xml:space="preserve"> de la manifestation ITU Digital World 2020, qui se tiendra en 2021, des manifestations virtuelles ont été organisées et ont permis de dégager des recettes d'un montant total de 53 611,12 CHF dans le cadre de trois (3) parrainages du forum et trois (3) transactions, représentant 1% du total des produits prévus dans le budget</w:t>
      </w:r>
      <w:r w:rsidRPr="008F67D7">
        <w:t>.</w:t>
      </w:r>
    </w:p>
    <w:p w14:paraId="621CE686" w14:textId="77777777" w:rsidR="00761B6C" w:rsidRPr="00003604" w:rsidRDefault="00761B6C" w:rsidP="00761B6C">
      <w:pPr>
        <w:keepNext/>
        <w:keepLines/>
      </w:pPr>
      <w:r w:rsidRPr="00B732FE">
        <w:t>101</w:t>
      </w:r>
      <w:r w:rsidRPr="00B732FE">
        <w:tab/>
      </w:r>
      <w:r w:rsidRPr="00236418">
        <w:t xml:space="preserve">Le total des charges effectives a représenté </w:t>
      </w:r>
      <w:r>
        <w:t>33</w:t>
      </w:r>
      <w:r w:rsidRPr="00236418">
        <w:t>% du budget comprenant le total des charges directes (6% du budget) et le total des charges de base (</w:t>
      </w:r>
      <w:r>
        <w:t>46</w:t>
      </w:r>
      <w:r w:rsidRPr="00236418">
        <w:t>% du budget). Seulement 1</w:t>
      </w:r>
      <w:r>
        <w:t>20 338,58 </w:t>
      </w:r>
      <w:r w:rsidRPr="00236418">
        <w:t>CHF</w:t>
      </w:r>
      <w:r>
        <w:t xml:space="preserve"> </w:t>
      </w:r>
      <w:r w:rsidRPr="00236418">
        <w:t xml:space="preserve">(6%) du total des coûts directs budgétés de </w:t>
      </w:r>
      <w:r>
        <w:t>1</w:t>
      </w:r>
      <w:r w:rsidRPr="00236418">
        <w:t> </w:t>
      </w:r>
      <w:r>
        <w:t>900</w:t>
      </w:r>
      <w:r w:rsidRPr="00236418">
        <w:t xml:space="preserve"> </w:t>
      </w:r>
      <w:r>
        <w:t>5</w:t>
      </w:r>
      <w:r w:rsidRPr="00236418">
        <w:t>00</w:t>
      </w:r>
      <w:r>
        <w:t xml:space="preserve"> </w:t>
      </w:r>
      <w:r w:rsidRPr="00236418">
        <w:t xml:space="preserve">CHF ont été dépensés. </w:t>
      </w:r>
      <w:r>
        <w:t>Le secrétariat d'</w:t>
      </w:r>
      <w:r w:rsidRPr="00236418">
        <w:t xml:space="preserve">ITU Telecom et le Département de la gestion des ressources financières </w:t>
      </w:r>
      <w:r>
        <w:t>poursuivent leurs efforts concertés, afin</w:t>
      </w:r>
      <w:r w:rsidRPr="00236418">
        <w:t xml:space="preserve"> de suivre attentivement les charges et de les réduire</w:t>
      </w:r>
      <w:r>
        <w:t xml:space="preserve">. Le niveau nettement plus faible </w:t>
      </w:r>
      <w:r w:rsidRPr="00236418">
        <w:t>des coûts direct</w:t>
      </w:r>
      <w:r>
        <w:t>s est dû au report de la manifestation</w:t>
      </w:r>
      <w:r w:rsidRPr="00236418">
        <w:t>.</w:t>
      </w:r>
    </w:p>
    <w:p w14:paraId="09C4983F" w14:textId="77777777" w:rsidR="00761B6C" w:rsidRPr="00846C38" w:rsidRDefault="00761B6C" w:rsidP="00761B6C">
      <w:r w:rsidRPr="003764DE">
        <w:t>102</w:t>
      </w:r>
      <w:r w:rsidRPr="003764DE">
        <w:tab/>
        <w:t>Compte tenu du rep</w:t>
      </w:r>
      <w:r>
        <w:t>ort de la manifestation de 2020 à 2021, le Secrétaire général a décidé de ne pas facturer le recouvrement des coûts à ITU Digital World 2020, budgétisé à 1,5 million CHF.</w:t>
      </w:r>
    </w:p>
    <w:p w14:paraId="56115C23" w14:textId="7C660864" w:rsidR="00761B6C" w:rsidRPr="00846C38" w:rsidRDefault="00761B6C" w:rsidP="00761B6C">
      <w:r w:rsidRPr="003764DE">
        <w:t>103</w:t>
      </w:r>
      <w:r w:rsidRPr="003764DE">
        <w:tab/>
        <w:t>Le montant total des p</w:t>
      </w:r>
      <w:r>
        <w:t xml:space="preserve">roduits effectifs, qui s'élève à 53 611,12 CHF, moins le montant total des charges directes effectives, qui se chiffre à 120 338,58 CHF, a donné un </w:t>
      </w:r>
      <w:r w:rsidR="002A0DD1">
        <w:t>résultat brut d'un montant de –</w:t>
      </w:r>
      <w:r>
        <w:t>66 727,46 CHF. Compte tenu du report des</w:t>
      </w:r>
      <w:r w:rsidRPr="00A81E18">
        <w:t xml:space="preserve"> manifestation</w:t>
      </w:r>
      <w:r>
        <w:t xml:space="preserve">s, qui n'a pas permis à l'UIT de dégager des recettes importantes et a induit certaines charges directes et indirectes liées aux traitements du personnel d'ITU Telecom, le résultat </w:t>
      </w:r>
      <w:r w:rsidR="002A0DD1">
        <w:t>net d'ITU Digital World 2020 au </w:t>
      </w:r>
      <w:r>
        <w:t>31 décembre 2020 s</w:t>
      </w:r>
      <w:r w:rsidR="002A0DD1">
        <w:t>'établit à –</w:t>
      </w:r>
      <w:r>
        <w:t>1 906 621,84 CHF.</w:t>
      </w:r>
    </w:p>
    <w:p w14:paraId="73088DD8" w14:textId="77777777" w:rsidR="00761B6C" w:rsidRPr="00236418" w:rsidRDefault="00761B6C" w:rsidP="0019042A">
      <w:pPr>
        <w:pStyle w:val="Heading1"/>
        <w:spacing w:before="360"/>
      </w:pPr>
      <w:bookmarkStart w:id="3009" w:name="_Toc41566395"/>
      <w:bookmarkStart w:id="3010" w:name="_Toc41567394"/>
      <w:bookmarkStart w:id="3011" w:name="_Toc41567890"/>
      <w:bookmarkStart w:id="3012" w:name="_Toc41814999"/>
      <w:bookmarkStart w:id="3013" w:name="_Toc73354495"/>
      <w:bookmarkStart w:id="3014" w:name="_Toc73356478"/>
      <w:bookmarkStart w:id="3015" w:name="_Toc329202619"/>
      <w:bookmarkStart w:id="3016" w:name="_Toc329205051"/>
      <w:bookmarkStart w:id="3017" w:name="_Toc329206888"/>
      <w:bookmarkStart w:id="3018" w:name="_Toc358379346"/>
      <w:bookmarkStart w:id="3019" w:name="_Toc358379968"/>
      <w:bookmarkStart w:id="3020" w:name="_Toc358380526"/>
      <w:bookmarkStart w:id="3021" w:name="_Toc70850631"/>
      <w:bookmarkStart w:id="3022" w:name="_Toc387167524"/>
      <w:bookmarkStart w:id="3023" w:name="_Toc395260965"/>
      <w:bookmarkStart w:id="3024" w:name="_Toc395261106"/>
      <w:bookmarkStart w:id="3025" w:name="_Toc395511752"/>
      <w:bookmarkStart w:id="3026" w:name="_Toc452138665"/>
      <w:bookmarkStart w:id="3027" w:name="_Toc452139114"/>
      <w:bookmarkStart w:id="3028" w:name="_Toc452139478"/>
      <w:bookmarkStart w:id="3029" w:name="_Toc452139884"/>
      <w:bookmarkStart w:id="3030" w:name="_Toc452140758"/>
      <w:bookmarkStart w:id="3031" w:name="_Toc482888048"/>
      <w:bookmarkStart w:id="3032" w:name="_Toc482888812"/>
      <w:bookmarkStart w:id="3033" w:name="_Toc511649528"/>
      <w:bookmarkStart w:id="3034" w:name="_Toc511649891"/>
      <w:bookmarkStart w:id="3035" w:name="_Toc511650014"/>
      <w:bookmarkStart w:id="3036" w:name="_Toc511650134"/>
      <w:bookmarkStart w:id="3037" w:name="_Toc511650628"/>
      <w:bookmarkStart w:id="3038" w:name="_Toc511651274"/>
      <w:bookmarkStart w:id="3039" w:name="_Toc511724137"/>
      <w:bookmarkStart w:id="3040" w:name="_Toc511739126"/>
      <w:bookmarkStart w:id="3041" w:name="_Toc511740837"/>
      <w:bookmarkStart w:id="3042" w:name="_Toc511741297"/>
      <w:bookmarkStart w:id="3043" w:name="_Toc10450811"/>
      <w:r w:rsidRPr="00236418">
        <w:t>IX</w:t>
      </w:r>
      <w:r w:rsidRPr="00236418">
        <w:tab/>
        <w:t>DÉCLARATION DE LA SITUATION FINANCIÈRE</w:t>
      </w:r>
      <w:bookmarkEnd w:id="3009"/>
      <w:bookmarkEnd w:id="3010"/>
      <w:bookmarkEnd w:id="3011"/>
      <w:bookmarkEnd w:id="3012"/>
      <w:bookmarkEnd w:id="3013"/>
      <w:bookmarkEnd w:id="3014"/>
    </w:p>
    <w:p w14:paraId="2A367D39" w14:textId="01378E1C" w:rsidR="00761B6C" w:rsidRPr="00A81E18" w:rsidRDefault="00761B6C" w:rsidP="00761B6C">
      <w:r w:rsidRPr="00A81E18">
        <w:t>104</w:t>
      </w:r>
      <w:r w:rsidRPr="00A81E18">
        <w:tab/>
        <w:t>Tout comme le reste du monde, l</w:t>
      </w:r>
      <w:r>
        <w:t>'</w:t>
      </w:r>
      <w:r w:rsidRPr="00A81E18">
        <w:t>UIT a</w:t>
      </w:r>
      <w:r>
        <w:t xml:space="preserve"> dû faire face au virus du COVID-19 depuis mars 2020. </w:t>
      </w:r>
      <w:r w:rsidRPr="00A81E18">
        <w:t>Une stratégie de planification d</w:t>
      </w:r>
      <w:r>
        <w:t>'</w:t>
      </w:r>
      <w:r w:rsidRPr="00A81E18">
        <w:t>urgence pour faire face aux p</w:t>
      </w:r>
      <w:r>
        <w:t xml:space="preserve">andémies a été mise en </w:t>
      </w:r>
      <w:r w:rsidR="00062F0F">
        <w:t>œuvre</w:t>
      </w:r>
      <w:r>
        <w:t xml:space="preserve"> et diffusée l'an dernier dans le </w:t>
      </w:r>
      <w:r w:rsidR="002A0DD1">
        <w:t>D</w:t>
      </w:r>
      <w:r>
        <w:t xml:space="preserve">ocument </w:t>
      </w:r>
      <w:hyperlink r:id="rId56" w:history="1">
        <w:r w:rsidRPr="00A81E18">
          <w:rPr>
            <w:rStyle w:val="Hyperlink"/>
          </w:rPr>
          <w:t>C20/42</w:t>
        </w:r>
      </w:hyperlink>
      <w:r w:rsidRPr="00A81E18">
        <w:t xml:space="preserve"> </w:t>
      </w:r>
      <w:r>
        <w:t>(A</w:t>
      </w:r>
      <w:r w:rsidRPr="00A81E18">
        <w:t>nnex</w:t>
      </w:r>
      <w:r>
        <w:t>e</w:t>
      </w:r>
      <w:r w:rsidRPr="00A81E18">
        <w:t xml:space="preserve"> F</w:t>
      </w:r>
      <w:r>
        <w:t>)</w:t>
      </w:r>
      <w:r w:rsidRPr="00A81E18">
        <w:t>.</w:t>
      </w:r>
    </w:p>
    <w:p w14:paraId="076EC0F6" w14:textId="0F2597B5" w:rsidR="00761B6C" w:rsidRPr="00A81E18" w:rsidRDefault="00761B6C" w:rsidP="00761B6C">
      <w:r w:rsidRPr="00A81E18">
        <w:t>105</w:t>
      </w:r>
      <w:r w:rsidRPr="00A81E18">
        <w:tab/>
        <w:t xml:space="preserve">Le </w:t>
      </w:r>
      <w:r w:rsidR="002A0DD1">
        <w:t>D</w:t>
      </w:r>
      <w:r w:rsidRPr="00A81E18">
        <w:t xml:space="preserve">ocument </w:t>
      </w:r>
      <w:hyperlink r:id="rId57" w:history="1">
        <w:r w:rsidRPr="00A81E18">
          <w:rPr>
            <w:rStyle w:val="Hyperlink"/>
          </w:rPr>
          <w:t>C21/74</w:t>
        </w:r>
      </w:hyperlink>
      <w:r w:rsidRPr="00A81E18">
        <w:t xml:space="preserve"> contient u</w:t>
      </w:r>
      <w:r>
        <w:t>ne analyse des incidences de la pandémie de coronavirus (COVID-19) sur le fonctionnement et les activités de l'UIT, à court et à moyen terme.</w:t>
      </w:r>
    </w:p>
    <w:p w14:paraId="3EED5B42" w14:textId="77777777" w:rsidR="00761B6C" w:rsidRDefault="00761B6C" w:rsidP="00761B6C">
      <w:r w:rsidRPr="00A81E18">
        <w:t>106</w:t>
      </w:r>
      <w:r w:rsidRPr="00A81E18">
        <w:tab/>
        <w:t>On trouvera ci-dessous u</w:t>
      </w:r>
      <w:r>
        <w:t>n tableau présentant les dépenses pour 2020 liées à la pandémie, conformément au plan d'urgence de l'UIT</w:t>
      </w:r>
      <w:r w:rsidRPr="00A7256A">
        <w:t>.</w:t>
      </w:r>
    </w:p>
    <w:p w14:paraId="0954390F" w14:textId="4DA2833C" w:rsidR="00AB673B" w:rsidRPr="00A7256A" w:rsidRDefault="00B774B6" w:rsidP="00761B6C">
      <w:pPr>
        <w:jc w:val="center"/>
      </w:pPr>
      <w:r w:rsidRPr="00B774B6">
        <w:lastRenderedPageBreak/>
        <w:drawing>
          <wp:inline distT="0" distB="0" distL="0" distR="0" wp14:anchorId="09430FD9" wp14:editId="6E3A4CD5">
            <wp:extent cx="4718685" cy="36918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718685" cy="3691890"/>
                    </a:xfrm>
                    <a:prstGeom prst="rect">
                      <a:avLst/>
                    </a:prstGeom>
                    <a:noFill/>
                    <a:ln>
                      <a:noFill/>
                    </a:ln>
                  </pic:spPr>
                </pic:pic>
              </a:graphicData>
            </a:graphic>
          </wp:inline>
        </w:drawing>
      </w:r>
    </w:p>
    <w:p w14:paraId="5C3BFD45" w14:textId="77777777" w:rsidR="00761B6C" w:rsidRPr="00DC300D" w:rsidRDefault="00761B6C" w:rsidP="00B83B1E">
      <w:pPr>
        <w:keepNext/>
        <w:keepLines/>
        <w:spacing w:before="240"/>
      </w:pPr>
      <w:r w:rsidRPr="008B3E3C">
        <w:t>107</w:t>
      </w:r>
      <w:r w:rsidRPr="008B3E3C">
        <w:tab/>
        <w:t>En 2020, malgré la situation l</w:t>
      </w:r>
      <w:r>
        <w:t>iée au COVID-19, l'UIT n'a pas connu de baisse</w:t>
      </w:r>
      <w:r w:rsidRPr="00B1529E">
        <w:rPr>
          <w:color w:val="000000"/>
        </w:rPr>
        <w:t xml:space="preserve"> </w:t>
      </w:r>
      <w:r>
        <w:rPr>
          <w:color w:val="000000"/>
        </w:rPr>
        <w:t>significative</w:t>
      </w:r>
      <w:r w:rsidDel="00B1529E">
        <w:t xml:space="preserve"> </w:t>
      </w:r>
      <w:r>
        <w:t xml:space="preserve">des contributions mises en recouvrement auprès des États Membres, des Membres de Secteur, des Associés et des établissements universitaires </w:t>
      </w:r>
      <w:r w:rsidRPr="00B1529E">
        <w:t xml:space="preserve">Un seul pays a soumis au Conseil </w:t>
      </w:r>
      <w:r>
        <w:t>à sa session de </w:t>
      </w:r>
      <w:r w:rsidRPr="00B1529E">
        <w:t xml:space="preserve">2020 une demande de réduction de ses unités, </w:t>
      </w:r>
      <w:r>
        <w:t xml:space="preserve">demande </w:t>
      </w:r>
      <w:r w:rsidRPr="00B1529E">
        <w:t>qui a été acceptée</w:t>
      </w:r>
      <w:r>
        <w:t xml:space="preserve"> à compter de </w:t>
      </w:r>
      <w:r w:rsidRPr="00B1529E">
        <w:t>janvier</w:t>
      </w:r>
      <w:r>
        <w:t> </w:t>
      </w:r>
      <w:r w:rsidRPr="00B1529E">
        <w:t>2020.</w:t>
      </w:r>
    </w:p>
    <w:p w14:paraId="04701C02" w14:textId="1C89A629" w:rsidR="00761B6C" w:rsidRPr="00C8159B" w:rsidRDefault="00761B6C" w:rsidP="00761B6C">
      <w:r w:rsidRPr="008A40DB">
        <w:t>108</w:t>
      </w:r>
      <w:r w:rsidRPr="008A40DB">
        <w:tab/>
        <w:t>Au 31 décembre 2020, le taux d</w:t>
      </w:r>
      <w:r>
        <w:t>e recouvrement des contribution</w:t>
      </w:r>
      <w:r w:rsidR="00D27591">
        <w:t>s</w:t>
      </w:r>
      <w:r>
        <w:t xml:space="preserve"> demeurait élevé, puisqu'il s'établissait à 95%, comme les années précédentes</w:t>
      </w:r>
      <w:r w:rsidRPr="00C8159B">
        <w:t>.</w:t>
      </w:r>
    </w:p>
    <w:p w14:paraId="5BEF2755" w14:textId="6BA59800" w:rsidR="00761B6C" w:rsidRPr="00C8159B" w:rsidRDefault="00761B6C" w:rsidP="00761B6C">
      <w:r w:rsidRPr="00C8159B">
        <w:t>109</w:t>
      </w:r>
      <w:r w:rsidRPr="00C8159B">
        <w:tab/>
        <w:t>Dans l</w:t>
      </w:r>
      <w:r>
        <w:t>'</w:t>
      </w:r>
      <w:r w:rsidRPr="00C8159B">
        <w:t>ensemble, la crise l</w:t>
      </w:r>
      <w:r>
        <w:t xml:space="preserve">iée au COVID-19 a </w:t>
      </w:r>
      <w:r>
        <w:rPr>
          <w:color w:val="000000"/>
        </w:rPr>
        <w:t xml:space="preserve">permis de réaliser </w:t>
      </w:r>
      <w:r>
        <w:t xml:space="preserve">des économies dans le cadre de </w:t>
      </w:r>
      <w:r>
        <w:rPr>
          <w:color w:val="000000"/>
        </w:rPr>
        <w:t xml:space="preserve">l'exécution </w:t>
      </w:r>
      <w:r>
        <w:t>du budget pour 2020. Comme toutes les missions officielles ainsi que les conférences physiques</w:t>
      </w:r>
      <w:r w:rsidRPr="00BE7D00">
        <w:t xml:space="preserve"> </w:t>
      </w:r>
      <w:r>
        <w:t>ont été annulées, ces économies sont principalement liées aux frais de voyage, aux bourses, à l'achat d'équipements, au nettoyage, à l'électricité et aux réunions. Il convient de noter que les économies réalisées compensent la baisse des recettes, essentiellement celles issues de la vente de publications</w:t>
      </w:r>
      <w:r w:rsidRPr="00C8159B">
        <w:t>.</w:t>
      </w:r>
      <w:r>
        <w:t xml:space="preserve"> Le report de la manifestation ITU Telecom World 2020,</w:t>
      </w:r>
      <w:r w:rsidR="0019042A">
        <w:t xml:space="preserve"> </w:t>
      </w:r>
      <w:r>
        <w:t>prévue au Viet Nam, a également eu des incidences sur les produits au titre du recouvrement des coûts</w:t>
      </w:r>
      <w:r w:rsidRPr="00C8159B">
        <w:t>.</w:t>
      </w:r>
    </w:p>
    <w:p w14:paraId="00C4C0F9" w14:textId="46B3C83A" w:rsidR="00761B6C" w:rsidRPr="00236418" w:rsidRDefault="00761B6C" w:rsidP="0019042A">
      <w:pPr>
        <w:pStyle w:val="Heading1"/>
        <w:spacing w:before="360"/>
      </w:pPr>
      <w:bookmarkStart w:id="3044" w:name="_Toc41566396"/>
      <w:bookmarkStart w:id="3045" w:name="_Toc41567395"/>
      <w:bookmarkStart w:id="3046" w:name="_Toc41567891"/>
      <w:bookmarkStart w:id="3047" w:name="_Toc41815000"/>
      <w:bookmarkStart w:id="3048" w:name="_Toc73354496"/>
      <w:bookmarkStart w:id="3049" w:name="_Toc73356479"/>
      <w:r w:rsidRPr="00236418">
        <w:rPr>
          <w:rFonts w:asciiTheme="minorHAnsi" w:hAnsiTheme="minorHAnsi" w:cstheme="minorHAnsi"/>
        </w:rPr>
        <w:t>X</w:t>
      </w:r>
      <w:r w:rsidRPr="00236418">
        <w:rPr>
          <w:rFonts w:asciiTheme="minorHAnsi" w:hAnsiTheme="minorHAnsi" w:cstheme="minorHAnsi"/>
        </w:rPr>
        <w:tab/>
      </w:r>
      <w:r w:rsidRPr="00236418">
        <w:t>VÉRIFICATION EXTÉRIEURE DES COMPTES DE L</w:t>
      </w:r>
      <w:r>
        <w:t>'</w:t>
      </w:r>
      <w:r w:rsidRPr="00236418">
        <w:t>UNION</w:t>
      </w:r>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p>
    <w:p w14:paraId="172BC2D0" w14:textId="77777777" w:rsidR="00761B6C" w:rsidRPr="00236418" w:rsidRDefault="00761B6C" w:rsidP="00761B6C">
      <w:r w:rsidRPr="00236418">
        <w:t>11</w:t>
      </w:r>
      <w:r>
        <w:t>0</w:t>
      </w:r>
      <w:r w:rsidRPr="00236418">
        <w:tab/>
        <w:t xml:space="preserve">Conformément aux dispositions de </w:t>
      </w:r>
      <w:r w:rsidRPr="00236418">
        <w:rPr>
          <w:color w:val="000000"/>
        </w:rPr>
        <w:t>l</w:t>
      </w:r>
      <w:r>
        <w:rPr>
          <w:color w:val="000000"/>
        </w:rPr>
        <w:t>'</w:t>
      </w:r>
      <w:r w:rsidRPr="00236418">
        <w:rPr>
          <w:color w:val="000000"/>
        </w:rPr>
        <w:t xml:space="preserve">Article 28 </w:t>
      </w:r>
      <w:r w:rsidRPr="00236418">
        <w:t>du Règlement financier, le Vérificateur extérieur des comptes de l</w:t>
      </w:r>
      <w:r>
        <w:t>'</w:t>
      </w:r>
      <w:r w:rsidRPr="00236418">
        <w:t>Union est l</w:t>
      </w:r>
      <w:r>
        <w:t>'</w:t>
      </w:r>
      <w:r w:rsidRPr="00236418">
        <w:t>Institution supérieure de contrôle des finances publiques de l</w:t>
      </w:r>
      <w:r>
        <w:t>'</w:t>
      </w:r>
      <w:r w:rsidRPr="00236418">
        <w:t>Italie. Elle a été désignée par le Conseil, à sa session de 2011, selon les modalités arrêtées à la Conférence de plénipotentiaires, pour un mandat de quatre ans. La vérification des comptes est effectuée selon les normes usuelles généralement acceptées en la matière et sous réserve de toutes directives spéciales du Conseil en conformité avec le mandat additionnel pour la vérification des comptes, joint en Annexe 1 du Règlement financier.</w:t>
      </w:r>
    </w:p>
    <w:p w14:paraId="04DD5B71" w14:textId="77777777" w:rsidR="00761B6C" w:rsidRPr="00236418" w:rsidRDefault="00761B6C" w:rsidP="00761B6C">
      <w:r w:rsidRPr="00236418">
        <w:lastRenderedPageBreak/>
        <w:t>11</w:t>
      </w:r>
      <w:r>
        <w:t>1</w:t>
      </w:r>
      <w:r w:rsidRPr="00236418">
        <w:tab/>
        <w:t>Conformément aux Normes comptables pour le système des Nations Unies, les informations soumises à vérification sont présentées dans des états ou des tableaux.</w:t>
      </w:r>
    </w:p>
    <w:p w14:paraId="7D58505F" w14:textId="43DABEDE" w:rsidR="00761B6C" w:rsidRPr="00236418" w:rsidRDefault="00761B6C" w:rsidP="00761B6C">
      <w:r w:rsidRPr="00236418">
        <w:t>11</w:t>
      </w:r>
      <w:r>
        <w:t>2</w:t>
      </w:r>
      <w:r w:rsidRPr="00236418">
        <w:tab/>
        <w:t>Les comptes audités sont soumis au Conseil pour approbation. Ils sont accompagnés des rapports du Vérificateur extérieur des comptes qui sera invité à présenter ses rapports à la séance du Conseil prévue à cet effet.</w:t>
      </w:r>
    </w:p>
    <w:p w14:paraId="40104D8A" w14:textId="77777777" w:rsidR="00761B6C" w:rsidRPr="00236418" w:rsidRDefault="00761B6C" w:rsidP="00761B6C">
      <w:pPr>
        <w:rPr>
          <w:sz w:val="2"/>
          <w:szCs w:val="2"/>
        </w:rPr>
      </w:pPr>
      <w:bookmarkStart w:id="3050" w:name="_Toc395260974"/>
      <w:bookmarkStart w:id="3051" w:name="_Toc395261109"/>
      <w:bookmarkStart w:id="3052" w:name="_Toc395511759"/>
      <w:bookmarkStart w:id="3053" w:name="_Toc452138672"/>
      <w:bookmarkStart w:id="3054" w:name="_Toc452139121"/>
      <w:bookmarkStart w:id="3055" w:name="_Toc482888050"/>
      <w:bookmarkStart w:id="3056" w:name="_Toc482888393"/>
      <w:bookmarkStart w:id="3057" w:name="_Toc511736686"/>
    </w:p>
    <w:p w14:paraId="4C7B78E1" w14:textId="77777777" w:rsidR="00761B6C" w:rsidRPr="00236418" w:rsidRDefault="00761B6C" w:rsidP="00CE6693">
      <w:pPr>
        <w:pStyle w:val="AnnexNo"/>
        <w:spacing w:before="240"/>
      </w:pPr>
      <w:bookmarkStart w:id="3058" w:name="_Toc10450812"/>
      <w:bookmarkStart w:id="3059" w:name="_Toc41815001"/>
      <w:bookmarkStart w:id="3060" w:name="_Toc73354497"/>
      <w:bookmarkStart w:id="3061" w:name="_Toc73356480"/>
      <w:r w:rsidRPr="00236418">
        <w:t>ANNE</w:t>
      </w:r>
      <w:bookmarkStart w:id="3062" w:name="annexea"/>
      <w:bookmarkEnd w:id="3062"/>
      <w:r w:rsidRPr="00236418">
        <w:t>XE A</w:t>
      </w:r>
      <w:bookmarkEnd w:id="3050"/>
      <w:bookmarkEnd w:id="3051"/>
      <w:bookmarkEnd w:id="3052"/>
      <w:bookmarkEnd w:id="3053"/>
      <w:bookmarkEnd w:id="3054"/>
      <w:bookmarkEnd w:id="3055"/>
      <w:bookmarkEnd w:id="3056"/>
      <w:bookmarkEnd w:id="3057"/>
      <w:bookmarkEnd w:id="3058"/>
      <w:bookmarkEnd w:id="3059"/>
      <w:bookmarkEnd w:id="3060"/>
      <w:bookmarkEnd w:id="3061"/>
    </w:p>
    <w:p w14:paraId="37D93019" w14:textId="77777777" w:rsidR="00761B6C" w:rsidRPr="00236418" w:rsidRDefault="00761B6C" w:rsidP="00761B6C">
      <w:pPr>
        <w:spacing w:before="720"/>
        <w:jc w:val="center"/>
        <w:rPr>
          <w:caps/>
          <w:sz w:val="28"/>
          <w:highlight w:val="cyan"/>
        </w:rPr>
      </w:pPr>
      <w:bookmarkStart w:id="3063" w:name="_Toc10450813"/>
      <w:r w:rsidRPr="00236418">
        <w:rPr>
          <w:caps/>
          <w:sz w:val="28"/>
        </w:rPr>
        <w:t>projet de résolution</w:t>
      </w:r>
      <w:bookmarkEnd w:id="3063"/>
    </w:p>
    <w:p w14:paraId="2216F930" w14:textId="77777777" w:rsidR="00761B6C" w:rsidRPr="00236418" w:rsidRDefault="00761B6C" w:rsidP="00761B6C">
      <w:pPr>
        <w:spacing w:before="240" w:after="480"/>
        <w:jc w:val="center"/>
        <w:rPr>
          <w:b/>
          <w:sz w:val="28"/>
          <w:highlight w:val="yellow"/>
        </w:rPr>
      </w:pPr>
      <w:bookmarkStart w:id="3064" w:name="_Toc423505539"/>
      <w:bookmarkStart w:id="3065" w:name="_Toc423505809"/>
      <w:bookmarkStart w:id="3066" w:name="_Toc423506100"/>
      <w:bookmarkStart w:id="3067" w:name="_Toc423507893"/>
      <w:bookmarkStart w:id="3068" w:name="_Toc458425266"/>
      <w:bookmarkStart w:id="3069" w:name="_Toc489534496"/>
      <w:r w:rsidRPr="00236418">
        <w:rPr>
          <w:b/>
          <w:sz w:val="28"/>
        </w:rPr>
        <w:t>Rapport de gestion financière pour l</w:t>
      </w:r>
      <w:r>
        <w:rPr>
          <w:b/>
          <w:sz w:val="28"/>
        </w:rPr>
        <w:t>'</w:t>
      </w:r>
      <w:r w:rsidRPr="00236418">
        <w:rPr>
          <w:b/>
          <w:sz w:val="28"/>
        </w:rPr>
        <w:t xml:space="preserve">exercice </w:t>
      </w:r>
      <w:bookmarkEnd w:id="3064"/>
      <w:bookmarkEnd w:id="3065"/>
      <w:bookmarkEnd w:id="3066"/>
      <w:bookmarkEnd w:id="3067"/>
      <w:bookmarkEnd w:id="3068"/>
      <w:bookmarkEnd w:id="3069"/>
      <w:r w:rsidRPr="00236418">
        <w:rPr>
          <w:b/>
          <w:sz w:val="28"/>
        </w:rPr>
        <w:t>20</w:t>
      </w:r>
      <w:r>
        <w:rPr>
          <w:b/>
          <w:sz w:val="28"/>
        </w:rPr>
        <w:t>20</w:t>
      </w:r>
    </w:p>
    <w:p w14:paraId="66627290" w14:textId="77777777" w:rsidR="00761B6C" w:rsidRPr="00236418" w:rsidRDefault="00761B6C" w:rsidP="00761B6C">
      <w:pPr>
        <w:spacing w:before="360"/>
        <w:rPr>
          <w:szCs w:val="24"/>
        </w:rPr>
      </w:pPr>
      <w:r w:rsidRPr="00236418">
        <w:rPr>
          <w:szCs w:val="24"/>
        </w:rPr>
        <w:t xml:space="preserve">Le </w:t>
      </w:r>
      <w:r w:rsidRPr="00236418">
        <w:t>Conseil</w:t>
      </w:r>
      <w:r>
        <w:t xml:space="preserve"> de l'UIT</w:t>
      </w:r>
      <w:r w:rsidRPr="00236418">
        <w:rPr>
          <w:szCs w:val="24"/>
        </w:rPr>
        <w:t>,</w:t>
      </w:r>
    </w:p>
    <w:p w14:paraId="69D1ED21" w14:textId="77777777" w:rsidR="00761B6C" w:rsidRPr="00236418" w:rsidRDefault="00761B6C" w:rsidP="00761B6C">
      <w:pPr>
        <w:keepNext/>
        <w:keepLines/>
        <w:tabs>
          <w:tab w:val="clear" w:pos="1134"/>
          <w:tab w:val="clear" w:pos="1701"/>
          <w:tab w:val="clear" w:pos="2268"/>
          <w:tab w:val="clear" w:pos="2835"/>
        </w:tabs>
        <w:spacing w:before="160"/>
        <w:ind w:left="567"/>
        <w:rPr>
          <w:i/>
        </w:rPr>
      </w:pPr>
      <w:r w:rsidRPr="00236418">
        <w:rPr>
          <w:i/>
        </w:rPr>
        <w:t>vu</w:t>
      </w:r>
    </w:p>
    <w:p w14:paraId="3582FDA1" w14:textId="77777777" w:rsidR="00761B6C" w:rsidRPr="00236418" w:rsidRDefault="00761B6C" w:rsidP="00761B6C">
      <w:r w:rsidRPr="00236418">
        <w:t xml:space="preserve">le </w:t>
      </w:r>
      <w:hyperlink r:id="rId59" w:history="1">
        <w:r w:rsidRPr="00236418">
          <w:rPr>
            <w:color w:val="0000FF"/>
            <w:u w:val="single"/>
          </w:rPr>
          <w:t>numéro 101</w:t>
        </w:r>
      </w:hyperlink>
      <w:r w:rsidRPr="00236418">
        <w:t> de la Convention de l</w:t>
      </w:r>
      <w:r>
        <w:t>'</w:t>
      </w:r>
      <w:r w:rsidRPr="00236418">
        <w:t xml:space="preserve">Union internationale des télécommunications et </w:t>
      </w:r>
      <w:hyperlink r:id="rId60" w:history="1">
        <w:r w:rsidRPr="00236418">
          <w:t>l</w:t>
        </w:r>
        <w:r>
          <w:t>'</w:t>
        </w:r>
        <w:r w:rsidRPr="00236418">
          <w:rPr>
            <w:color w:val="0000FF"/>
            <w:u w:val="single"/>
          </w:rPr>
          <w:t>Article 30</w:t>
        </w:r>
        <w:r w:rsidRPr="00236418">
          <w:rPr>
            <w:color w:val="0000FF"/>
          </w:rPr>
          <w:t> </w:t>
        </w:r>
      </w:hyperlink>
      <w:r w:rsidRPr="00236418">
        <w:t>du Règlement financier de l</w:t>
      </w:r>
      <w:r>
        <w:t>'</w:t>
      </w:r>
      <w:r w:rsidRPr="00236418">
        <w:t>Union,</w:t>
      </w:r>
    </w:p>
    <w:p w14:paraId="7D48DFE1" w14:textId="77777777" w:rsidR="00761B6C" w:rsidRPr="00236418" w:rsidRDefault="00761B6C" w:rsidP="00761B6C">
      <w:pPr>
        <w:keepNext/>
        <w:keepLines/>
        <w:tabs>
          <w:tab w:val="clear" w:pos="1134"/>
          <w:tab w:val="clear" w:pos="1701"/>
          <w:tab w:val="clear" w:pos="2268"/>
          <w:tab w:val="clear" w:pos="2835"/>
        </w:tabs>
        <w:spacing w:before="160"/>
        <w:ind w:left="567"/>
        <w:rPr>
          <w:i/>
        </w:rPr>
      </w:pPr>
      <w:r w:rsidRPr="00236418">
        <w:rPr>
          <w:i/>
        </w:rPr>
        <w:t>ayant examiné</w:t>
      </w:r>
    </w:p>
    <w:p w14:paraId="6FC1A522" w14:textId="77777777" w:rsidR="00761B6C" w:rsidRPr="00236418" w:rsidRDefault="00761B6C" w:rsidP="00761B6C">
      <w:r w:rsidRPr="00236418">
        <w:t>le Rapport de gestion financière pour l</w:t>
      </w:r>
      <w:r>
        <w:t>'</w:t>
      </w:r>
      <w:r w:rsidRPr="00236418">
        <w:t>exercice financier 20</w:t>
      </w:r>
      <w:r>
        <w:t>20</w:t>
      </w:r>
      <w:r w:rsidRPr="00236418">
        <w:t xml:space="preserve"> portant sur les comptes vérifiés de l</w:t>
      </w:r>
      <w:r>
        <w:t>'</w:t>
      </w:r>
      <w:r w:rsidRPr="00236418">
        <w:t>exercice financier 20</w:t>
      </w:r>
      <w:r>
        <w:t>20</w:t>
      </w:r>
      <w:r w:rsidRPr="00236418">
        <w:t xml:space="preserve"> du </w:t>
      </w:r>
      <w:r>
        <w:t>b</w:t>
      </w:r>
      <w:r w:rsidRPr="00236418">
        <w:t>udget de l</w:t>
      </w:r>
      <w:r>
        <w:t>'</w:t>
      </w:r>
      <w:r w:rsidRPr="00236418">
        <w:t>Union ainsi que la position des comptes TELECOM de 20</w:t>
      </w:r>
      <w:r>
        <w:t>20</w:t>
      </w:r>
      <w:r w:rsidRPr="00236418">
        <w:t>, les comptes vérifiés 20</w:t>
      </w:r>
      <w:r>
        <w:t>20</w:t>
      </w:r>
      <w:r w:rsidRPr="00236418">
        <w:t xml:space="preserve"> pour les projets de coopération technique, les contributions volontaires et la Caisse d</w:t>
      </w:r>
      <w:r>
        <w:t>'</w:t>
      </w:r>
      <w:r w:rsidRPr="00236418">
        <w:t>assurance du personnel de l</w:t>
      </w:r>
      <w:r>
        <w:t>'</w:t>
      </w:r>
      <w:r w:rsidRPr="00236418">
        <w:t>UIT,</w:t>
      </w:r>
    </w:p>
    <w:p w14:paraId="72E906DB" w14:textId="77777777" w:rsidR="00761B6C" w:rsidRPr="00236418" w:rsidRDefault="00761B6C" w:rsidP="00761B6C">
      <w:pPr>
        <w:keepNext/>
        <w:keepLines/>
        <w:tabs>
          <w:tab w:val="clear" w:pos="1134"/>
          <w:tab w:val="clear" w:pos="1701"/>
          <w:tab w:val="clear" w:pos="2268"/>
          <w:tab w:val="clear" w:pos="2835"/>
        </w:tabs>
        <w:spacing w:before="160"/>
        <w:ind w:left="567"/>
        <w:rPr>
          <w:i/>
        </w:rPr>
      </w:pPr>
      <w:r w:rsidRPr="00236418">
        <w:rPr>
          <w:i/>
        </w:rPr>
        <w:t>et ayant noté</w:t>
      </w:r>
    </w:p>
    <w:p w14:paraId="70B8E2FC" w14:textId="387934E6" w:rsidR="00761B6C" w:rsidRPr="00236418" w:rsidRDefault="00761B6C" w:rsidP="00761B6C">
      <w:r w:rsidRPr="00236418">
        <w:t>que les rapports du Vérificateur extérieur des comptes de l</w:t>
      </w:r>
      <w:r>
        <w:t>'</w:t>
      </w:r>
      <w:r w:rsidRPr="00236418">
        <w:t>Union sont présentés dans le </w:t>
      </w:r>
      <w:hyperlink r:id="rId61" w:history="1">
        <w:r w:rsidRPr="00975EAF">
          <w:rPr>
            <w:rStyle w:val="Hyperlink"/>
          </w:rPr>
          <w:t>Document C2</w:t>
        </w:r>
        <w:r w:rsidR="004301DA">
          <w:rPr>
            <w:rStyle w:val="Hyperlink"/>
          </w:rPr>
          <w:t>2</w:t>
        </w:r>
        <w:r w:rsidRPr="00975EAF">
          <w:rPr>
            <w:rStyle w:val="Hyperlink"/>
          </w:rPr>
          <w:t>/40</w:t>
        </w:r>
      </w:hyperlink>
      <w:r w:rsidRPr="00236418">
        <w:t>,</w:t>
      </w:r>
    </w:p>
    <w:p w14:paraId="7FE8DF3F" w14:textId="77777777" w:rsidR="00761B6C" w:rsidRPr="00236418" w:rsidRDefault="00761B6C" w:rsidP="00761B6C">
      <w:pPr>
        <w:keepNext/>
        <w:keepLines/>
        <w:tabs>
          <w:tab w:val="clear" w:pos="1134"/>
          <w:tab w:val="clear" w:pos="1701"/>
          <w:tab w:val="clear" w:pos="2268"/>
          <w:tab w:val="clear" w:pos="2835"/>
        </w:tabs>
        <w:spacing w:before="160"/>
        <w:ind w:left="567"/>
        <w:rPr>
          <w:i/>
        </w:rPr>
      </w:pPr>
      <w:r w:rsidRPr="00236418">
        <w:rPr>
          <w:i/>
        </w:rPr>
        <w:t>décide</w:t>
      </w:r>
    </w:p>
    <w:p w14:paraId="23C95DEA" w14:textId="436A249D" w:rsidR="00761B6C" w:rsidRPr="00236418" w:rsidRDefault="00761B6C" w:rsidP="00761B6C">
      <w:r w:rsidRPr="00236418">
        <w:t>d</w:t>
      </w:r>
      <w:r>
        <w:t>'</w:t>
      </w:r>
      <w:r w:rsidRPr="00236418">
        <w:t>approuver le Rapport de gestion financière pour l</w:t>
      </w:r>
      <w:r>
        <w:t>'</w:t>
      </w:r>
      <w:r w:rsidRPr="00236418">
        <w:t>exercice financier 20</w:t>
      </w:r>
      <w:r>
        <w:t>20</w:t>
      </w:r>
      <w:r w:rsidRPr="00236418">
        <w:t xml:space="preserve"> (</w:t>
      </w:r>
      <w:hyperlink r:id="rId62" w:history="1">
        <w:r w:rsidRPr="00975EAF">
          <w:rPr>
            <w:rStyle w:val="Hyperlink"/>
          </w:rPr>
          <w:t>Document C2</w:t>
        </w:r>
        <w:r w:rsidR="004301DA">
          <w:rPr>
            <w:rStyle w:val="Hyperlink"/>
          </w:rPr>
          <w:t>2</w:t>
        </w:r>
        <w:r w:rsidRPr="00975EAF">
          <w:rPr>
            <w:rStyle w:val="Hyperlink"/>
          </w:rPr>
          <w:t>/42</w:t>
        </w:r>
      </w:hyperlink>
      <w:r w:rsidRPr="00236418">
        <w:t>) portant sur les comptes vérifiés de l</w:t>
      </w:r>
      <w:r>
        <w:t>'</w:t>
      </w:r>
      <w:r w:rsidRPr="00236418">
        <w:t>Union, la position des comptes TELECOM de 20</w:t>
      </w:r>
      <w:r>
        <w:t>20</w:t>
      </w:r>
      <w:r w:rsidRPr="00236418">
        <w:t xml:space="preserve"> ainsi que les comptes 20</w:t>
      </w:r>
      <w:r>
        <w:t>20</w:t>
      </w:r>
      <w:r w:rsidRPr="00236418">
        <w:t xml:space="preserve"> vérifiés pour les projets de coopération technique, les contributions volontaires et la Caisse d</w:t>
      </w:r>
      <w:r>
        <w:t>'</w:t>
      </w:r>
      <w:r w:rsidRPr="00236418">
        <w:t>assurance du personnel de l</w:t>
      </w:r>
      <w:r>
        <w:t>'</w:t>
      </w:r>
      <w:r w:rsidRPr="00236418">
        <w:t>UIT.</w:t>
      </w:r>
    </w:p>
    <w:p w14:paraId="7F248E61" w14:textId="33634026" w:rsidR="00B83B1E" w:rsidRDefault="00B83B1E" w:rsidP="00761B6C">
      <w:pPr>
        <w:tabs>
          <w:tab w:val="clear" w:pos="567"/>
          <w:tab w:val="clear" w:pos="1134"/>
          <w:tab w:val="clear" w:pos="1701"/>
          <w:tab w:val="clear" w:pos="2268"/>
          <w:tab w:val="clear" w:pos="2835"/>
        </w:tabs>
        <w:overflowPunct/>
        <w:autoSpaceDE/>
        <w:autoSpaceDN/>
        <w:adjustRightInd/>
        <w:spacing w:before="0"/>
        <w:textAlignment w:val="auto"/>
      </w:pPr>
      <w:r>
        <w:br w:type="page"/>
      </w:r>
    </w:p>
    <w:p w14:paraId="67598D82" w14:textId="77777777" w:rsidR="00D215BD" w:rsidRPr="001314CA" w:rsidRDefault="00D215BD" w:rsidP="00D215BD">
      <w:pPr>
        <w:pStyle w:val="AnnexNo"/>
      </w:pPr>
      <w:bookmarkStart w:id="3070" w:name="_Toc10450814"/>
      <w:bookmarkStart w:id="3071" w:name="_Toc41815002"/>
      <w:bookmarkStart w:id="3072" w:name="_Toc73354498"/>
      <w:bookmarkStart w:id="3073" w:name="_Toc73356481"/>
      <w:bookmarkStart w:id="3074" w:name="_Hlk72509526"/>
      <w:r w:rsidRPr="001314CA">
        <w:lastRenderedPageBreak/>
        <w:t>ANNEXE B1</w:t>
      </w:r>
      <w:bookmarkEnd w:id="3070"/>
      <w:bookmarkEnd w:id="3071"/>
      <w:bookmarkEnd w:id="3072"/>
      <w:bookmarkEnd w:id="3073"/>
    </w:p>
    <w:p w14:paraId="7196AFDC" w14:textId="77777777" w:rsidR="00D215BD" w:rsidRPr="001314CA" w:rsidRDefault="00D215BD" w:rsidP="00D215BD">
      <w:pPr>
        <w:pStyle w:val="Annextitle"/>
      </w:pPr>
      <w:bookmarkStart w:id="3075" w:name="_Toc73354499"/>
      <w:bookmarkStart w:id="3076" w:name="_Toc73356482"/>
      <w:r w:rsidRPr="001314CA">
        <w:t>Budget ordinaire</w:t>
      </w:r>
      <w:bookmarkEnd w:id="3075"/>
      <w:bookmarkEnd w:id="3076"/>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gular Budget"/>
      </w:tblPr>
      <w:tblGrid>
        <w:gridCol w:w="3681"/>
        <w:gridCol w:w="1134"/>
        <w:gridCol w:w="1276"/>
        <w:gridCol w:w="1276"/>
        <w:gridCol w:w="1107"/>
        <w:gridCol w:w="1392"/>
        <w:gridCol w:w="1248"/>
      </w:tblGrid>
      <w:tr w:rsidR="00D215BD" w:rsidRPr="001314CA" w14:paraId="75AA1BD4" w14:textId="77777777" w:rsidTr="00D215BD">
        <w:trPr>
          <w:jc w:val="center"/>
        </w:trPr>
        <w:tc>
          <w:tcPr>
            <w:tcW w:w="3681" w:type="dxa"/>
            <w:vMerge w:val="restart"/>
            <w:tcMar>
              <w:left w:w="57" w:type="dxa"/>
              <w:right w:w="57" w:type="dxa"/>
            </w:tcMar>
            <w:vAlign w:val="center"/>
          </w:tcPr>
          <w:p w14:paraId="3CE57086"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rPr>
              <w:t>Produits</w:t>
            </w:r>
          </w:p>
        </w:tc>
        <w:tc>
          <w:tcPr>
            <w:tcW w:w="4793" w:type="dxa"/>
            <w:gridSpan w:val="4"/>
          </w:tcPr>
          <w:p w14:paraId="491AAA35"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rPr>
              <w:t>Montants budgétés</w:t>
            </w:r>
          </w:p>
        </w:tc>
        <w:tc>
          <w:tcPr>
            <w:tcW w:w="1392" w:type="dxa"/>
            <w:vMerge w:val="restart"/>
            <w:tcMar>
              <w:left w:w="57" w:type="dxa"/>
              <w:right w:w="57" w:type="dxa"/>
            </w:tcMar>
            <w:vAlign w:val="center"/>
          </w:tcPr>
          <w:p w14:paraId="1F0091D1"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rPr>
              <w:t>Montants</w:t>
            </w:r>
            <w:r w:rsidRPr="001314CA">
              <w:rPr>
                <w:b/>
                <w:sz w:val="20"/>
              </w:rPr>
              <w:br/>
              <w:t>effectifs</w:t>
            </w:r>
          </w:p>
        </w:tc>
        <w:tc>
          <w:tcPr>
            <w:tcW w:w="1248" w:type="dxa"/>
            <w:vMerge w:val="restart"/>
            <w:tcMar>
              <w:left w:w="57" w:type="dxa"/>
              <w:right w:w="57" w:type="dxa"/>
            </w:tcMar>
            <w:vAlign w:val="center"/>
          </w:tcPr>
          <w:p w14:paraId="73E6BB3D"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rPr>
              <w:t>Différence entre budget final et montants effectifs</w:t>
            </w:r>
          </w:p>
        </w:tc>
      </w:tr>
      <w:tr w:rsidR="00D215BD" w:rsidRPr="001314CA" w14:paraId="3AC359C6" w14:textId="77777777" w:rsidTr="00D215BD">
        <w:trPr>
          <w:jc w:val="center"/>
        </w:trPr>
        <w:tc>
          <w:tcPr>
            <w:tcW w:w="3681" w:type="dxa"/>
            <w:vMerge/>
            <w:tcMar>
              <w:left w:w="57" w:type="dxa"/>
              <w:right w:w="57" w:type="dxa"/>
            </w:tcMar>
            <w:vAlign w:val="center"/>
          </w:tcPr>
          <w:p w14:paraId="19FA79D9"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p>
        </w:tc>
        <w:tc>
          <w:tcPr>
            <w:tcW w:w="1134" w:type="dxa"/>
            <w:tcMar>
              <w:left w:w="57" w:type="dxa"/>
              <w:right w:w="57" w:type="dxa"/>
            </w:tcMar>
            <w:vAlign w:val="center"/>
          </w:tcPr>
          <w:p w14:paraId="3921279D"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rPr>
            </w:pPr>
            <w:r w:rsidRPr="001314CA">
              <w:rPr>
                <w:b/>
                <w:sz w:val="20"/>
              </w:rPr>
              <w:t>Budget</w:t>
            </w:r>
          </w:p>
          <w:p w14:paraId="47F98B33"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rPr>
              <w:t>initial</w:t>
            </w:r>
          </w:p>
        </w:tc>
        <w:tc>
          <w:tcPr>
            <w:tcW w:w="1276" w:type="dxa"/>
            <w:vAlign w:val="center"/>
          </w:tcPr>
          <w:p w14:paraId="4B5E0336" w14:textId="77777777" w:rsidR="00D215BD" w:rsidRPr="001314CA" w:rsidRDefault="00D215BD" w:rsidP="00D215BD">
            <w:pPr>
              <w:tabs>
                <w:tab w:val="clear" w:pos="567"/>
                <w:tab w:val="clear" w:pos="1134"/>
                <w:tab w:val="clear" w:pos="1701"/>
                <w:tab w:val="clear" w:pos="2268"/>
                <w:tab w:val="clear" w:pos="2835"/>
              </w:tabs>
              <w:spacing w:before="20" w:after="20"/>
              <w:jc w:val="center"/>
              <w:rPr>
                <w:rFonts w:asciiTheme="minorHAnsi" w:hAnsiTheme="minorHAnsi"/>
                <w:b/>
                <w:sz w:val="20"/>
              </w:rPr>
            </w:pPr>
            <w:r w:rsidRPr="001314CA">
              <w:rPr>
                <w:rFonts w:asciiTheme="minorHAnsi" w:hAnsiTheme="minorHAnsi" w:cs="Arial"/>
                <w:b/>
                <w:bCs/>
                <w:color w:val="000000"/>
                <w:sz w:val="20"/>
                <w:lang w:eastAsia="zh-CN"/>
              </w:rPr>
              <w:t>Activités reportées</w:t>
            </w:r>
          </w:p>
        </w:tc>
        <w:tc>
          <w:tcPr>
            <w:tcW w:w="1276" w:type="dxa"/>
            <w:tcMar>
              <w:left w:w="57" w:type="dxa"/>
              <w:right w:w="57" w:type="dxa"/>
            </w:tcMar>
            <w:vAlign w:val="center"/>
          </w:tcPr>
          <w:p w14:paraId="70AE06BB"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rPr>
              <w:t>Transferts budgétaires</w:t>
            </w:r>
          </w:p>
        </w:tc>
        <w:tc>
          <w:tcPr>
            <w:tcW w:w="1107" w:type="dxa"/>
            <w:tcMar>
              <w:left w:w="57" w:type="dxa"/>
              <w:right w:w="57" w:type="dxa"/>
            </w:tcMar>
            <w:vAlign w:val="center"/>
          </w:tcPr>
          <w:p w14:paraId="5F452526"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Budget final</w:t>
            </w:r>
          </w:p>
        </w:tc>
        <w:tc>
          <w:tcPr>
            <w:tcW w:w="1392" w:type="dxa"/>
            <w:vMerge/>
            <w:tcMar>
              <w:left w:w="57" w:type="dxa"/>
              <w:right w:w="57" w:type="dxa"/>
            </w:tcMar>
            <w:vAlign w:val="center"/>
          </w:tcPr>
          <w:p w14:paraId="7AAF0E53"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p>
        </w:tc>
        <w:tc>
          <w:tcPr>
            <w:tcW w:w="1248" w:type="dxa"/>
            <w:vMerge/>
            <w:tcMar>
              <w:left w:w="57" w:type="dxa"/>
              <w:right w:w="57" w:type="dxa"/>
            </w:tcMar>
            <w:vAlign w:val="center"/>
          </w:tcPr>
          <w:p w14:paraId="28C57918"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p>
        </w:tc>
      </w:tr>
      <w:tr w:rsidR="00D215BD" w:rsidRPr="001314CA" w14:paraId="59A7A58A" w14:textId="77777777" w:rsidTr="00D215BD">
        <w:trPr>
          <w:jc w:val="center"/>
        </w:trPr>
        <w:tc>
          <w:tcPr>
            <w:tcW w:w="3681" w:type="dxa"/>
            <w:vMerge/>
            <w:tcBorders>
              <w:bottom w:val="single" w:sz="4" w:space="0" w:color="auto"/>
            </w:tcBorders>
            <w:tcMar>
              <w:left w:w="57" w:type="dxa"/>
              <w:right w:w="57" w:type="dxa"/>
            </w:tcMar>
            <w:vAlign w:val="center"/>
          </w:tcPr>
          <w:p w14:paraId="7357C26A"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p>
        </w:tc>
        <w:tc>
          <w:tcPr>
            <w:tcW w:w="1134" w:type="dxa"/>
            <w:tcBorders>
              <w:bottom w:val="single" w:sz="4" w:space="0" w:color="auto"/>
            </w:tcBorders>
            <w:tcMar>
              <w:left w:w="57" w:type="dxa"/>
              <w:right w:w="57" w:type="dxa"/>
            </w:tcMar>
            <w:vAlign w:val="center"/>
          </w:tcPr>
          <w:p w14:paraId="08CA5346"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31.12.2020</w:t>
            </w:r>
          </w:p>
        </w:tc>
        <w:tc>
          <w:tcPr>
            <w:tcW w:w="1276" w:type="dxa"/>
            <w:tcBorders>
              <w:bottom w:val="single" w:sz="4" w:space="0" w:color="auto"/>
            </w:tcBorders>
          </w:tcPr>
          <w:p w14:paraId="54E95428"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31.12.2020</w:t>
            </w:r>
          </w:p>
        </w:tc>
        <w:tc>
          <w:tcPr>
            <w:tcW w:w="1276" w:type="dxa"/>
            <w:tcBorders>
              <w:bottom w:val="single" w:sz="4" w:space="0" w:color="auto"/>
            </w:tcBorders>
            <w:tcMar>
              <w:left w:w="57" w:type="dxa"/>
              <w:right w:w="57" w:type="dxa"/>
            </w:tcMar>
            <w:vAlign w:val="center"/>
          </w:tcPr>
          <w:p w14:paraId="164E776C"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31.12.2020</w:t>
            </w:r>
          </w:p>
        </w:tc>
        <w:tc>
          <w:tcPr>
            <w:tcW w:w="1107" w:type="dxa"/>
            <w:tcBorders>
              <w:bottom w:val="single" w:sz="4" w:space="0" w:color="auto"/>
            </w:tcBorders>
            <w:tcMar>
              <w:left w:w="57" w:type="dxa"/>
              <w:right w:w="57" w:type="dxa"/>
            </w:tcMar>
            <w:vAlign w:val="center"/>
          </w:tcPr>
          <w:p w14:paraId="5B482B7F"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31.12.2020</w:t>
            </w:r>
          </w:p>
        </w:tc>
        <w:tc>
          <w:tcPr>
            <w:tcW w:w="1392" w:type="dxa"/>
            <w:tcBorders>
              <w:bottom w:val="single" w:sz="4" w:space="0" w:color="auto"/>
            </w:tcBorders>
            <w:tcMar>
              <w:left w:w="57" w:type="dxa"/>
              <w:right w:w="57" w:type="dxa"/>
            </w:tcMar>
            <w:vAlign w:val="center"/>
          </w:tcPr>
          <w:p w14:paraId="7AB988FD"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31.12.2020</w:t>
            </w:r>
          </w:p>
        </w:tc>
        <w:tc>
          <w:tcPr>
            <w:tcW w:w="1248" w:type="dxa"/>
            <w:tcBorders>
              <w:bottom w:val="single" w:sz="4" w:space="0" w:color="auto"/>
            </w:tcBorders>
            <w:tcMar>
              <w:left w:w="57" w:type="dxa"/>
              <w:right w:w="57" w:type="dxa"/>
            </w:tcMar>
            <w:vAlign w:val="center"/>
          </w:tcPr>
          <w:p w14:paraId="3AC95AA8" w14:textId="77777777" w:rsidR="00D215BD" w:rsidRPr="001314CA" w:rsidRDefault="00D215BD" w:rsidP="00D215BD">
            <w:pPr>
              <w:tabs>
                <w:tab w:val="clear" w:pos="567"/>
                <w:tab w:val="clear" w:pos="1134"/>
                <w:tab w:val="clear" w:pos="1701"/>
                <w:tab w:val="clear" w:pos="2268"/>
                <w:tab w:val="clear" w:pos="2835"/>
              </w:tabs>
              <w:spacing w:before="20" w:after="20"/>
              <w:jc w:val="center"/>
              <w:rPr>
                <w:b/>
                <w:sz w:val="20"/>
                <w:lang w:eastAsia="fr-FR"/>
              </w:rPr>
            </w:pPr>
            <w:r w:rsidRPr="001314CA">
              <w:rPr>
                <w:b/>
                <w:sz w:val="20"/>
                <w:lang w:eastAsia="fr-FR"/>
              </w:rPr>
              <w:t>31.12.2020</w:t>
            </w:r>
          </w:p>
        </w:tc>
      </w:tr>
      <w:tr w:rsidR="00D215BD" w:rsidRPr="001314CA" w14:paraId="0D6998D6" w14:textId="77777777" w:rsidTr="00D215BD">
        <w:trPr>
          <w:jc w:val="center"/>
        </w:trPr>
        <w:tc>
          <w:tcPr>
            <w:tcW w:w="3681" w:type="dxa"/>
            <w:tcBorders>
              <w:bottom w:val="nil"/>
            </w:tcBorders>
            <w:tcMar>
              <w:left w:w="57" w:type="dxa"/>
              <w:right w:w="57" w:type="dxa"/>
            </w:tcMar>
            <w:vAlign w:val="bottom"/>
          </w:tcPr>
          <w:p w14:paraId="0F86760E" w14:textId="77777777" w:rsidR="00D215BD" w:rsidRPr="001314CA" w:rsidRDefault="00D215BD" w:rsidP="00D215BD">
            <w:pPr>
              <w:tabs>
                <w:tab w:val="clear" w:pos="567"/>
                <w:tab w:val="clear" w:pos="1134"/>
                <w:tab w:val="clear" w:pos="1701"/>
                <w:tab w:val="clear" w:pos="2268"/>
                <w:tab w:val="clear" w:pos="2835"/>
              </w:tabs>
              <w:spacing w:before="30" w:after="30"/>
              <w:rPr>
                <w:i/>
                <w:iCs/>
                <w:sz w:val="18"/>
                <w:szCs w:val="18"/>
              </w:rPr>
            </w:pPr>
            <w:r w:rsidRPr="001314CA">
              <w:rPr>
                <w:i/>
                <w:iCs/>
                <w:sz w:val="18"/>
                <w:szCs w:val="18"/>
              </w:rPr>
              <w:t>Contributions mises en recouvrement des États Membres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46B9F2C" w14:textId="77777777" w:rsidR="00D215BD" w:rsidRPr="001314CA" w:rsidRDefault="00D215BD" w:rsidP="00D215BD">
            <w:pPr>
              <w:pStyle w:val="Tabletext"/>
              <w:jc w:val="right"/>
              <w:rPr>
                <w:sz w:val="18"/>
                <w:szCs w:val="18"/>
              </w:rPr>
            </w:pPr>
            <w:r w:rsidRPr="001314CA">
              <w:rPr>
                <w:sz w:val="18"/>
                <w:szCs w:val="18"/>
                <w:lang w:eastAsia="en-GB"/>
              </w:rPr>
              <w:t>109 293</w:t>
            </w:r>
          </w:p>
        </w:tc>
        <w:tc>
          <w:tcPr>
            <w:tcW w:w="1276" w:type="dxa"/>
            <w:tcBorders>
              <w:top w:val="nil"/>
              <w:left w:val="nil"/>
              <w:bottom w:val="nil"/>
              <w:right w:val="single" w:sz="4" w:space="0" w:color="auto"/>
            </w:tcBorders>
            <w:shd w:val="clear" w:color="auto" w:fill="auto"/>
            <w:vAlign w:val="bottom"/>
          </w:tcPr>
          <w:p w14:paraId="1FC63BA5"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12EAE88F" w14:textId="77777777" w:rsidR="00D215BD" w:rsidRPr="001314CA" w:rsidRDefault="00D215BD" w:rsidP="00D215BD">
            <w:pPr>
              <w:pStyle w:val="Tabletext"/>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58E87197" w14:textId="77777777" w:rsidR="00D215BD" w:rsidRPr="001314CA" w:rsidRDefault="00D215BD" w:rsidP="00D215BD">
            <w:pPr>
              <w:pStyle w:val="Tabletext"/>
              <w:jc w:val="right"/>
              <w:rPr>
                <w:sz w:val="18"/>
                <w:szCs w:val="18"/>
              </w:rPr>
            </w:pPr>
            <w:r w:rsidRPr="001314CA">
              <w:rPr>
                <w:sz w:val="18"/>
                <w:szCs w:val="18"/>
                <w:lang w:eastAsia="en-GB"/>
              </w:rPr>
              <w:t>109 293</w:t>
            </w:r>
          </w:p>
        </w:tc>
        <w:tc>
          <w:tcPr>
            <w:tcW w:w="1392" w:type="dxa"/>
            <w:tcBorders>
              <w:top w:val="nil"/>
              <w:left w:val="nil"/>
              <w:bottom w:val="nil"/>
              <w:right w:val="single" w:sz="4" w:space="0" w:color="auto"/>
            </w:tcBorders>
            <w:shd w:val="clear" w:color="auto" w:fill="auto"/>
            <w:tcMar>
              <w:left w:w="57" w:type="dxa"/>
              <w:right w:w="57" w:type="dxa"/>
            </w:tcMar>
            <w:vAlign w:val="bottom"/>
          </w:tcPr>
          <w:p w14:paraId="685A9E2C" w14:textId="77777777" w:rsidR="00D215BD" w:rsidRPr="001314CA" w:rsidRDefault="00D215BD" w:rsidP="00D215BD">
            <w:pPr>
              <w:pStyle w:val="Tabletext"/>
              <w:jc w:val="right"/>
              <w:rPr>
                <w:sz w:val="18"/>
                <w:szCs w:val="18"/>
              </w:rPr>
            </w:pPr>
            <w:r w:rsidRPr="001314CA">
              <w:rPr>
                <w:sz w:val="18"/>
                <w:szCs w:val="18"/>
                <w:lang w:eastAsia="en-GB"/>
              </w:rPr>
              <w:t>109 293</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772E289" w14:textId="77777777" w:rsidR="00D215BD" w:rsidRPr="001314CA" w:rsidRDefault="00D215BD" w:rsidP="00D215BD">
            <w:pPr>
              <w:pStyle w:val="Tabletext"/>
              <w:jc w:val="right"/>
              <w:rPr>
                <w:sz w:val="18"/>
                <w:szCs w:val="18"/>
              </w:rPr>
            </w:pPr>
            <w:r w:rsidRPr="001314CA">
              <w:rPr>
                <w:sz w:val="18"/>
                <w:szCs w:val="18"/>
                <w:lang w:eastAsia="en-GB"/>
              </w:rPr>
              <w:t>–0</w:t>
            </w:r>
          </w:p>
        </w:tc>
      </w:tr>
      <w:tr w:rsidR="00D215BD" w:rsidRPr="001314CA" w14:paraId="1B758A29" w14:textId="77777777" w:rsidTr="00D215BD">
        <w:trPr>
          <w:jc w:val="center"/>
        </w:trPr>
        <w:tc>
          <w:tcPr>
            <w:tcW w:w="3681" w:type="dxa"/>
            <w:tcBorders>
              <w:top w:val="nil"/>
              <w:bottom w:val="nil"/>
            </w:tcBorders>
            <w:tcMar>
              <w:left w:w="57" w:type="dxa"/>
              <w:right w:w="57" w:type="dxa"/>
            </w:tcMar>
            <w:vAlign w:val="bottom"/>
          </w:tcPr>
          <w:p w14:paraId="2718EEFC" w14:textId="77777777" w:rsidR="00D215BD" w:rsidRPr="001314CA" w:rsidRDefault="00D215BD" w:rsidP="00D215BD">
            <w:pPr>
              <w:tabs>
                <w:tab w:val="clear" w:pos="567"/>
                <w:tab w:val="clear" w:pos="1134"/>
                <w:tab w:val="clear" w:pos="1701"/>
                <w:tab w:val="clear" w:pos="2268"/>
                <w:tab w:val="clear" w:pos="2835"/>
              </w:tabs>
              <w:spacing w:before="30" w:after="30"/>
              <w:rPr>
                <w:i/>
                <w:iCs/>
                <w:sz w:val="18"/>
                <w:szCs w:val="18"/>
              </w:rPr>
            </w:pPr>
            <w:r w:rsidRPr="001314CA">
              <w:rPr>
                <w:i/>
                <w:iCs/>
                <w:sz w:val="18"/>
                <w:szCs w:val="18"/>
              </w:rPr>
              <w:t>Contributions mises en recouvrement des Membres de Secteur</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0294F797" w14:textId="77777777" w:rsidR="00D215BD" w:rsidRPr="001314CA" w:rsidRDefault="00D215BD" w:rsidP="00D215BD">
            <w:pPr>
              <w:pStyle w:val="Tabletext"/>
              <w:jc w:val="right"/>
              <w:rPr>
                <w:sz w:val="18"/>
                <w:szCs w:val="18"/>
              </w:rPr>
            </w:pPr>
            <w:r w:rsidRPr="001314CA">
              <w:rPr>
                <w:sz w:val="18"/>
                <w:szCs w:val="18"/>
                <w:lang w:eastAsia="en-GB"/>
              </w:rPr>
              <w:t>13 964</w:t>
            </w:r>
          </w:p>
        </w:tc>
        <w:tc>
          <w:tcPr>
            <w:tcW w:w="1276" w:type="dxa"/>
            <w:tcBorders>
              <w:top w:val="nil"/>
              <w:left w:val="nil"/>
              <w:bottom w:val="nil"/>
              <w:right w:val="single" w:sz="4" w:space="0" w:color="auto"/>
            </w:tcBorders>
            <w:shd w:val="clear" w:color="auto" w:fill="auto"/>
            <w:vAlign w:val="bottom"/>
          </w:tcPr>
          <w:p w14:paraId="27EB1E9E"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0202672D" w14:textId="77777777" w:rsidR="00D215BD" w:rsidRPr="001314CA" w:rsidRDefault="00D215BD" w:rsidP="00D215BD">
            <w:pPr>
              <w:pStyle w:val="Tabletext"/>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313CD050" w14:textId="77777777" w:rsidR="00D215BD" w:rsidRPr="001314CA" w:rsidRDefault="00D215BD" w:rsidP="00D215BD">
            <w:pPr>
              <w:pStyle w:val="Tabletext"/>
              <w:jc w:val="right"/>
              <w:rPr>
                <w:sz w:val="18"/>
                <w:szCs w:val="18"/>
              </w:rPr>
            </w:pPr>
            <w:r w:rsidRPr="001314CA">
              <w:rPr>
                <w:sz w:val="18"/>
                <w:szCs w:val="18"/>
                <w:lang w:eastAsia="en-GB"/>
              </w:rPr>
              <w:t>13 964</w:t>
            </w:r>
          </w:p>
        </w:tc>
        <w:tc>
          <w:tcPr>
            <w:tcW w:w="1392" w:type="dxa"/>
            <w:tcBorders>
              <w:top w:val="nil"/>
              <w:left w:val="nil"/>
              <w:bottom w:val="nil"/>
              <w:right w:val="single" w:sz="4" w:space="0" w:color="auto"/>
            </w:tcBorders>
            <w:shd w:val="clear" w:color="auto" w:fill="auto"/>
            <w:tcMar>
              <w:left w:w="57" w:type="dxa"/>
              <w:right w:w="57" w:type="dxa"/>
            </w:tcMar>
            <w:vAlign w:val="bottom"/>
          </w:tcPr>
          <w:p w14:paraId="051051EE" w14:textId="77777777" w:rsidR="00D215BD" w:rsidRPr="001314CA" w:rsidRDefault="00D215BD" w:rsidP="00D215BD">
            <w:pPr>
              <w:pStyle w:val="Tabletext"/>
              <w:jc w:val="right"/>
              <w:rPr>
                <w:sz w:val="18"/>
                <w:szCs w:val="18"/>
              </w:rPr>
            </w:pPr>
            <w:r w:rsidRPr="001314CA">
              <w:rPr>
                <w:sz w:val="18"/>
                <w:szCs w:val="18"/>
                <w:lang w:eastAsia="en-GB"/>
              </w:rPr>
              <w:t xml:space="preserve">13 939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E23B8CD" w14:textId="77777777" w:rsidR="00D215BD" w:rsidRPr="001314CA" w:rsidRDefault="00D215BD" w:rsidP="00D215BD">
            <w:pPr>
              <w:pStyle w:val="Tabletext"/>
              <w:jc w:val="right"/>
              <w:rPr>
                <w:sz w:val="18"/>
                <w:szCs w:val="18"/>
              </w:rPr>
            </w:pPr>
            <w:r w:rsidRPr="001314CA">
              <w:rPr>
                <w:sz w:val="18"/>
                <w:szCs w:val="18"/>
                <w:lang w:eastAsia="en-GB"/>
              </w:rPr>
              <w:t xml:space="preserve"> –25</w:t>
            </w:r>
          </w:p>
        </w:tc>
      </w:tr>
      <w:tr w:rsidR="00D215BD" w:rsidRPr="001314CA" w14:paraId="5C9FA0D0" w14:textId="77777777" w:rsidTr="00D215BD">
        <w:trPr>
          <w:jc w:val="center"/>
        </w:trPr>
        <w:tc>
          <w:tcPr>
            <w:tcW w:w="3681" w:type="dxa"/>
            <w:tcBorders>
              <w:top w:val="nil"/>
              <w:bottom w:val="nil"/>
            </w:tcBorders>
            <w:tcMar>
              <w:left w:w="57" w:type="dxa"/>
              <w:right w:w="57" w:type="dxa"/>
            </w:tcMar>
            <w:vAlign w:val="bottom"/>
          </w:tcPr>
          <w:p w14:paraId="0741F9C6" w14:textId="77777777" w:rsidR="00D215BD" w:rsidRPr="001314CA" w:rsidRDefault="00D215BD" w:rsidP="00D215BD">
            <w:pPr>
              <w:tabs>
                <w:tab w:val="clear" w:pos="567"/>
                <w:tab w:val="clear" w:pos="1134"/>
                <w:tab w:val="clear" w:pos="1701"/>
                <w:tab w:val="clear" w:pos="2268"/>
                <w:tab w:val="clear" w:pos="2835"/>
              </w:tabs>
              <w:spacing w:before="30" w:after="30"/>
              <w:rPr>
                <w:i/>
                <w:iCs/>
                <w:sz w:val="18"/>
                <w:szCs w:val="18"/>
              </w:rPr>
            </w:pPr>
            <w:r w:rsidRPr="001314CA">
              <w:rPr>
                <w:i/>
                <w:iCs/>
                <w:sz w:val="18"/>
                <w:szCs w:val="18"/>
              </w:rPr>
              <w:t>Contributions mises en recouvrement des Associés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0917E139" w14:textId="77777777" w:rsidR="00D215BD" w:rsidRPr="001314CA" w:rsidRDefault="00D215BD" w:rsidP="00D215BD">
            <w:pPr>
              <w:pStyle w:val="Tabletext"/>
              <w:jc w:val="right"/>
              <w:rPr>
                <w:sz w:val="18"/>
                <w:szCs w:val="18"/>
              </w:rPr>
            </w:pPr>
            <w:r w:rsidRPr="001314CA">
              <w:rPr>
                <w:sz w:val="18"/>
                <w:szCs w:val="18"/>
                <w:lang w:eastAsia="en-GB"/>
              </w:rPr>
              <w:t>1 919</w:t>
            </w:r>
          </w:p>
        </w:tc>
        <w:tc>
          <w:tcPr>
            <w:tcW w:w="1276" w:type="dxa"/>
            <w:tcBorders>
              <w:top w:val="nil"/>
              <w:left w:val="nil"/>
              <w:bottom w:val="nil"/>
              <w:right w:val="single" w:sz="4" w:space="0" w:color="auto"/>
            </w:tcBorders>
            <w:shd w:val="clear" w:color="auto" w:fill="auto"/>
            <w:vAlign w:val="bottom"/>
          </w:tcPr>
          <w:p w14:paraId="7427F556"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3BFBD5D6" w14:textId="77777777" w:rsidR="00D215BD" w:rsidRPr="001314CA" w:rsidRDefault="00D215BD" w:rsidP="00D215BD">
            <w:pPr>
              <w:pStyle w:val="Tabletext"/>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4747344E" w14:textId="77777777" w:rsidR="00D215BD" w:rsidRPr="001314CA" w:rsidRDefault="00D215BD" w:rsidP="00D215BD">
            <w:pPr>
              <w:pStyle w:val="Tabletext"/>
              <w:jc w:val="right"/>
              <w:rPr>
                <w:sz w:val="18"/>
                <w:szCs w:val="18"/>
              </w:rPr>
            </w:pPr>
            <w:r w:rsidRPr="001314CA">
              <w:rPr>
                <w:sz w:val="18"/>
                <w:szCs w:val="18"/>
                <w:lang w:eastAsia="en-GB"/>
              </w:rPr>
              <w:t>1 919</w:t>
            </w:r>
          </w:p>
        </w:tc>
        <w:tc>
          <w:tcPr>
            <w:tcW w:w="1392" w:type="dxa"/>
            <w:tcBorders>
              <w:top w:val="nil"/>
              <w:left w:val="nil"/>
              <w:bottom w:val="nil"/>
              <w:right w:val="single" w:sz="4" w:space="0" w:color="auto"/>
            </w:tcBorders>
            <w:shd w:val="clear" w:color="auto" w:fill="auto"/>
            <w:tcMar>
              <w:left w:w="57" w:type="dxa"/>
              <w:right w:w="57" w:type="dxa"/>
            </w:tcMar>
            <w:vAlign w:val="bottom"/>
          </w:tcPr>
          <w:p w14:paraId="11AE6BB5" w14:textId="77777777" w:rsidR="00D215BD" w:rsidRPr="001314CA" w:rsidRDefault="00D215BD" w:rsidP="00D215BD">
            <w:pPr>
              <w:pStyle w:val="Tabletext"/>
              <w:jc w:val="right"/>
              <w:rPr>
                <w:sz w:val="18"/>
                <w:szCs w:val="18"/>
              </w:rPr>
            </w:pPr>
            <w:r w:rsidRPr="001314CA">
              <w:rPr>
                <w:sz w:val="18"/>
                <w:szCs w:val="18"/>
                <w:lang w:eastAsia="en-GB"/>
              </w:rPr>
              <w:t>2 111</w:t>
            </w:r>
          </w:p>
        </w:tc>
        <w:tc>
          <w:tcPr>
            <w:tcW w:w="1248" w:type="dxa"/>
            <w:tcBorders>
              <w:top w:val="nil"/>
              <w:left w:val="nil"/>
              <w:bottom w:val="nil"/>
              <w:right w:val="single" w:sz="4" w:space="0" w:color="auto"/>
            </w:tcBorders>
            <w:shd w:val="clear" w:color="auto" w:fill="auto"/>
            <w:tcMar>
              <w:left w:w="57" w:type="dxa"/>
              <w:right w:w="57" w:type="dxa"/>
            </w:tcMar>
            <w:vAlign w:val="bottom"/>
          </w:tcPr>
          <w:p w14:paraId="6B66AA49" w14:textId="77777777" w:rsidR="00D215BD" w:rsidRPr="001314CA" w:rsidRDefault="00D215BD" w:rsidP="00D215BD">
            <w:pPr>
              <w:pStyle w:val="Tabletext"/>
              <w:jc w:val="right"/>
              <w:rPr>
                <w:sz w:val="18"/>
                <w:szCs w:val="18"/>
              </w:rPr>
            </w:pPr>
            <w:r w:rsidRPr="001314CA">
              <w:rPr>
                <w:sz w:val="18"/>
                <w:szCs w:val="18"/>
                <w:lang w:eastAsia="en-GB"/>
              </w:rPr>
              <w:t xml:space="preserve"> 192</w:t>
            </w:r>
          </w:p>
        </w:tc>
      </w:tr>
      <w:tr w:rsidR="00D215BD" w:rsidRPr="001314CA" w14:paraId="4F4A1646" w14:textId="77777777" w:rsidTr="00D215BD">
        <w:trPr>
          <w:jc w:val="center"/>
        </w:trPr>
        <w:tc>
          <w:tcPr>
            <w:tcW w:w="3681" w:type="dxa"/>
            <w:tcBorders>
              <w:top w:val="nil"/>
              <w:bottom w:val="nil"/>
            </w:tcBorders>
            <w:tcMar>
              <w:left w:w="57" w:type="dxa"/>
              <w:right w:w="57" w:type="dxa"/>
            </w:tcMar>
            <w:vAlign w:val="bottom"/>
          </w:tcPr>
          <w:p w14:paraId="72E933C9" w14:textId="77777777" w:rsidR="00D215BD" w:rsidRPr="001314CA" w:rsidRDefault="00D215BD" w:rsidP="00D215BD">
            <w:pPr>
              <w:tabs>
                <w:tab w:val="clear" w:pos="567"/>
                <w:tab w:val="clear" w:pos="1134"/>
                <w:tab w:val="clear" w:pos="1701"/>
                <w:tab w:val="clear" w:pos="2268"/>
                <w:tab w:val="clear" w:pos="2835"/>
              </w:tabs>
              <w:spacing w:before="30" w:after="30"/>
              <w:rPr>
                <w:i/>
                <w:iCs/>
                <w:sz w:val="18"/>
                <w:szCs w:val="18"/>
              </w:rPr>
            </w:pPr>
            <w:r w:rsidRPr="001314CA">
              <w:rPr>
                <w:i/>
                <w:iCs/>
                <w:sz w:val="18"/>
                <w:szCs w:val="18"/>
              </w:rPr>
              <w:t>Contributions mises en recouvrement des établissements universitaires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77749942" w14:textId="77777777" w:rsidR="00D215BD" w:rsidRPr="001314CA" w:rsidRDefault="00D215BD" w:rsidP="00D215BD">
            <w:pPr>
              <w:pStyle w:val="Tabletext"/>
              <w:jc w:val="right"/>
              <w:rPr>
                <w:sz w:val="18"/>
                <w:szCs w:val="18"/>
              </w:rPr>
            </w:pPr>
            <w:r w:rsidRPr="001314CA">
              <w:rPr>
                <w:sz w:val="18"/>
                <w:szCs w:val="18"/>
                <w:lang w:eastAsia="en-GB"/>
              </w:rPr>
              <w:t>376</w:t>
            </w:r>
          </w:p>
        </w:tc>
        <w:tc>
          <w:tcPr>
            <w:tcW w:w="1276" w:type="dxa"/>
            <w:tcBorders>
              <w:top w:val="nil"/>
              <w:left w:val="nil"/>
              <w:bottom w:val="nil"/>
              <w:right w:val="single" w:sz="4" w:space="0" w:color="auto"/>
            </w:tcBorders>
            <w:shd w:val="clear" w:color="auto" w:fill="auto"/>
            <w:vAlign w:val="bottom"/>
          </w:tcPr>
          <w:p w14:paraId="4F2860E7"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5B1A555C" w14:textId="77777777" w:rsidR="00D215BD" w:rsidRPr="001314CA" w:rsidRDefault="00D215BD" w:rsidP="00D215BD">
            <w:pPr>
              <w:pStyle w:val="Tabletext"/>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1C49834A" w14:textId="77777777" w:rsidR="00D215BD" w:rsidRPr="001314CA" w:rsidRDefault="00D215BD" w:rsidP="00D215BD">
            <w:pPr>
              <w:pStyle w:val="Tabletext"/>
              <w:jc w:val="right"/>
              <w:rPr>
                <w:sz w:val="18"/>
                <w:szCs w:val="18"/>
              </w:rPr>
            </w:pPr>
            <w:r w:rsidRPr="001314CA">
              <w:rPr>
                <w:sz w:val="18"/>
                <w:szCs w:val="18"/>
                <w:lang w:eastAsia="en-GB"/>
              </w:rPr>
              <w:t>376</w:t>
            </w:r>
          </w:p>
        </w:tc>
        <w:tc>
          <w:tcPr>
            <w:tcW w:w="1392" w:type="dxa"/>
            <w:tcBorders>
              <w:top w:val="nil"/>
              <w:left w:val="nil"/>
              <w:bottom w:val="nil"/>
              <w:right w:val="single" w:sz="4" w:space="0" w:color="auto"/>
            </w:tcBorders>
            <w:shd w:val="clear" w:color="auto" w:fill="auto"/>
            <w:tcMar>
              <w:left w:w="57" w:type="dxa"/>
              <w:right w:w="57" w:type="dxa"/>
            </w:tcMar>
            <w:vAlign w:val="bottom"/>
          </w:tcPr>
          <w:p w14:paraId="4B3E71B1" w14:textId="77777777" w:rsidR="00D215BD" w:rsidRPr="001314CA" w:rsidRDefault="00D215BD" w:rsidP="00D215BD">
            <w:pPr>
              <w:pStyle w:val="Tabletext"/>
              <w:jc w:val="right"/>
              <w:rPr>
                <w:sz w:val="18"/>
                <w:szCs w:val="18"/>
              </w:rPr>
            </w:pPr>
            <w:r w:rsidRPr="001314CA">
              <w:rPr>
                <w:sz w:val="18"/>
                <w:szCs w:val="18"/>
                <w:lang w:eastAsia="en-GB"/>
              </w:rPr>
              <w:t xml:space="preserve"> 398</w:t>
            </w:r>
          </w:p>
        </w:tc>
        <w:tc>
          <w:tcPr>
            <w:tcW w:w="1248" w:type="dxa"/>
            <w:tcBorders>
              <w:top w:val="nil"/>
              <w:left w:val="nil"/>
              <w:bottom w:val="nil"/>
              <w:right w:val="single" w:sz="4" w:space="0" w:color="auto"/>
            </w:tcBorders>
            <w:shd w:val="clear" w:color="auto" w:fill="auto"/>
            <w:tcMar>
              <w:left w:w="57" w:type="dxa"/>
              <w:right w:w="57" w:type="dxa"/>
            </w:tcMar>
            <w:vAlign w:val="bottom"/>
          </w:tcPr>
          <w:p w14:paraId="359C7BE7" w14:textId="77777777" w:rsidR="00D215BD" w:rsidRPr="001314CA" w:rsidRDefault="00D215BD" w:rsidP="00D215BD">
            <w:pPr>
              <w:pStyle w:val="Tabletext"/>
              <w:jc w:val="right"/>
              <w:rPr>
                <w:sz w:val="18"/>
                <w:szCs w:val="18"/>
              </w:rPr>
            </w:pPr>
            <w:r w:rsidRPr="001314CA">
              <w:rPr>
                <w:sz w:val="18"/>
                <w:szCs w:val="18"/>
                <w:lang w:eastAsia="en-GB"/>
              </w:rPr>
              <w:t>22</w:t>
            </w:r>
          </w:p>
        </w:tc>
      </w:tr>
      <w:tr w:rsidR="00D215BD" w:rsidRPr="001314CA" w14:paraId="63FD58E8" w14:textId="77777777" w:rsidTr="00D215BD">
        <w:trPr>
          <w:jc w:val="center"/>
        </w:trPr>
        <w:tc>
          <w:tcPr>
            <w:tcW w:w="3681" w:type="dxa"/>
            <w:tcBorders>
              <w:top w:val="nil"/>
            </w:tcBorders>
            <w:tcMar>
              <w:left w:w="57" w:type="dxa"/>
              <w:right w:w="57" w:type="dxa"/>
            </w:tcMar>
            <w:vAlign w:val="bottom"/>
          </w:tcPr>
          <w:p w14:paraId="68454E99" w14:textId="77777777" w:rsidR="00D215BD" w:rsidRPr="001314CA" w:rsidRDefault="00D215BD" w:rsidP="00D215BD">
            <w:pPr>
              <w:tabs>
                <w:tab w:val="clear" w:pos="567"/>
                <w:tab w:val="clear" w:pos="1134"/>
                <w:tab w:val="clear" w:pos="1701"/>
                <w:tab w:val="clear" w:pos="2268"/>
                <w:tab w:val="clear" w:pos="2835"/>
              </w:tabs>
              <w:spacing w:before="30" w:after="30"/>
              <w:rPr>
                <w:i/>
                <w:iCs/>
                <w:sz w:val="18"/>
                <w:szCs w:val="18"/>
              </w:rPr>
            </w:pPr>
            <w:r w:rsidRPr="001314CA">
              <w:rPr>
                <w:i/>
                <w:iCs/>
                <w:sz w:val="18"/>
                <w:szCs w:val="18"/>
              </w:rPr>
              <w:t>Contributions pour les conférences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45E53540"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vAlign w:val="bottom"/>
          </w:tcPr>
          <w:p w14:paraId="0538A0C9"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687CEBE6" w14:textId="77777777" w:rsidR="00D215BD" w:rsidRPr="001314CA" w:rsidRDefault="00D215BD" w:rsidP="00D215BD">
            <w:pPr>
              <w:pStyle w:val="Tabletext"/>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1B72CF31" w14:textId="77777777" w:rsidR="00D215BD" w:rsidRPr="001314CA" w:rsidRDefault="00D215BD" w:rsidP="00D215BD">
            <w:pPr>
              <w:pStyle w:val="Tabletext"/>
              <w:jc w:val="right"/>
              <w:rPr>
                <w:sz w:val="18"/>
                <w:szCs w:val="18"/>
              </w:rPr>
            </w:pPr>
            <w:r w:rsidRPr="001314CA">
              <w:rPr>
                <w:sz w:val="18"/>
                <w:szCs w:val="18"/>
                <w:lang w:eastAsia="en-GB"/>
              </w:rPr>
              <w:t>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1E834F36" w14:textId="77777777" w:rsidR="00D215BD" w:rsidRPr="001314CA" w:rsidRDefault="00D215BD" w:rsidP="00D215BD">
            <w:pPr>
              <w:pStyle w:val="Tabletext"/>
              <w:jc w:val="right"/>
              <w:rPr>
                <w:sz w:val="18"/>
                <w:szCs w:val="18"/>
              </w:rPr>
            </w:pPr>
            <w:r w:rsidRPr="001314CA">
              <w:rPr>
                <w:sz w:val="18"/>
                <w:szCs w:val="18"/>
                <w:lang w:eastAsia="en-GB"/>
              </w:rPr>
              <w:t>–</w:t>
            </w:r>
          </w:p>
        </w:tc>
        <w:tc>
          <w:tcPr>
            <w:tcW w:w="1248" w:type="dxa"/>
            <w:tcBorders>
              <w:top w:val="nil"/>
              <w:left w:val="nil"/>
              <w:bottom w:val="nil"/>
              <w:right w:val="single" w:sz="4" w:space="0" w:color="auto"/>
            </w:tcBorders>
            <w:shd w:val="clear" w:color="auto" w:fill="auto"/>
            <w:tcMar>
              <w:left w:w="57" w:type="dxa"/>
              <w:right w:w="57" w:type="dxa"/>
            </w:tcMar>
            <w:vAlign w:val="bottom"/>
          </w:tcPr>
          <w:p w14:paraId="2E829E3D" w14:textId="77777777" w:rsidR="00D215BD" w:rsidRPr="001314CA" w:rsidRDefault="00D215BD" w:rsidP="00D215BD">
            <w:pPr>
              <w:pStyle w:val="Tabletext"/>
              <w:jc w:val="right"/>
              <w:rPr>
                <w:sz w:val="18"/>
                <w:szCs w:val="18"/>
              </w:rPr>
            </w:pPr>
            <w:r w:rsidRPr="001314CA">
              <w:rPr>
                <w:sz w:val="18"/>
                <w:szCs w:val="18"/>
                <w:lang w:eastAsia="en-GB"/>
              </w:rPr>
              <w:t xml:space="preserve"> –</w:t>
            </w:r>
          </w:p>
        </w:tc>
      </w:tr>
      <w:tr w:rsidR="00D215BD" w:rsidRPr="001314CA" w14:paraId="4B11CE58" w14:textId="77777777" w:rsidTr="00D215BD">
        <w:trPr>
          <w:jc w:val="center"/>
        </w:trPr>
        <w:tc>
          <w:tcPr>
            <w:tcW w:w="3681" w:type="dxa"/>
            <w:tcBorders>
              <w:bottom w:val="single" w:sz="4" w:space="0" w:color="auto"/>
            </w:tcBorders>
            <w:tcMar>
              <w:left w:w="57" w:type="dxa"/>
              <w:right w:w="57" w:type="dxa"/>
            </w:tcMar>
            <w:vAlign w:val="center"/>
          </w:tcPr>
          <w:p w14:paraId="0948B8D1" w14:textId="77777777" w:rsidR="00D215BD" w:rsidRPr="001314CA" w:rsidRDefault="00D215BD" w:rsidP="00D215BD">
            <w:pPr>
              <w:tabs>
                <w:tab w:val="clear" w:pos="567"/>
                <w:tab w:val="clear" w:pos="1134"/>
                <w:tab w:val="clear" w:pos="1701"/>
                <w:tab w:val="clear" w:pos="2268"/>
                <w:tab w:val="clear" w:pos="2835"/>
              </w:tabs>
              <w:spacing w:before="30" w:after="30"/>
              <w:rPr>
                <w:b/>
                <w:bCs/>
                <w:sz w:val="18"/>
                <w:szCs w:val="18"/>
              </w:rPr>
            </w:pPr>
            <w:r w:rsidRPr="001314CA">
              <w:rPr>
                <w:b/>
                <w:bCs/>
                <w:sz w:val="18"/>
                <w:szCs w:val="18"/>
              </w:rPr>
              <w:t>Contributions mises en recouvrement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45E6D90E" w14:textId="77777777" w:rsidR="00D215BD" w:rsidRPr="001314CA" w:rsidRDefault="00D215BD" w:rsidP="00D215BD">
            <w:pPr>
              <w:pStyle w:val="Tabletext"/>
              <w:jc w:val="right"/>
              <w:rPr>
                <w:b/>
                <w:sz w:val="18"/>
                <w:szCs w:val="18"/>
              </w:rPr>
            </w:pPr>
            <w:r w:rsidRPr="001314CA">
              <w:rPr>
                <w:b/>
                <w:bCs/>
                <w:sz w:val="18"/>
                <w:szCs w:val="18"/>
                <w:lang w:eastAsia="en-GB"/>
              </w:rPr>
              <w:t>125 552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21D197" w14:textId="77777777" w:rsidR="00D215BD" w:rsidRPr="001314CA" w:rsidRDefault="00D215BD" w:rsidP="00D215BD">
            <w:pPr>
              <w:pStyle w:val="Tabletext"/>
              <w:jc w:val="right"/>
              <w:rPr>
                <w:b/>
                <w:sz w:val="18"/>
                <w:szCs w:val="18"/>
              </w:rPr>
            </w:pPr>
            <w:r w:rsidRPr="001314CA">
              <w:rPr>
                <w:b/>
                <w:bCs/>
                <w:sz w:val="18"/>
                <w:szCs w:val="18"/>
                <w:lang w:eastAsia="en-GB"/>
              </w:rPr>
              <w:t> </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60727016" w14:textId="77777777" w:rsidR="00D215BD" w:rsidRPr="001314CA" w:rsidRDefault="00D215BD" w:rsidP="00D215BD">
            <w:pPr>
              <w:pStyle w:val="Tabletext"/>
              <w:jc w:val="right"/>
              <w:rPr>
                <w:b/>
                <w:sz w:val="18"/>
                <w:szCs w:val="18"/>
              </w:rPr>
            </w:pPr>
            <w:r w:rsidRPr="001314CA">
              <w:rPr>
                <w:b/>
                <w:bCs/>
                <w:sz w:val="18"/>
                <w:szCs w:val="18"/>
                <w:lang w:eastAsia="en-GB"/>
              </w:rPr>
              <w:t> </w:t>
            </w:r>
          </w:p>
        </w:tc>
        <w:tc>
          <w:tcPr>
            <w:tcW w:w="1107"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2142DADB" w14:textId="77777777" w:rsidR="00D215BD" w:rsidRPr="001314CA" w:rsidRDefault="00D215BD" w:rsidP="00D215BD">
            <w:pPr>
              <w:pStyle w:val="Tabletext"/>
              <w:jc w:val="right"/>
              <w:rPr>
                <w:b/>
                <w:sz w:val="18"/>
                <w:szCs w:val="18"/>
              </w:rPr>
            </w:pPr>
            <w:r w:rsidRPr="001314CA">
              <w:rPr>
                <w:b/>
                <w:bCs/>
                <w:sz w:val="18"/>
                <w:szCs w:val="18"/>
                <w:lang w:eastAsia="en-GB"/>
              </w:rPr>
              <w:t>125 552</w:t>
            </w:r>
          </w:p>
        </w:tc>
        <w:tc>
          <w:tcPr>
            <w:tcW w:w="1392"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1CD2B563" w14:textId="77777777" w:rsidR="00D215BD" w:rsidRPr="001314CA" w:rsidRDefault="00D215BD" w:rsidP="00D215BD">
            <w:pPr>
              <w:pStyle w:val="Tabletext"/>
              <w:jc w:val="right"/>
              <w:rPr>
                <w:b/>
                <w:sz w:val="18"/>
                <w:szCs w:val="18"/>
              </w:rPr>
            </w:pPr>
            <w:r w:rsidRPr="001314CA">
              <w:rPr>
                <w:b/>
                <w:bCs/>
                <w:sz w:val="18"/>
                <w:szCs w:val="18"/>
                <w:lang w:eastAsia="en-GB"/>
              </w:rPr>
              <w:t>125 741</w:t>
            </w:r>
          </w:p>
        </w:tc>
        <w:tc>
          <w:tcPr>
            <w:tcW w:w="1248"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5A8568C9" w14:textId="77777777" w:rsidR="00D215BD" w:rsidRPr="001314CA" w:rsidRDefault="00D215BD" w:rsidP="00D215BD">
            <w:pPr>
              <w:pStyle w:val="Tabletext"/>
              <w:jc w:val="right"/>
              <w:rPr>
                <w:b/>
                <w:sz w:val="18"/>
                <w:szCs w:val="18"/>
              </w:rPr>
            </w:pPr>
            <w:r w:rsidRPr="001314CA">
              <w:rPr>
                <w:b/>
                <w:bCs/>
                <w:sz w:val="18"/>
                <w:szCs w:val="18"/>
                <w:lang w:eastAsia="en-GB"/>
              </w:rPr>
              <w:t xml:space="preserve">189 </w:t>
            </w:r>
          </w:p>
        </w:tc>
      </w:tr>
      <w:tr w:rsidR="00D215BD" w:rsidRPr="001314CA" w14:paraId="70BC4264" w14:textId="77777777" w:rsidTr="00D215BD">
        <w:trPr>
          <w:jc w:val="center"/>
        </w:trPr>
        <w:tc>
          <w:tcPr>
            <w:tcW w:w="3681" w:type="dxa"/>
            <w:tcBorders>
              <w:bottom w:val="single" w:sz="4" w:space="0" w:color="auto"/>
            </w:tcBorders>
            <w:tcMar>
              <w:left w:w="57" w:type="dxa"/>
              <w:right w:w="57" w:type="dxa"/>
            </w:tcMar>
            <w:vAlign w:val="center"/>
          </w:tcPr>
          <w:p w14:paraId="0525F252" w14:textId="77777777" w:rsidR="00D215BD" w:rsidRPr="001314CA" w:rsidRDefault="00D215BD" w:rsidP="00D215BD">
            <w:pPr>
              <w:tabs>
                <w:tab w:val="clear" w:pos="567"/>
                <w:tab w:val="clear" w:pos="1134"/>
                <w:tab w:val="clear" w:pos="1701"/>
                <w:tab w:val="clear" w:pos="2268"/>
                <w:tab w:val="clear" w:pos="2835"/>
              </w:tabs>
              <w:spacing w:before="30" w:after="30"/>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1BCDD9EE" w14:textId="77777777" w:rsidR="00D215BD" w:rsidRPr="001314CA" w:rsidRDefault="00D215BD" w:rsidP="00D215BD">
            <w:pPr>
              <w:pStyle w:val="Tabletext"/>
              <w:jc w:val="right"/>
              <w:rPr>
                <w:b/>
                <w:sz w:val="18"/>
                <w:szCs w:val="18"/>
              </w:rPr>
            </w:pPr>
            <w:r w:rsidRPr="001314CA">
              <w:rPr>
                <w:sz w:val="18"/>
                <w:szCs w:val="18"/>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E4465" w14:textId="77777777" w:rsidR="00D215BD" w:rsidRPr="001314CA" w:rsidRDefault="00D215BD" w:rsidP="00D215BD">
            <w:pPr>
              <w:pStyle w:val="Tabletext"/>
              <w:jc w:val="right"/>
              <w:rPr>
                <w:b/>
                <w:sz w:val="18"/>
                <w:szCs w:val="18"/>
              </w:rPr>
            </w:pPr>
            <w:r w:rsidRPr="001314CA">
              <w:rPr>
                <w:sz w:val="18"/>
                <w:szCs w:val="18"/>
                <w:lang w:eastAsia="en-GB"/>
              </w:rPr>
              <w:t> </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6102B4BA" w14:textId="77777777" w:rsidR="00D215BD" w:rsidRPr="001314CA" w:rsidRDefault="00D215BD" w:rsidP="00D215BD">
            <w:pPr>
              <w:pStyle w:val="Tabletext"/>
              <w:jc w:val="right"/>
              <w:rPr>
                <w:b/>
                <w:sz w:val="18"/>
                <w:szCs w:val="18"/>
              </w:rPr>
            </w:pPr>
            <w:r w:rsidRPr="001314CA">
              <w:rPr>
                <w:sz w:val="18"/>
                <w:szCs w:val="18"/>
                <w:lang w:eastAsia="en-GB"/>
              </w:rPr>
              <w:t> </w:t>
            </w:r>
          </w:p>
        </w:tc>
        <w:tc>
          <w:tcPr>
            <w:tcW w:w="1107"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3FDC1BD6" w14:textId="77777777" w:rsidR="00D215BD" w:rsidRPr="001314CA" w:rsidRDefault="00D215BD" w:rsidP="00D215BD">
            <w:pPr>
              <w:pStyle w:val="Tabletext"/>
              <w:jc w:val="right"/>
              <w:rPr>
                <w:b/>
                <w:sz w:val="18"/>
                <w:szCs w:val="18"/>
              </w:rPr>
            </w:pPr>
            <w:r w:rsidRPr="001314CA">
              <w:rPr>
                <w:sz w:val="18"/>
                <w:szCs w:val="18"/>
                <w:lang w:eastAsia="en-GB"/>
              </w:rPr>
              <w:t> </w:t>
            </w:r>
          </w:p>
        </w:tc>
        <w:tc>
          <w:tcPr>
            <w:tcW w:w="1392"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7A24B987" w14:textId="77777777" w:rsidR="00D215BD" w:rsidRPr="001314CA" w:rsidRDefault="00D215BD" w:rsidP="00D215BD">
            <w:pPr>
              <w:pStyle w:val="Tabletext"/>
              <w:jc w:val="right"/>
              <w:rPr>
                <w:b/>
                <w:sz w:val="18"/>
                <w:szCs w:val="18"/>
              </w:rPr>
            </w:pPr>
            <w:r w:rsidRPr="001314CA">
              <w:rPr>
                <w:sz w:val="18"/>
                <w:szCs w:val="18"/>
                <w:lang w:eastAsia="en-GB"/>
              </w:rPr>
              <w:t> </w:t>
            </w:r>
          </w:p>
        </w:tc>
        <w:tc>
          <w:tcPr>
            <w:tcW w:w="1248"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6DEE799C" w14:textId="77777777" w:rsidR="00D215BD" w:rsidRPr="001314CA" w:rsidRDefault="00D215BD" w:rsidP="00D215BD">
            <w:pPr>
              <w:pStyle w:val="Tabletext"/>
              <w:jc w:val="right"/>
              <w:rPr>
                <w:b/>
                <w:sz w:val="18"/>
                <w:szCs w:val="18"/>
              </w:rPr>
            </w:pPr>
            <w:r w:rsidRPr="001314CA">
              <w:rPr>
                <w:sz w:val="18"/>
                <w:szCs w:val="18"/>
                <w:lang w:eastAsia="en-GB"/>
              </w:rPr>
              <w:t> </w:t>
            </w:r>
          </w:p>
        </w:tc>
      </w:tr>
      <w:tr w:rsidR="00D215BD" w:rsidRPr="001314CA" w14:paraId="35BD8766" w14:textId="77777777" w:rsidTr="00D215BD">
        <w:trPr>
          <w:jc w:val="center"/>
        </w:trPr>
        <w:tc>
          <w:tcPr>
            <w:tcW w:w="3681" w:type="dxa"/>
            <w:tcBorders>
              <w:top w:val="single" w:sz="4" w:space="0" w:color="auto"/>
              <w:left w:val="single" w:sz="4" w:space="0" w:color="auto"/>
              <w:bottom w:val="nil"/>
              <w:right w:val="single" w:sz="4" w:space="0" w:color="auto"/>
            </w:tcBorders>
            <w:tcMar>
              <w:left w:w="57" w:type="dxa"/>
              <w:right w:w="57" w:type="dxa"/>
            </w:tcMar>
            <w:vAlign w:val="bottom"/>
          </w:tcPr>
          <w:p w14:paraId="014BE5C0" w14:textId="77777777" w:rsidR="00D215BD" w:rsidRPr="001314CA" w:rsidRDefault="00D215BD" w:rsidP="00D215BD">
            <w:pPr>
              <w:tabs>
                <w:tab w:val="clear" w:pos="567"/>
                <w:tab w:val="clear" w:pos="1134"/>
                <w:tab w:val="clear" w:pos="1701"/>
                <w:tab w:val="clear" w:pos="2268"/>
                <w:tab w:val="clear" w:pos="2835"/>
              </w:tabs>
              <w:spacing w:before="30" w:after="30"/>
              <w:rPr>
                <w:i/>
                <w:iCs/>
                <w:sz w:val="18"/>
                <w:szCs w:val="18"/>
              </w:rPr>
            </w:pPr>
            <w:r w:rsidRPr="001314CA">
              <w:rPr>
                <w:i/>
                <w:iCs/>
                <w:sz w:val="18"/>
                <w:szCs w:val="18"/>
              </w:rPr>
              <w:t>Dépenses d'appui</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57B9AE1F" w14:textId="77777777" w:rsidR="00D215BD" w:rsidRPr="001314CA" w:rsidRDefault="00D215BD" w:rsidP="00D215BD">
            <w:pPr>
              <w:pStyle w:val="Tabletext"/>
              <w:jc w:val="right"/>
              <w:rPr>
                <w:sz w:val="18"/>
                <w:szCs w:val="18"/>
              </w:rPr>
            </w:pPr>
            <w:r w:rsidRPr="001314CA">
              <w:rPr>
                <w:sz w:val="18"/>
                <w:szCs w:val="18"/>
                <w:lang w:eastAsia="en-GB"/>
              </w:rPr>
              <w:t>1 375</w:t>
            </w:r>
          </w:p>
        </w:tc>
        <w:tc>
          <w:tcPr>
            <w:tcW w:w="1276" w:type="dxa"/>
            <w:tcBorders>
              <w:top w:val="nil"/>
              <w:left w:val="nil"/>
              <w:bottom w:val="nil"/>
              <w:right w:val="single" w:sz="4" w:space="0" w:color="auto"/>
            </w:tcBorders>
            <w:shd w:val="clear" w:color="auto" w:fill="auto"/>
            <w:vAlign w:val="bottom"/>
          </w:tcPr>
          <w:p w14:paraId="0959BE06"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52DB9431" w14:textId="77777777" w:rsidR="00D215BD" w:rsidRPr="001314CA" w:rsidRDefault="00D215BD" w:rsidP="00D215BD">
            <w:pPr>
              <w:pStyle w:val="Tabletext"/>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4CD0F57D" w14:textId="77777777" w:rsidR="00D215BD" w:rsidRPr="001314CA" w:rsidRDefault="00D215BD" w:rsidP="00D215BD">
            <w:pPr>
              <w:pStyle w:val="Tabletext"/>
              <w:jc w:val="right"/>
              <w:rPr>
                <w:sz w:val="18"/>
                <w:szCs w:val="18"/>
              </w:rPr>
            </w:pPr>
            <w:r w:rsidRPr="001314CA">
              <w:rPr>
                <w:sz w:val="18"/>
                <w:szCs w:val="18"/>
                <w:lang w:eastAsia="en-GB"/>
              </w:rPr>
              <w:t>1 375</w:t>
            </w:r>
          </w:p>
        </w:tc>
        <w:tc>
          <w:tcPr>
            <w:tcW w:w="1392" w:type="dxa"/>
            <w:tcBorders>
              <w:top w:val="nil"/>
              <w:left w:val="nil"/>
              <w:bottom w:val="nil"/>
              <w:right w:val="single" w:sz="4" w:space="0" w:color="auto"/>
            </w:tcBorders>
            <w:shd w:val="clear" w:color="auto" w:fill="auto"/>
            <w:tcMar>
              <w:left w:w="57" w:type="dxa"/>
              <w:right w:w="57" w:type="dxa"/>
            </w:tcMar>
            <w:vAlign w:val="bottom"/>
          </w:tcPr>
          <w:p w14:paraId="0766A683" w14:textId="77777777" w:rsidR="00D215BD" w:rsidRPr="001314CA" w:rsidRDefault="00D215BD" w:rsidP="00D215BD">
            <w:pPr>
              <w:pStyle w:val="Tabletext"/>
              <w:jc w:val="right"/>
              <w:rPr>
                <w:sz w:val="18"/>
                <w:szCs w:val="18"/>
              </w:rPr>
            </w:pPr>
            <w:r w:rsidRPr="001314CA">
              <w:rPr>
                <w:sz w:val="18"/>
                <w:szCs w:val="18"/>
                <w:lang w:eastAsia="en-GB"/>
              </w:rPr>
              <w:t>236</w:t>
            </w:r>
          </w:p>
        </w:tc>
        <w:tc>
          <w:tcPr>
            <w:tcW w:w="1248" w:type="dxa"/>
            <w:tcBorders>
              <w:top w:val="nil"/>
              <w:left w:val="nil"/>
              <w:bottom w:val="nil"/>
              <w:right w:val="single" w:sz="4" w:space="0" w:color="auto"/>
            </w:tcBorders>
            <w:shd w:val="clear" w:color="auto" w:fill="auto"/>
            <w:tcMar>
              <w:left w:w="57" w:type="dxa"/>
              <w:right w:w="57" w:type="dxa"/>
            </w:tcMar>
            <w:vAlign w:val="bottom"/>
          </w:tcPr>
          <w:p w14:paraId="080EAADD" w14:textId="77777777" w:rsidR="00D215BD" w:rsidRPr="001314CA" w:rsidRDefault="00D215BD" w:rsidP="00D215BD">
            <w:pPr>
              <w:pStyle w:val="Tabletext"/>
              <w:jc w:val="right"/>
              <w:rPr>
                <w:sz w:val="18"/>
                <w:szCs w:val="18"/>
              </w:rPr>
            </w:pPr>
            <w:r w:rsidRPr="001314CA">
              <w:rPr>
                <w:sz w:val="18"/>
                <w:szCs w:val="18"/>
                <w:lang w:eastAsia="en-GB"/>
              </w:rPr>
              <w:t>–1 139</w:t>
            </w:r>
          </w:p>
        </w:tc>
      </w:tr>
      <w:tr w:rsidR="00D215BD" w:rsidRPr="001314CA" w14:paraId="7D7CF4C9" w14:textId="77777777" w:rsidTr="00D215BD">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430026DA" w14:textId="77777777" w:rsidR="00D215BD" w:rsidRPr="001314CA" w:rsidRDefault="00D215BD" w:rsidP="00D215BD">
            <w:pPr>
              <w:tabs>
                <w:tab w:val="clear" w:pos="567"/>
                <w:tab w:val="clear" w:pos="1134"/>
                <w:tab w:val="clear" w:pos="1701"/>
                <w:tab w:val="clear" w:pos="2268"/>
                <w:tab w:val="clear" w:pos="2835"/>
              </w:tabs>
              <w:spacing w:before="30" w:after="30"/>
              <w:rPr>
                <w:i/>
                <w:iCs/>
                <w:sz w:val="18"/>
                <w:szCs w:val="18"/>
              </w:rPr>
            </w:pPr>
            <w:r w:rsidRPr="001314CA">
              <w:rPr>
                <w:i/>
                <w:iCs/>
                <w:sz w:val="18"/>
                <w:szCs w:val="18"/>
              </w:rPr>
              <w:t>Ventes des publications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77DF4804" w14:textId="77777777" w:rsidR="00D215BD" w:rsidRPr="001314CA" w:rsidRDefault="00D215BD" w:rsidP="00D215BD">
            <w:pPr>
              <w:pStyle w:val="Tabletext"/>
              <w:jc w:val="right"/>
              <w:rPr>
                <w:sz w:val="18"/>
                <w:szCs w:val="18"/>
              </w:rPr>
            </w:pPr>
            <w:r w:rsidRPr="001314CA">
              <w:rPr>
                <w:sz w:val="18"/>
                <w:szCs w:val="18"/>
                <w:lang w:eastAsia="en-GB"/>
              </w:rPr>
              <w:t>19 000</w:t>
            </w:r>
          </w:p>
        </w:tc>
        <w:tc>
          <w:tcPr>
            <w:tcW w:w="1276" w:type="dxa"/>
            <w:tcBorders>
              <w:top w:val="nil"/>
              <w:left w:val="nil"/>
              <w:bottom w:val="nil"/>
              <w:right w:val="single" w:sz="4" w:space="0" w:color="auto"/>
            </w:tcBorders>
            <w:shd w:val="clear" w:color="auto" w:fill="auto"/>
            <w:vAlign w:val="bottom"/>
          </w:tcPr>
          <w:p w14:paraId="4BDAC4F4"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22C29617" w14:textId="77777777" w:rsidR="00D215BD" w:rsidRPr="001314CA" w:rsidRDefault="00D215BD" w:rsidP="00D215BD">
            <w:pPr>
              <w:pStyle w:val="Tabletext"/>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1E04B4D8" w14:textId="77777777" w:rsidR="00D215BD" w:rsidRPr="001314CA" w:rsidRDefault="00D215BD" w:rsidP="00D215BD">
            <w:pPr>
              <w:pStyle w:val="Tabletext"/>
              <w:jc w:val="right"/>
              <w:rPr>
                <w:sz w:val="18"/>
                <w:szCs w:val="18"/>
              </w:rPr>
            </w:pPr>
            <w:r w:rsidRPr="001314CA">
              <w:rPr>
                <w:sz w:val="18"/>
                <w:szCs w:val="18"/>
                <w:lang w:eastAsia="en-GB"/>
              </w:rPr>
              <w:t>19 000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359A76B2" w14:textId="77777777" w:rsidR="00D215BD" w:rsidRPr="001314CA" w:rsidRDefault="00D215BD" w:rsidP="00D215BD">
            <w:pPr>
              <w:pStyle w:val="Tabletext"/>
              <w:jc w:val="right"/>
              <w:rPr>
                <w:sz w:val="18"/>
                <w:szCs w:val="18"/>
              </w:rPr>
            </w:pPr>
            <w:r w:rsidRPr="001314CA">
              <w:rPr>
                <w:sz w:val="18"/>
                <w:szCs w:val="18"/>
                <w:lang w:eastAsia="en-GB"/>
              </w:rPr>
              <w:t>17 116</w:t>
            </w:r>
          </w:p>
        </w:tc>
        <w:tc>
          <w:tcPr>
            <w:tcW w:w="1248" w:type="dxa"/>
            <w:tcBorders>
              <w:top w:val="nil"/>
              <w:left w:val="nil"/>
              <w:bottom w:val="nil"/>
              <w:right w:val="single" w:sz="4" w:space="0" w:color="auto"/>
            </w:tcBorders>
            <w:shd w:val="clear" w:color="auto" w:fill="auto"/>
            <w:tcMar>
              <w:left w:w="57" w:type="dxa"/>
              <w:right w:w="57" w:type="dxa"/>
            </w:tcMar>
            <w:vAlign w:val="bottom"/>
          </w:tcPr>
          <w:p w14:paraId="01C8554C" w14:textId="77777777" w:rsidR="00D215BD" w:rsidRPr="001314CA" w:rsidRDefault="00D215BD" w:rsidP="00D215BD">
            <w:pPr>
              <w:pStyle w:val="Tabletext"/>
              <w:jc w:val="right"/>
              <w:rPr>
                <w:sz w:val="18"/>
                <w:szCs w:val="18"/>
              </w:rPr>
            </w:pPr>
            <w:r w:rsidRPr="001314CA">
              <w:rPr>
                <w:sz w:val="18"/>
                <w:szCs w:val="18"/>
                <w:lang w:eastAsia="en-GB"/>
              </w:rPr>
              <w:t>–1 884</w:t>
            </w:r>
          </w:p>
        </w:tc>
      </w:tr>
      <w:tr w:rsidR="00D215BD" w:rsidRPr="001314CA" w14:paraId="1D0D270E" w14:textId="77777777" w:rsidTr="00D215BD">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3DC7BB5B" w14:textId="77777777" w:rsidR="00D215BD" w:rsidRPr="001314CA" w:rsidRDefault="00D215BD" w:rsidP="00D215BD">
            <w:pPr>
              <w:tabs>
                <w:tab w:val="clear" w:pos="567"/>
                <w:tab w:val="clear" w:pos="1134"/>
                <w:tab w:val="clear" w:pos="1701"/>
                <w:tab w:val="clear" w:pos="2268"/>
                <w:tab w:val="clear" w:pos="2835"/>
              </w:tabs>
              <w:spacing w:before="30" w:after="30"/>
              <w:rPr>
                <w:i/>
                <w:iCs/>
                <w:sz w:val="18"/>
                <w:szCs w:val="18"/>
              </w:rPr>
            </w:pPr>
            <w:r w:rsidRPr="001314CA">
              <w:rPr>
                <w:i/>
                <w:iCs/>
                <w:sz w:val="18"/>
                <w:szCs w:val="18"/>
              </w:rPr>
              <w:t>Numéros UIFN</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26B780A" w14:textId="77777777" w:rsidR="00D215BD" w:rsidRPr="001314CA" w:rsidRDefault="00D215BD" w:rsidP="00D215BD">
            <w:pPr>
              <w:pStyle w:val="Tabletext"/>
              <w:jc w:val="right"/>
              <w:rPr>
                <w:sz w:val="18"/>
                <w:szCs w:val="18"/>
              </w:rPr>
            </w:pPr>
            <w:r w:rsidRPr="001314CA">
              <w:rPr>
                <w:sz w:val="18"/>
                <w:szCs w:val="18"/>
                <w:lang w:eastAsia="en-GB"/>
              </w:rPr>
              <w:t>500</w:t>
            </w:r>
          </w:p>
        </w:tc>
        <w:tc>
          <w:tcPr>
            <w:tcW w:w="1276" w:type="dxa"/>
            <w:tcBorders>
              <w:top w:val="nil"/>
              <w:left w:val="nil"/>
              <w:bottom w:val="nil"/>
              <w:right w:val="single" w:sz="4" w:space="0" w:color="auto"/>
            </w:tcBorders>
            <w:shd w:val="clear" w:color="auto" w:fill="auto"/>
            <w:vAlign w:val="bottom"/>
          </w:tcPr>
          <w:p w14:paraId="5FE8D346"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01FE14C0" w14:textId="77777777" w:rsidR="00D215BD" w:rsidRPr="001314CA" w:rsidRDefault="00D215BD" w:rsidP="00D215BD">
            <w:pPr>
              <w:pStyle w:val="Tabletext"/>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0B6EC7F2" w14:textId="77777777" w:rsidR="00D215BD" w:rsidRPr="001314CA" w:rsidRDefault="00D215BD" w:rsidP="00D215BD">
            <w:pPr>
              <w:pStyle w:val="Tabletext"/>
              <w:jc w:val="right"/>
              <w:rPr>
                <w:sz w:val="18"/>
                <w:szCs w:val="18"/>
              </w:rPr>
            </w:pPr>
            <w:r w:rsidRPr="001314CA">
              <w:rPr>
                <w:sz w:val="18"/>
                <w:szCs w:val="18"/>
                <w:lang w:eastAsia="en-GB"/>
              </w:rPr>
              <w:t>500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33F93941" w14:textId="77777777" w:rsidR="00D215BD" w:rsidRPr="001314CA" w:rsidRDefault="00D215BD" w:rsidP="00D215BD">
            <w:pPr>
              <w:pStyle w:val="Tabletext"/>
              <w:jc w:val="right"/>
              <w:rPr>
                <w:sz w:val="18"/>
                <w:szCs w:val="18"/>
              </w:rPr>
            </w:pPr>
            <w:r w:rsidRPr="001314CA">
              <w:rPr>
                <w:sz w:val="18"/>
                <w:szCs w:val="18"/>
                <w:lang w:eastAsia="en-GB"/>
              </w:rPr>
              <w:t xml:space="preserve"> 254</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B162EC5" w14:textId="77777777" w:rsidR="00D215BD" w:rsidRPr="001314CA" w:rsidRDefault="00D215BD" w:rsidP="00D215BD">
            <w:pPr>
              <w:pStyle w:val="Tabletext"/>
              <w:jc w:val="right"/>
              <w:rPr>
                <w:sz w:val="18"/>
                <w:szCs w:val="18"/>
              </w:rPr>
            </w:pPr>
            <w:r w:rsidRPr="001314CA">
              <w:rPr>
                <w:sz w:val="18"/>
                <w:szCs w:val="18"/>
                <w:lang w:eastAsia="en-GB"/>
              </w:rPr>
              <w:t>–246</w:t>
            </w:r>
          </w:p>
        </w:tc>
      </w:tr>
      <w:tr w:rsidR="00D215BD" w:rsidRPr="001314CA" w14:paraId="6089E39A" w14:textId="77777777" w:rsidTr="00D215BD">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1C9FFA1D" w14:textId="77777777" w:rsidR="00D215BD" w:rsidRPr="001314CA" w:rsidRDefault="00D215BD" w:rsidP="00D215BD">
            <w:pPr>
              <w:tabs>
                <w:tab w:val="clear" w:pos="567"/>
                <w:tab w:val="clear" w:pos="1134"/>
                <w:tab w:val="clear" w:pos="1701"/>
                <w:tab w:val="clear" w:pos="2268"/>
                <w:tab w:val="clear" w:pos="2835"/>
              </w:tabs>
              <w:spacing w:before="30" w:after="30"/>
              <w:rPr>
                <w:i/>
                <w:iCs/>
                <w:sz w:val="18"/>
                <w:szCs w:val="18"/>
              </w:rPr>
            </w:pPr>
            <w:r w:rsidRPr="001314CA">
              <w:rPr>
                <w:i/>
                <w:iCs/>
                <w:sz w:val="18"/>
                <w:szCs w:val="18"/>
              </w:rPr>
              <w:t>TELECOM</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404ADC96" w14:textId="77777777" w:rsidR="00D215BD" w:rsidRPr="001314CA" w:rsidRDefault="00D215BD" w:rsidP="00D215BD">
            <w:pPr>
              <w:pStyle w:val="Tabletext"/>
              <w:jc w:val="right"/>
              <w:rPr>
                <w:sz w:val="18"/>
                <w:szCs w:val="18"/>
              </w:rPr>
            </w:pPr>
            <w:r w:rsidRPr="001314CA">
              <w:rPr>
                <w:sz w:val="18"/>
                <w:szCs w:val="18"/>
                <w:lang w:eastAsia="en-GB"/>
              </w:rPr>
              <w:t>1 500</w:t>
            </w:r>
          </w:p>
        </w:tc>
        <w:tc>
          <w:tcPr>
            <w:tcW w:w="1276" w:type="dxa"/>
            <w:tcBorders>
              <w:top w:val="nil"/>
              <w:left w:val="nil"/>
              <w:bottom w:val="nil"/>
              <w:right w:val="single" w:sz="4" w:space="0" w:color="auto"/>
            </w:tcBorders>
            <w:shd w:val="clear" w:color="auto" w:fill="auto"/>
            <w:vAlign w:val="bottom"/>
          </w:tcPr>
          <w:p w14:paraId="12FD4D39"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1A88384F" w14:textId="77777777" w:rsidR="00D215BD" w:rsidRPr="001314CA" w:rsidRDefault="00D215BD" w:rsidP="00D215BD">
            <w:pPr>
              <w:pStyle w:val="Tabletext"/>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76E4F5CE" w14:textId="77777777" w:rsidR="00D215BD" w:rsidRPr="001314CA" w:rsidRDefault="00D215BD" w:rsidP="00D215BD">
            <w:pPr>
              <w:pStyle w:val="Tabletext"/>
              <w:jc w:val="right"/>
              <w:rPr>
                <w:sz w:val="18"/>
                <w:szCs w:val="18"/>
              </w:rPr>
            </w:pPr>
            <w:r w:rsidRPr="001314CA">
              <w:rPr>
                <w:sz w:val="18"/>
                <w:szCs w:val="18"/>
                <w:lang w:eastAsia="en-GB"/>
              </w:rPr>
              <w:t>1 500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48B6C823" w14:textId="77777777" w:rsidR="00D215BD" w:rsidRPr="001314CA" w:rsidRDefault="00D215BD" w:rsidP="00D215BD">
            <w:pPr>
              <w:pStyle w:val="Tabletext"/>
              <w:jc w:val="right"/>
              <w:rPr>
                <w:sz w:val="18"/>
                <w:szCs w:val="18"/>
              </w:rPr>
            </w:pPr>
            <w:r w:rsidRPr="001314CA">
              <w:rPr>
                <w:sz w:val="18"/>
                <w:szCs w:val="18"/>
                <w:lang w:eastAsia="en-GB"/>
              </w:rPr>
              <w:t>–</w:t>
            </w:r>
          </w:p>
        </w:tc>
        <w:tc>
          <w:tcPr>
            <w:tcW w:w="1248" w:type="dxa"/>
            <w:tcBorders>
              <w:top w:val="nil"/>
              <w:left w:val="nil"/>
              <w:bottom w:val="nil"/>
              <w:right w:val="single" w:sz="4" w:space="0" w:color="auto"/>
            </w:tcBorders>
            <w:shd w:val="clear" w:color="auto" w:fill="auto"/>
            <w:tcMar>
              <w:left w:w="57" w:type="dxa"/>
              <w:right w:w="57" w:type="dxa"/>
            </w:tcMar>
            <w:vAlign w:val="bottom"/>
          </w:tcPr>
          <w:p w14:paraId="2728BA90" w14:textId="77777777" w:rsidR="00D215BD" w:rsidRPr="001314CA" w:rsidRDefault="00D215BD" w:rsidP="00D215BD">
            <w:pPr>
              <w:pStyle w:val="Tabletext"/>
              <w:jc w:val="right"/>
              <w:rPr>
                <w:sz w:val="18"/>
                <w:szCs w:val="18"/>
              </w:rPr>
            </w:pPr>
            <w:r w:rsidRPr="001314CA">
              <w:rPr>
                <w:sz w:val="18"/>
                <w:szCs w:val="18"/>
                <w:lang w:eastAsia="en-GB"/>
              </w:rPr>
              <w:t>–1 500</w:t>
            </w:r>
          </w:p>
        </w:tc>
      </w:tr>
      <w:tr w:rsidR="00D215BD" w:rsidRPr="001314CA" w14:paraId="1942C3FB" w14:textId="77777777" w:rsidTr="00D215BD">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24ED7B1D" w14:textId="77777777" w:rsidR="00D215BD" w:rsidRPr="001314CA" w:rsidRDefault="00D215BD" w:rsidP="00D215BD">
            <w:pPr>
              <w:tabs>
                <w:tab w:val="clear" w:pos="567"/>
                <w:tab w:val="clear" w:pos="1134"/>
                <w:tab w:val="clear" w:pos="1701"/>
                <w:tab w:val="clear" w:pos="2268"/>
                <w:tab w:val="clear" w:pos="2835"/>
              </w:tabs>
              <w:spacing w:before="30" w:after="30"/>
              <w:rPr>
                <w:i/>
                <w:iCs/>
                <w:sz w:val="18"/>
                <w:szCs w:val="18"/>
              </w:rPr>
            </w:pPr>
            <w:r w:rsidRPr="001314CA">
              <w:rPr>
                <w:i/>
                <w:iCs/>
                <w:sz w:val="18"/>
                <w:szCs w:val="18"/>
              </w:rPr>
              <w:t>Recouvrement des coûts – fiches de notification des réseaux à satellite</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4598DE27" w14:textId="77777777" w:rsidR="00D215BD" w:rsidRPr="001314CA" w:rsidRDefault="00D215BD" w:rsidP="00D215BD">
            <w:pPr>
              <w:pStyle w:val="Tabletext"/>
              <w:jc w:val="right"/>
              <w:rPr>
                <w:sz w:val="18"/>
                <w:szCs w:val="18"/>
              </w:rPr>
            </w:pPr>
            <w:r w:rsidRPr="001314CA">
              <w:rPr>
                <w:sz w:val="18"/>
                <w:szCs w:val="18"/>
                <w:lang w:eastAsia="en-GB"/>
              </w:rPr>
              <w:t>15 500</w:t>
            </w:r>
          </w:p>
        </w:tc>
        <w:tc>
          <w:tcPr>
            <w:tcW w:w="1276" w:type="dxa"/>
            <w:tcBorders>
              <w:top w:val="nil"/>
              <w:left w:val="nil"/>
              <w:bottom w:val="nil"/>
              <w:right w:val="single" w:sz="4" w:space="0" w:color="auto"/>
            </w:tcBorders>
            <w:shd w:val="clear" w:color="auto" w:fill="auto"/>
            <w:vAlign w:val="bottom"/>
          </w:tcPr>
          <w:p w14:paraId="148F571C"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5A0D97F3" w14:textId="77777777" w:rsidR="00D215BD" w:rsidRPr="001314CA" w:rsidRDefault="00D215BD" w:rsidP="00D215BD">
            <w:pPr>
              <w:pStyle w:val="Tabletext"/>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568B29C1" w14:textId="77777777" w:rsidR="00D215BD" w:rsidRPr="001314CA" w:rsidRDefault="00D215BD" w:rsidP="00D215BD">
            <w:pPr>
              <w:pStyle w:val="Tabletext"/>
              <w:jc w:val="right"/>
              <w:rPr>
                <w:sz w:val="18"/>
                <w:szCs w:val="18"/>
              </w:rPr>
            </w:pPr>
            <w:r w:rsidRPr="001314CA">
              <w:rPr>
                <w:sz w:val="18"/>
                <w:szCs w:val="18"/>
                <w:lang w:eastAsia="en-GB"/>
              </w:rPr>
              <w:t>15 500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33CDC135" w14:textId="77777777" w:rsidR="00D215BD" w:rsidRPr="001314CA" w:rsidRDefault="00D215BD" w:rsidP="00D215BD">
            <w:pPr>
              <w:pStyle w:val="Tabletext"/>
              <w:jc w:val="right"/>
              <w:rPr>
                <w:sz w:val="18"/>
                <w:szCs w:val="18"/>
              </w:rPr>
            </w:pPr>
            <w:r w:rsidRPr="001314CA">
              <w:rPr>
                <w:sz w:val="18"/>
                <w:szCs w:val="18"/>
                <w:lang w:eastAsia="en-GB"/>
              </w:rPr>
              <w:t>13 631</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779DDE6" w14:textId="77777777" w:rsidR="00D215BD" w:rsidRPr="001314CA" w:rsidRDefault="00D215BD" w:rsidP="00D215BD">
            <w:pPr>
              <w:pStyle w:val="Tabletext"/>
              <w:jc w:val="right"/>
              <w:rPr>
                <w:sz w:val="18"/>
                <w:szCs w:val="18"/>
              </w:rPr>
            </w:pPr>
            <w:r w:rsidRPr="001314CA">
              <w:rPr>
                <w:sz w:val="18"/>
                <w:szCs w:val="18"/>
                <w:lang w:eastAsia="en-GB"/>
              </w:rPr>
              <w:t>–1 869</w:t>
            </w:r>
          </w:p>
        </w:tc>
      </w:tr>
      <w:tr w:rsidR="00D215BD" w:rsidRPr="001314CA" w14:paraId="52D5A196" w14:textId="77777777" w:rsidTr="00D215BD">
        <w:trPr>
          <w:jc w:val="center"/>
        </w:trPr>
        <w:tc>
          <w:tcPr>
            <w:tcW w:w="3681" w:type="dxa"/>
            <w:tcBorders>
              <w:top w:val="nil"/>
              <w:left w:val="single" w:sz="4" w:space="0" w:color="auto"/>
              <w:bottom w:val="single" w:sz="4" w:space="0" w:color="auto"/>
              <w:right w:val="single" w:sz="4" w:space="0" w:color="auto"/>
            </w:tcBorders>
            <w:tcMar>
              <w:left w:w="57" w:type="dxa"/>
              <w:right w:w="57" w:type="dxa"/>
            </w:tcMar>
            <w:vAlign w:val="bottom"/>
          </w:tcPr>
          <w:p w14:paraId="31653EBD" w14:textId="77777777" w:rsidR="00D215BD" w:rsidRPr="001314CA" w:rsidRDefault="00D215BD" w:rsidP="00D215BD">
            <w:pPr>
              <w:tabs>
                <w:tab w:val="clear" w:pos="567"/>
                <w:tab w:val="clear" w:pos="1134"/>
                <w:tab w:val="clear" w:pos="1701"/>
                <w:tab w:val="clear" w:pos="2268"/>
                <w:tab w:val="clear" w:pos="2835"/>
              </w:tabs>
              <w:spacing w:before="30" w:after="30"/>
              <w:rPr>
                <w:i/>
                <w:iCs/>
                <w:sz w:val="18"/>
                <w:szCs w:val="18"/>
              </w:rPr>
            </w:pPr>
            <w:r w:rsidRPr="001314CA">
              <w:rPr>
                <w:i/>
                <w:iCs/>
                <w:sz w:val="18"/>
                <w:szCs w:val="18"/>
              </w:rPr>
              <w:t>Recouvrement des coûts – autres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1424A83D"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vAlign w:val="bottom"/>
          </w:tcPr>
          <w:p w14:paraId="5D56DBE3" w14:textId="77777777" w:rsidR="00D215BD" w:rsidRPr="001314CA" w:rsidRDefault="00D215BD" w:rsidP="00D215BD">
            <w:pPr>
              <w:pStyle w:val="Tabletext"/>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683E885A" w14:textId="77777777" w:rsidR="00D215BD" w:rsidRPr="001314CA" w:rsidRDefault="00D215BD" w:rsidP="00D215BD">
            <w:pPr>
              <w:pStyle w:val="Tabletext"/>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4201CC52" w14:textId="77777777" w:rsidR="00D215BD" w:rsidRPr="001314CA" w:rsidRDefault="00D215BD" w:rsidP="00D215BD">
            <w:pPr>
              <w:pStyle w:val="Tabletext"/>
              <w:jc w:val="right"/>
              <w:rPr>
                <w:sz w:val="18"/>
                <w:szCs w:val="18"/>
              </w:rPr>
            </w:pPr>
            <w:r w:rsidRPr="001314CA">
              <w:rPr>
                <w:sz w:val="18"/>
                <w:szCs w:val="18"/>
                <w:lang w:eastAsia="en-GB"/>
              </w:rPr>
              <w:t xml:space="preserve">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A0847A5" w14:textId="77777777" w:rsidR="00D215BD" w:rsidRPr="001314CA" w:rsidRDefault="00D215BD" w:rsidP="00D215BD">
            <w:pPr>
              <w:pStyle w:val="Tabletext"/>
              <w:jc w:val="right"/>
              <w:rPr>
                <w:sz w:val="18"/>
                <w:szCs w:val="18"/>
              </w:rPr>
            </w:pPr>
            <w:r w:rsidRPr="001314CA">
              <w:rPr>
                <w:sz w:val="18"/>
                <w:szCs w:val="18"/>
                <w:lang w:eastAsia="en-GB"/>
              </w:rPr>
              <w:t>34</w:t>
            </w:r>
          </w:p>
        </w:tc>
        <w:tc>
          <w:tcPr>
            <w:tcW w:w="1248" w:type="dxa"/>
            <w:tcBorders>
              <w:top w:val="nil"/>
              <w:left w:val="nil"/>
              <w:bottom w:val="nil"/>
              <w:right w:val="single" w:sz="4" w:space="0" w:color="auto"/>
            </w:tcBorders>
            <w:shd w:val="clear" w:color="auto" w:fill="auto"/>
            <w:tcMar>
              <w:left w:w="57" w:type="dxa"/>
              <w:right w:w="57" w:type="dxa"/>
            </w:tcMar>
            <w:vAlign w:val="bottom"/>
          </w:tcPr>
          <w:p w14:paraId="0AB16753" w14:textId="77777777" w:rsidR="00D215BD" w:rsidRPr="001314CA" w:rsidRDefault="00D215BD" w:rsidP="00D215BD">
            <w:pPr>
              <w:pStyle w:val="Tabletext"/>
              <w:jc w:val="right"/>
              <w:rPr>
                <w:sz w:val="18"/>
                <w:szCs w:val="18"/>
              </w:rPr>
            </w:pPr>
            <w:r w:rsidRPr="001314CA">
              <w:rPr>
                <w:sz w:val="18"/>
                <w:szCs w:val="18"/>
                <w:lang w:eastAsia="en-GB"/>
              </w:rPr>
              <w:t xml:space="preserve"> 34</w:t>
            </w:r>
          </w:p>
        </w:tc>
      </w:tr>
      <w:tr w:rsidR="00D215BD" w:rsidRPr="001314CA" w14:paraId="4DBFD46B" w14:textId="77777777" w:rsidTr="00D215BD">
        <w:trPr>
          <w:jc w:val="center"/>
        </w:trPr>
        <w:tc>
          <w:tcPr>
            <w:tcW w:w="36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A4C770" w14:textId="77777777" w:rsidR="00D215BD" w:rsidRPr="001314CA" w:rsidRDefault="00D215BD" w:rsidP="00D215BD">
            <w:pPr>
              <w:tabs>
                <w:tab w:val="clear" w:pos="567"/>
                <w:tab w:val="clear" w:pos="1134"/>
                <w:tab w:val="clear" w:pos="1701"/>
                <w:tab w:val="clear" w:pos="2268"/>
                <w:tab w:val="clear" w:pos="2835"/>
              </w:tabs>
              <w:spacing w:before="30" w:after="30"/>
              <w:rPr>
                <w:b/>
                <w:bCs/>
                <w:sz w:val="18"/>
                <w:szCs w:val="18"/>
              </w:rPr>
            </w:pPr>
            <w:r w:rsidRPr="001314CA">
              <w:rPr>
                <w:b/>
                <w:bCs/>
                <w:sz w:val="18"/>
                <w:szCs w:val="18"/>
              </w:rPr>
              <w:t>Recouvrement des coûts</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14840CA0" w14:textId="77777777" w:rsidR="00D215BD" w:rsidRPr="001314CA" w:rsidRDefault="00D215BD" w:rsidP="00D215BD">
            <w:pPr>
              <w:pStyle w:val="Tabletext"/>
              <w:jc w:val="right"/>
              <w:rPr>
                <w:b/>
                <w:sz w:val="18"/>
                <w:szCs w:val="18"/>
              </w:rPr>
            </w:pPr>
            <w:r w:rsidRPr="001314CA">
              <w:rPr>
                <w:b/>
                <w:bCs/>
                <w:sz w:val="18"/>
                <w:szCs w:val="18"/>
                <w:lang w:eastAsia="en-GB"/>
              </w:rPr>
              <w:t>37 875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E5100C" w14:textId="77777777" w:rsidR="00D215BD" w:rsidRPr="001314CA" w:rsidRDefault="00D215BD" w:rsidP="00D215BD">
            <w:pPr>
              <w:pStyle w:val="Tabletext"/>
              <w:jc w:val="right"/>
              <w:rPr>
                <w:b/>
                <w:sz w:val="18"/>
                <w:szCs w:val="18"/>
              </w:rPr>
            </w:pPr>
            <w:r w:rsidRPr="001314CA">
              <w:rPr>
                <w:b/>
                <w:bCs/>
                <w:sz w:val="18"/>
                <w:szCs w:val="18"/>
                <w:lang w:eastAsia="en-GB"/>
              </w:rPr>
              <w:t> </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76A55F7E" w14:textId="77777777" w:rsidR="00D215BD" w:rsidRPr="001314CA" w:rsidRDefault="00D215BD" w:rsidP="00D215BD">
            <w:pPr>
              <w:pStyle w:val="Tabletext"/>
              <w:jc w:val="right"/>
              <w:rPr>
                <w:b/>
                <w:sz w:val="18"/>
                <w:szCs w:val="18"/>
              </w:rPr>
            </w:pPr>
            <w:r w:rsidRPr="001314CA">
              <w:rPr>
                <w:b/>
                <w:bCs/>
                <w:sz w:val="18"/>
                <w:szCs w:val="18"/>
                <w:lang w:eastAsia="en-GB"/>
              </w:rPr>
              <w:t> </w:t>
            </w:r>
          </w:p>
        </w:tc>
        <w:tc>
          <w:tcPr>
            <w:tcW w:w="1107"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414D5B63" w14:textId="77777777" w:rsidR="00D215BD" w:rsidRPr="001314CA" w:rsidRDefault="00D215BD" w:rsidP="00D215BD">
            <w:pPr>
              <w:pStyle w:val="Tabletext"/>
              <w:jc w:val="right"/>
              <w:rPr>
                <w:b/>
                <w:sz w:val="18"/>
                <w:szCs w:val="18"/>
              </w:rPr>
            </w:pPr>
            <w:r w:rsidRPr="001314CA">
              <w:rPr>
                <w:b/>
                <w:bCs/>
                <w:sz w:val="18"/>
                <w:szCs w:val="18"/>
                <w:lang w:eastAsia="en-GB"/>
              </w:rPr>
              <w:t>37 875</w:t>
            </w:r>
          </w:p>
        </w:tc>
        <w:tc>
          <w:tcPr>
            <w:tcW w:w="1392"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4FB7AD1F" w14:textId="77777777" w:rsidR="00D215BD" w:rsidRPr="001314CA" w:rsidRDefault="00D215BD" w:rsidP="00D215BD">
            <w:pPr>
              <w:pStyle w:val="Tabletext"/>
              <w:jc w:val="right"/>
              <w:rPr>
                <w:b/>
                <w:sz w:val="18"/>
                <w:szCs w:val="18"/>
              </w:rPr>
            </w:pPr>
            <w:r w:rsidRPr="001314CA">
              <w:rPr>
                <w:b/>
                <w:bCs/>
                <w:sz w:val="18"/>
                <w:szCs w:val="18"/>
                <w:lang w:eastAsia="en-GB"/>
              </w:rPr>
              <w:t>31 271</w:t>
            </w:r>
          </w:p>
        </w:tc>
        <w:tc>
          <w:tcPr>
            <w:tcW w:w="1248"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54795507" w14:textId="77777777" w:rsidR="00D215BD" w:rsidRPr="001314CA" w:rsidRDefault="00D215BD" w:rsidP="00D215BD">
            <w:pPr>
              <w:pStyle w:val="Tabletext"/>
              <w:jc w:val="right"/>
              <w:rPr>
                <w:b/>
                <w:sz w:val="18"/>
                <w:szCs w:val="18"/>
              </w:rPr>
            </w:pPr>
            <w:r w:rsidRPr="001314CA">
              <w:rPr>
                <w:b/>
                <w:bCs/>
                <w:sz w:val="18"/>
                <w:szCs w:val="18"/>
                <w:lang w:eastAsia="en-GB"/>
              </w:rPr>
              <w:t>–6 604</w:t>
            </w:r>
          </w:p>
        </w:tc>
      </w:tr>
      <w:tr w:rsidR="00D215BD" w:rsidRPr="001314CA" w14:paraId="62180A07" w14:textId="77777777" w:rsidTr="00D215BD">
        <w:trPr>
          <w:jc w:val="center"/>
        </w:trPr>
        <w:tc>
          <w:tcPr>
            <w:tcW w:w="36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44F5C5" w14:textId="77777777" w:rsidR="00D215BD" w:rsidRPr="001314CA" w:rsidRDefault="00D215BD" w:rsidP="00D215BD">
            <w:pPr>
              <w:tabs>
                <w:tab w:val="clear" w:pos="567"/>
                <w:tab w:val="clear" w:pos="1134"/>
                <w:tab w:val="clear" w:pos="1701"/>
                <w:tab w:val="clear" w:pos="2268"/>
                <w:tab w:val="clear" w:pos="2835"/>
              </w:tabs>
              <w:spacing w:before="30" w:after="30"/>
              <w:rPr>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17956BCC" w14:textId="77777777" w:rsidR="00D215BD" w:rsidRPr="001314CA" w:rsidRDefault="00D215BD" w:rsidP="00D215BD">
            <w:pPr>
              <w:pStyle w:val="Tabletext"/>
              <w:jc w:val="right"/>
              <w:rPr>
                <w:b/>
                <w:sz w:val="18"/>
                <w:szCs w:val="18"/>
              </w:rPr>
            </w:pPr>
            <w:r w:rsidRPr="001314CA">
              <w:rPr>
                <w:sz w:val="18"/>
                <w:szCs w:val="18"/>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533CB" w14:textId="77777777" w:rsidR="00D215BD" w:rsidRPr="001314CA" w:rsidRDefault="00D215BD" w:rsidP="00D215BD">
            <w:pPr>
              <w:pStyle w:val="Tabletext"/>
              <w:jc w:val="right"/>
              <w:rPr>
                <w:b/>
                <w:sz w:val="18"/>
                <w:szCs w:val="18"/>
              </w:rPr>
            </w:pPr>
            <w:r w:rsidRPr="001314CA">
              <w:rPr>
                <w:sz w:val="18"/>
                <w:szCs w:val="18"/>
                <w:lang w:eastAsia="en-GB"/>
              </w:rPr>
              <w:t> </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11B0E5EA" w14:textId="77777777" w:rsidR="00D215BD" w:rsidRPr="001314CA" w:rsidRDefault="00D215BD" w:rsidP="00D215BD">
            <w:pPr>
              <w:pStyle w:val="Tabletext"/>
              <w:jc w:val="right"/>
              <w:rPr>
                <w:b/>
                <w:sz w:val="18"/>
                <w:szCs w:val="18"/>
              </w:rPr>
            </w:pPr>
            <w:r w:rsidRPr="001314CA">
              <w:rPr>
                <w:sz w:val="18"/>
                <w:szCs w:val="18"/>
                <w:lang w:eastAsia="en-GB"/>
              </w:rPr>
              <w:t> </w:t>
            </w:r>
          </w:p>
        </w:tc>
        <w:tc>
          <w:tcPr>
            <w:tcW w:w="1107"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4A70FC74" w14:textId="77777777" w:rsidR="00D215BD" w:rsidRPr="001314CA" w:rsidRDefault="00D215BD" w:rsidP="00D215BD">
            <w:pPr>
              <w:pStyle w:val="Tabletext"/>
              <w:jc w:val="right"/>
              <w:rPr>
                <w:b/>
                <w:sz w:val="18"/>
                <w:szCs w:val="18"/>
              </w:rPr>
            </w:pPr>
            <w:r w:rsidRPr="001314CA">
              <w:rPr>
                <w:sz w:val="18"/>
                <w:szCs w:val="18"/>
                <w:lang w:eastAsia="en-GB"/>
              </w:rPr>
              <w:t> </w:t>
            </w:r>
          </w:p>
        </w:tc>
        <w:tc>
          <w:tcPr>
            <w:tcW w:w="1392"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6B91BBB0" w14:textId="77777777" w:rsidR="00D215BD" w:rsidRPr="001314CA" w:rsidRDefault="00D215BD" w:rsidP="00D215BD">
            <w:pPr>
              <w:pStyle w:val="Tabletext"/>
              <w:jc w:val="right"/>
              <w:rPr>
                <w:b/>
                <w:sz w:val="18"/>
                <w:szCs w:val="18"/>
              </w:rPr>
            </w:pPr>
            <w:r w:rsidRPr="001314CA">
              <w:rPr>
                <w:sz w:val="18"/>
                <w:szCs w:val="18"/>
                <w:lang w:eastAsia="en-GB"/>
              </w:rPr>
              <w:t> </w:t>
            </w:r>
          </w:p>
        </w:tc>
        <w:tc>
          <w:tcPr>
            <w:tcW w:w="1248"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50DA4F10" w14:textId="77777777" w:rsidR="00D215BD" w:rsidRPr="001314CA" w:rsidRDefault="00D215BD" w:rsidP="00D215BD">
            <w:pPr>
              <w:pStyle w:val="Tabletext"/>
              <w:jc w:val="right"/>
              <w:rPr>
                <w:b/>
                <w:sz w:val="18"/>
                <w:szCs w:val="18"/>
              </w:rPr>
            </w:pPr>
            <w:r w:rsidRPr="001314CA">
              <w:rPr>
                <w:sz w:val="18"/>
                <w:szCs w:val="18"/>
                <w:lang w:eastAsia="en-GB"/>
              </w:rPr>
              <w:t> </w:t>
            </w:r>
          </w:p>
        </w:tc>
      </w:tr>
      <w:tr w:rsidR="00D215BD" w:rsidRPr="001314CA" w14:paraId="1A1E5860" w14:textId="77777777" w:rsidTr="00D215BD">
        <w:trPr>
          <w:jc w:val="center"/>
        </w:trPr>
        <w:tc>
          <w:tcPr>
            <w:tcW w:w="3681" w:type="dxa"/>
            <w:tcBorders>
              <w:top w:val="single" w:sz="4" w:space="0" w:color="auto"/>
              <w:left w:val="single" w:sz="4" w:space="0" w:color="auto"/>
              <w:bottom w:val="nil"/>
              <w:right w:val="single" w:sz="4" w:space="0" w:color="auto"/>
            </w:tcBorders>
            <w:tcMar>
              <w:left w:w="57" w:type="dxa"/>
              <w:right w:w="57" w:type="dxa"/>
            </w:tcMar>
            <w:vAlign w:val="bottom"/>
          </w:tcPr>
          <w:p w14:paraId="4F4599FD" w14:textId="77777777" w:rsidR="00D215BD" w:rsidRPr="001314CA" w:rsidRDefault="00D215BD" w:rsidP="00D215BD">
            <w:pPr>
              <w:tabs>
                <w:tab w:val="clear" w:pos="567"/>
                <w:tab w:val="clear" w:pos="1134"/>
                <w:tab w:val="clear" w:pos="1701"/>
                <w:tab w:val="clear" w:pos="2268"/>
                <w:tab w:val="clear" w:pos="2835"/>
              </w:tabs>
              <w:spacing w:before="30" w:after="30"/>
              <w:rPr>
                <w:b/>
                <w:bCs/>
                <w:sz w:val="18"/>
                <w:szCs w:val="18"/>
              </w:rPr>
            </w:pPr>
            <w:r w:rsidRPr="001314CA">
              <w:rPr>
                <w:b/>
                <w:bCs/>
                <w:sz w:val="18"/>
                <w:szCs w:val="18"/>
              </w:rPr>
              <w:t>Intérêts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C316AE2" w14:textId="77777777" w:rsidR="00D215BD" w:rsidRPr="001314CA" w:rsidRDefault="00D215BD" w:rsidP="00D215BD">
            <w:pPr>
              <w:pStyle w:val="Tabletext"/>
              <w:jc w:val="right"/>
              <w:rPr>
                <w:sz w:val="18"/>
                <w:szCs w:val="18"/>
              </w:rPr>
            </w:pPr>
            <w:r w:rsidRPr="001314CA">
              <w:rPr>
                <w:b/>
                <w:bCs/>
                <w:sz w:val="18"/>
                <w:szCs w:val="18"/>
                <w:lang w:eastAsia="en-GB"/>
              </w:rPr>
              <w:t>300</w:t>
            </w:r>
          </w:p>
        </w:tc>
        <w:tc>
          <w:tcPr>
            <w:tcW w:w="1276" w:type="dxa"/>
            <w:tcBorders>
              <w:top w:val="nil"/>
              <w:left w:val="nil"/>
              <w:bottom w:val="nil"/>
              <w:right w:val="single" w:sz="4" w:space="0" w:color="auto"/>
            </w:tcBorders>
            <w:shd w:val="clear" w:color="auto" w:fill="auto"/>
            <w:vAlign w:val="bottom"/>
          </w:tcPr>
          <w:p w14:paraId="4EDE3020" w14:textId="77777777" w:rsidR="00D215BD" w:rsidRPr="001314CA" w:rsidRDefault="00D215BD" w:rsidP="00D215BD">
            <w:pPr>
              <w:pStyle w:val="Tabletext"/>
              <w:jc w:val="right"/>
              <w:rPr>
                <w:sz w:val="18"/>
                <w:szCs w:val="18"/>
              </w:rPr>
            </w:pPr>
            <w:r w:rsidRPr="001314CA">
              <w:rPr>
                <w:b/>
                <w:bCs/>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3CE9152A" w14:textId="77777777" w:rsidR="00D215BD" w:rsidRPr="001314CA" w:rsidRDefault="00D215BD" w:rsidP="00D215BD">
            <w:pPr>
              <w:pStyle w:val="Tabletext"/>
              <w:jc w:val="right"/>
              <w:rPr>
                <w:sz w:val="18"/>
                <w:szCs w:val="18"/>
              </w:rPr>
            </w:pPr>
            <w:r w:rsidRPr="001314CA">
              <w:rPr>
                <w:b/>
                <w:bCs/>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54DDC86B" w14:textId="77777777" w:rsidR="00D215BD" w:rsidRPr="001314CA" w:rsidRDefault="00D215BD" w:rsidP="00D215BD">
            <w:pPr>
              <w:pStyle w:val="Tabletext"/>
              <w:jc w:val="right"/>
              <w:rPr>
                <w:sz w:val="18"/>
                <w:szCs w:val="18"/>
              </w:rPr>
            </w:pPr>
            <w:r w:rsidRPr="001314CA">
              <w:rPr>
                <w:b/>
                <w:bCs/>
                <w:sz w:val="18"/>
                <w:szCs w:val="18"/>
                <w:lang w:eastAsia="en-GB"/>
              </w:rPr>
              <w:t>300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B5E9ABE" w14:textId="77777777" w:rsidR="00D215BD" w:rsidRPr="001314CA" w:rsidRDefault="00D215BD" w:rsidP="00D215BD">
            <w:pPr>
              <w:pStyle w:val="Tabletext"/>
              <w:jc w:val="right"/>
              <w:rPr>
                <w:sz w:val="18"/>
                <w:szCs w:val="18"/>
              </w:rPr>
            </w:pPr>
            <w:r w:rsidRPr="001314CA">
              <w:rPr>
                <w:b/>
                <w:bCs/>
                <w:sz w:val="18"/>
                <w:szCs w:val="18"/>
                <w:lang w:eastAsia="en-GB"/>
              </w:rPr>
              <w:t>125</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7635E1D" w14:textId="77777777" w:rsidR="00D215BD" w:rsidRPr="001314CA" w:rsidRDefault="00D215BD" w:rsidP="00D215BD">
            <w:pPr>
              <w:pStyle w:val="Tabletext"/>
              <w:jc w:val="right"/>
              <w:rPr>
                <w:sz w:val="18"/>
                <w:szCs w:val="18"/>
              </w:rPr>
            </w:pPr>
            <w:r w:rsidRPr="001314CA">
              <w:rPr>
                <w:b/>
                <w:bCs/>
                <w:sz w:val="18"/>
                <w:szCs w:val="18"/>
                <w:lang w:eastAsia="en-GB"/>
              </w:rPr>
              <w:t>–175</w:t>
            </w:r>
          </w:p>
        </w:tc>
      </w:tr>
      <w:tr w:rsidR="00D215BD" w:rsidRPr="001314CA" w14:paraId="4F1158CC" w14:textId="77777777" w:rsidTr="00D215BD">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19312C8D" w14:textId="77777777" w:rsidR="00D215BD" w:rsidRPr="001314CA" w:rsidRDefault="00D215BD" w:rsidP="00D215BD">
            <w:pPr>
              <w:tabs>
                <w:tab w:val="clear" w:pos="567"/>
                <w:tab w:val="clear" w:pos="1134"/>
                <w:tab w:val="clear" w:pos="1701"/>
                <w:tab w:val="clear" w:pos="2268"/>
                <w:tab w:val="clear" w:pos="2835"/>
              </w:tabs>
              <w:spacing w:before="30" w:after="30"/>
              <w:rPr>
                <w:b/>
                <w:bCs/>
                <w:sz w:val="18"/>
                <w:szCs w:val="18"/>
              </w:rPr>
            </w:pPr>
            <w:r w:rsidRPr="001314CA">
              <w:rPr>
                <w:b/>
                <w:bCs/>
                <w:sz w:val="18"/>
                <w:szCs w:val="18"/>
              </w:rPr>
              <w:t>Autres produits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0E86D041" w14:textId="77777777" w:rsidR="00D215BD" w:rsidRPr="001314CA" w:rsidRDefault="00D215BD" w:rsidP="00D215BD">
            <w:pPr>
              <w:pStyle w:val="Tabletext"/>
              <w:jc w:val="right"/>
              <w:rPr>
                <w:sz w:val="18"/>
                <w:szCs w:val="18"/>
              </w:rPr>
            </w:pPr>
            <w:r w:rsidRPr="001314CA">
              <w:rPr>
                <w:b/>
                <w:bCs/>
                <w:sz w:val="18"/>
                <w:szCs w:val="18"/>
                <w:lang w:eastAsia="en-GB"/>
              </w:rPr>
              <w:t>100</w:t>
            </w:r>
          </w:p>
        </w:tc>
        <w:tc>
          <w:tcPr>
            <w:tcW w:w="1276" w:type="dxa"/>
            <w:tcBorders>
              <w:top w:val="nil"/>
              <w:left w:val="nil"/>
              <w:bottom w:val="nil"/>
              <w:right w:val="single" w:sz="4" w:space="0" w:color="auto"/>
            </w:tcBorders>
            <w:shd w:val="clear" w:color="auto" w:fill="auto"/>
            <w:vAlign w:val="bottom"/>
          </w:tcPr>
          <w:p w14:paraId="64EFF579" w14:textId="77777777" w:rsidR="00D215BD" w:rsidRPr="001314CA" w:rsidRDefault="00D215BD" w:rsidP="00D215BD">
            <w:pPr>
              <w:pStyle w:val="Tabletext"/>
              <w:jc w:val="right"/>
              <w:rPr>
                <w:sz w:val="18"/>
                <w:szCs w:val="18"/>
              </w:rPr>
            </w:pPr>
            <w:r w:rsidRPr="001314CA">
              <w:rPr>
                <w:b/>
                <w:bCs/>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64A91512" w14:textId="77777777" w:rsidR="00D215BD" w:rsidRPr="001314CA" w:rsidRDefault="00D215BD" w:rsidP="00D215BD">
            <w:pPr>
              <w:pStyle w:val="Tabletext"/>
              <w:jc w:val="right"/>
              <w:rPr>
                <w:sz w:val="18"/>
                <w:szCs w:val="18"/>
              </w:rPr>
            </w:pPr>
            <w:r w:rsidRPr="001314CA">
              <w:rPr>
                <w:b/>
                <w:bCs/>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459A45E1" w14:textId="77777777" w:rsidR="00D215BD" w:rsidRPr="001314CA" w:rsidRDefault="00D215BD" w:rsidP="00D215BD">
            <w:pPr>
              <w:pStyle w:val="Tabletext"/>
              <w:jc w:val="right"/>
              <w:rPr>
                <w:sz w:val="18"/>
                <w:szCs w:val="18"/>
              </w:rPr>
            </w:pPr>
            <w:r w:rsidRPr="001314CA">
              <w:rPr>
                <w:b/>
                <w:bCs/>
                <w:sz w:val="18"/>
                <w:szCs w:val="18"/>
                <w:lang w:eastAsia="en-GB"/>
              </w:rPr>
              <w:t>100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4A77A99F" w14:textId="77777777" w:rsidR="00D215BD" w:rsidRPr="001314CA" w:rsidRDefault="00D215BD" w:rsidP="00D215BD">
            <w:pPr>
              <w:pStyle w:val="Tabletext"/>
              <w:jc w:val="right"/>
              <w:rPr>
                <w:sz w:val="18"/>
                <w:szCs w:val="18"/>
              </w:rPr>
            </w:pPr>
            <w:r w:rsidRPr="001314CA">
              <w:rPr>
                <w:b/>
                <w:bCs/>
                <w:sz w:val="18"/>
                <w:szCs w:val="18"/>
                <w:lang w:eastAsia="en-GB"/>
              </w:rPr>
              <w:t>–1 834</w:t>
            </w:r>
          </w:p>
        </w:tc>
        <w:tc>
          <w:tcPr>
            <w:tcW w:w="1248" w:type="dxa"/>
            <w:tcBorders>
              <w:top w:val="nil"/>
              <w:left w:val="nil"/>
              <w:bottom w:val="nil"/>
              <w:right w:val="single" w:sz="4" w:space="0" w:color="auto"/>
            </w:tcBorders>
            <w:shd w:val="clear" w:color="auto" w:fill="auto"/>
            <w:tcMar>
              <w:left w:w="57" w:type="dxa"/>
              <w:right w:w="57" w:type="dxa"/>
            </w:tcMar>
            <w:vAlign w:val="bottom"/>
          </w:tcPr>
          <w:p w14:paraId="6BB30D47" w14:textId="77777777" w:rsidR="00D215BD" w:rsidRPr="001314CA" w:rsidRDefault="00D215BD" w:rsidP="00D215BD">
            <w:pPr>
              <w:pStyle w:val="Tabletext"/>
              <w:jc w:val="right"/>
              <w:rPr>
                <w:sz w:val="18"/>
                <w:szCs w:val="18"/>
              </w:rPr>
            </w:pPr>
            <w:r w:rsidRPr="001314CA">
              <w:rPr>
                <w:b/>
                <w:bCs/>
                <w:sz w:val="18"/>
                <w:szCs w:val="18"/>
                <w:lang w:eastAsia="en-GB"/>
              </w:rPr>
              <w:t>–1 934</w:t>
            </w:r>
          </w:p>
        </w:tc>
      </w:tr>
      <w:tr w:rsidR="00D215BD" w:rsidRPr="001314CA" w14:paraId="01758849" w14:textId="77777777" w:rsidTr="00D215BD">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67887BA0" w14:textId="77777777" w:rsidR="00D215BD" w:rsidRPr="001314CA" w:rsidRDefault="00D215BD" w:rsidP="00D215BD">
            <w:pPr>
              <w:tabs>
                <w:tab w:val="clear" w:pos="567"/>
                <w:tab w:val="clear" w:pos="1134"/>
                <w:tab w:val="clear" w:pos="1701"/>
                <w:tab w:val="clear" w:pos="2268"/>
                <w:tab w:val="clear" w:pos="2835"/>
              </w:tabs>
              <w:spacing w:before="30" w:after="30"/>
              <w:rPr>
                <w:b/>
                <w:bCs/>
                <w:sz w:val="18"/>
                <w:szCs w:val="18"/>
              </w:rPr>
            </w:pPr>
            <w:r w:rsidRPr="001314CA">
              <w:rPr>
                <w:b/>
                <w:bCs/>
                <w:sz w:val="18"/>
                <w:szCs w:val="18"/>
              </w:rPr>
              <w:t>Activités reportées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79FB8A14" w14:textId="77777777" w:rsidR="00D215BD" w:rsidRPr="001314CA" w:rsidRDefault="00D215BD" w:rsidP="00D215BD">
            <w:pPr>
              <w:pStyle w:val="Tabletext"/>
              <w:jc w:val="right"/>
              <w:rPr>
                <w:sz w:val="18"/>
                <w:szCs w:val="18"/>
              </w:rPr>
            </w:pPr>
            <w:r w:rsidRPr="001314CA">
              <w:rPr>
                <w:b/>
                <w:bCs/>
                <w:sz w:val="18"/>
                <w:szCs w:val="18"/>
                <w:lang w:eastAsia="en-GB"/>
              </w:rPr>
              <w:t> </w:t>
            </w:r>
          </w:p>
        </w:tc>
        <w:tc>
          <w:tcPr>
            <w:tcW w:w="1276" w:type="dxa"/>
            <w:tcBorders>
              <w:top w:val="nil"/>
              <w:left w:val="nil"/>
              <w:bottom w:val="nil"/>
              <w:right w:val="single" w:sz="4" w:space="0" w:color="auto"/>
            </w:tcBorders>
            <w:shd w:val="clear" w:color="auto" w:fill="auto"/>
            <w:vAlign w:val="bottom"/>
          </w:tcPr>
          <w:p w14:paraId="41ED231E" w14:textId="77777777" w:rsidR="00D215BD" w:rsidRPr="001314CA" w:rsidRDefault="00D215BD" w:rsidP="00D215BD">
            <w:pPr>
              <w:pStyle w:val="Tabletext"/>
              <w:jc w:val="right"/>
              <w:rPr>
                <w:sz w:val="18"/>
                <w:szCs w:val="18"/>
              </w:rPr>
            </w:pPr>
            <w:r w:rsidRPr="001314CA">
              <w:rPr>
                <w:b/>
                <w:bCs/>
                <w:sz w:val="18"/>
                <w:szCs w:val="18"/>
                <w:lang w:eastAsia="en-GB"/>
              </w:rPr>
              <w:t>–1 867</w:t>
            </w:r>
          </w:p>
        </w:tc>
        <w:tc>
          <w:tcPr>
            <w:tcW w:w="1276" w:type="dxa"/>
            <w:tcBorders>
              <w:top w:val="nil"/>
              <w:left w:val="nil"/>
              <w:bottom w:val="nil"/>
              <w:right w:val="single" w:sz="4" w:space="0" w:color="auto"/>
            </w:tcBorders>
            <w:shd w:val="clear" w:color="auto" w:fill="auto"/>
            <w:tcMar>
              <w:left w:w="57" w:type="dxa"/>
              <w:right w:w="57" w:type="dxa"/>
            </w:tcMar>
            <w:vAlign w:val="bottom"/>
          </w:tcPr>
          <w:p w14:paraId="4169077F" w14:textId="77777777" w:rsidR="00D215BD" w:rsidRPr="001314CA" w:rsidRDefault="00D215BD" w:rsidP="00D215BD">
            <w:pPr>
              <w:pStyle w:val="Tabletext"/>
              <w:jc w:val="right"/>
              <w:rPr>
                <w:sz w:val="18"/>
                <w:szCs w:val="18"/>
              </w:rPr>
            </w:pPr>
            <w:r w:rsidRPr="001314CA">
              <w:rPr>
                <w:b/>
                <w:bCs/>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7551658E" w14:textId="77777777" w:rsidR="00D215BD" w:rsidRPr="001314CA" w:rsidRDefault="00D215BD" w:rsidP="00D215BD">
            <w:pPr>
              <w:pStyle w:val="Tabletext"/>
              <w:jc w:val="right"/>
              <w:rPr>
                <w:sz w:val="18"/>
                <w:szCs w:val="18"/>
              </w:rPr>
            </w:pPr>
            <w:r w:rsidRPr="001314CA">
              <w:rPr>
                <w:b/>
                <w:bCs/>
                <w:sz w:val="18"/>
                <w:szCs w:val="18"/>
                <w:lang w:eastAsia="en-GB"/>
              </w:rPr>
              <w:t>–1 867</w:t>
            </w:r>
          </w:p>
        </w:tc>
        <w:tc>
          <w:tcPr>
            <w:tcW w:w="1392" w:type="dxa"/>
            <w:tcBorders>
              <w:top w:val="nil"/>
              <w:left w:val="nil"/>
              <w:bottom w:val="nil"/>
              <w:right w:val="single" w:sz="4" w:space="0" w:color="auto"/>
            </w:tcBorders>
            <w:shd w:val="clear" w:color="auto" w:fill="auto"/>
            <w:tcMar>
              <w:left w:w="57" w:type="dxa"/>
              <w:right w:w="57" w:type="dxa"/>
            </w:tcMar>
            <w:vAlign w:val="bottom"/>
          </w:tcPr>
          <w:p w14:paraId="4EB1F14B" w14:textId="77777777" w:rsidR="00D215BD" w:rsidRPr="001314CA" w:rsidRDefault="00D215BD" w:rsidP="00D215BD">
            <w:pPr>
              <w:pStyle w:val="Tabletext"/>
              <w:jc w:val="right"/>
              <w:rPr>
                <w:sz w:val="18"/>
                <w:szCs w:val="18"/>
              </w:rPr>
            </w:pPr>
            <w:r w:rsidRPr="001314CA">
              <w:rPr>
                <w:b/>
                <w:bCs/>
                <w:sz w:val="18"/>
                <w:szCs w:val="18"/>
                <w:lang w:eastAsia="en-GB"/>
              </w:rPr>
              <w:t>–1 867</w:t>
            </w:r>
          </w:p>
        </w:tc>
        <w:tc>
          <w:tcPr>
            <w:tcW w:w="1248" w:type="dxa"/>
            <w:tcBorders>
              <w:top w:val="nil"/>
              <w:left w:val="nil"/>
              <w:bottom w:val="nil"/>
              <w:right w:val="single" w:sz="4" w:space="0" w:color="auto"/>
            </w:tcBorders>
            <w:shd w:val="clear" w:color="auto" w:fill="auto"/>
            <w:tcMar>
              <w:left w:w="57" w:type="dxa"/>
              <w:right w:w="57" w:type="dxa"/>
            </w:tcMar>
            <w:vAlign w:val="bottom"/>
          </w:tcPr>
          <w:p w14:paraId="1B82BC11" w14:textId="77777777" w:rsidR="00D215BD" w:rsidRPr="001314CA" w:rsidRDefault="00D215BD" w:rsidP="00D215BD">
            <w:pPr>
              <w:pStyle w:val="Tabletext"/>
              <w:jc w:val="right"/>
              <w:rPr>
                <w:sz w:val="18"/>
                <w:szCs w:val="18"/>
              </w:rPr>
            </w:pPr>
            <w:r w:rsidRPr="001314CA">
              <w:rPr>
                <w:b/>
                <w:bCs/>
                <w:sz w:val="18"/>
                <w:szCs w:val="18"/>
                <w:lang w:eastAsia="en-GB"/>
              </w:rPr>
              <w:t> </w:t>
            </w:r>
          </w:p>
        </w:tc>
      </w:tr>
      <w:tr w:rsidR="00D215BD" w:rsidRPr="001314CA" w14:paraId="7128A55F" w14:textId="77777777" w:rsidTr="00D215BD">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14F9FD2A" w14:textId="77777777" w:rsidR="00D215BD" w:rsidRPr="001314CA" w:rsidRDefault="00D215BD" w:rsidP="00D215BD">
            <w:pPr>
              <w:tabs>
                <w:tab w:val="clear" w:pos="567"/>
                <w:tab w:val="clear" w:pos="1134"/>
                <w:tab w:val="clear" w:pos="1701"/>
                <w:tab w:val="clear" w:pos="2268"/>
                <w:tab w:val="clear" w:pos="2835"/>
              </w:tabs>
              <w:spacing w:before="30" w:after="30"/>
              <w:rPr>
                <w:b/>
                <w:bCs/>
                <w:sz w:val="18"/>
                <w:szCs w:val="18"/>
              </w:rPr>
            </w:pPr>
            <w:r w:rsidRPr="001314CA">
              <w:rPr>
                <w:b/>
                <w:bCs/>
                <w:sz w:val="18"/>
                <w:szCs w:val="18"/>
              </w:rPr>
              <w:t>Prélèvement sur le Fonds de réserve</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5571E0EA" w14:textId="77777777" w:rsidR="00D215BD" w:rsidRPr="001314CA" w:rsidRDefault="00D215BD" w:rsidP="00D215BD">
            <w:pPr>
              <w:pStyle w:val="Tabletext"/>
              <w:jc w:val="right"/>
              <w:rPr>
                <w:sz w:val="18"/>
                <w:szCs w:val="18"/>
              </w:rPr>
            </w:pPr>
            <w:r w:rsidRPr="001314CA">
              <w:rPr>
                <w:b/>
                <w:bCs/>
                <w:sz w:val="18"/>
                <w:szCs w:val="18"/>
                <w:lang w:eastAsia="en-GB"/>
              </w:rPr>
              <w:t>–</w:t>
            </w:r>
          </w:p>
        </w:tc>
        <w:tc>
          <w:tcPr>
            <w:tcW w:w="1276" w:type="dxa"/>
            <w:tcBorders>
              <w:top w:val="nil"/>
              <w:left w:val="nil"/>
              <w:bottom w:val="nil"/>
              <w:right w:val="single" w:sz="4" w:space="0" w:color="auto"/>
            </w:tcBorders>
            <w:shd w:val="clear" w:color="auto" w:fill="auto"/>
            <w:vAlign w:val="bottom"/>
          </w:tcPr>
          <w:p w14:paraId="0CCE603E" w14:textId="77777777" w:rsidR="00D215BD" w:rsidRPr="001314CA" w:rsidRDefault="00D215BD" w:rsidP="00D215BD">
            <w:pPr>
              <w:pStyle w:val="Tabletext"/>
              <w:jc w:val="right"/>
              <w:rPr>
                <w:sz w:val="18"/>
                <w:szCs w:val="18"/>
              </w:rPr>
            </w:pPr>
            <w:r w:rsidRPr="001314CA">
              <w:rPr>
                <w:b/>
                <w:bCs/>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644EE39E" w14:textId="77777777" w:rsidR="00D215BD" w:rsidRPr="001314CA" w:rsidRDefault="00D215BD" w:rsidP="00D215BD">
            <w:pPr>
              <w:pStyle w:val="Tabletext"/>
              <w:jc w:val="right"/>
              <w:rPr>
                <w:sz w:val="18"/>
                <w:szCs w:val="18"/>
              </w:rPr>
            </w:pPr>
            <w:r w:rsidRPr="001314CA">
              <w:rPr>
                <w:b/>
                <w:bCs/>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417F0DF9" w14:textId="77777777" w:rsidR="00D215BD" w:rsidRPr="001314CA" w:rsidRDefault="00D215BD" w:rsidP="00D215BD">
            <w:pPr>
              <w:pStyle w:val="Tabletext"/>
              <w:jc w:val="right"/>
              <w:rPr>
                <w:sz w:val="18"/>
                <w:szCs w:val="18"/>
              </w:rPr>
            </w:pPr>
            <w:r w:rsidRPr="001314CA">
              <w:rPr>
                <w:b/>
                <w:bCs/>
                <w:sz w:val="18"/>
                <w:szCs w:val="18"/>
                <w:lang w:eastAsia="en-GB"/>
              </w:rPr>
              <w:t>–</w:t>
            </w:r>
          </w:p>
        </w:tc>
        <w:tc>
          <w:tcPr>
            <w:tcW w:w="1392" w:type="dxa"/>
            <w:tcBorders>
              <w:top w:val="nil"/>
              <w:left w:val="nil"/>
              <w:bottom w:val="nil"/>
              <w:right w:val="single" w:sz="4" w:space="0" w:color="auto"/>
            </w:tcBorders>
            <w:shd w:val="clear" w:color="auto" w:fill="auto"/>
            <w:tcMar>
              <w:left w:w="57" w:type="dxa"/>
              <w:right w:w="57" w:type="dxa"/>
            </w:tcMar>
            <w:vAlign w:val="bottom"/>
          </w:tcPr>
          <w:p w14:paraId="4247E0AC" w14:textId="77777777" w:rsidR="00D215BD" w:rsidRPr="001314CA" w:rsidRDefault="00D215BD" w:rsidP="00D215BD">
            <w:pPr>
              <w:pStyle w:val="Tabletext"/>
              <w:jc w:val="right"/>
              <w:rPr>
                <w:sz w:val="18"/>
                <w:szCs w:val="18"/>
              </w:rPr>
            </w:pPr>
            <w:r w:rsidRPr="001314CA">
              <w:rPr>
                <w:b/>
                <w:bCs/>
                <w:sz w:val="18"/>
                <w:szCs w:val="18"/>
                <w:lang w:eastAsia="en-GB"/>
              </w:rPr>
              <w:t>–</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A8310CE" w14:textId="77777777" w:rsidR="00D215BD" w:rsidRPr="001314CA" w:rsidRDefault="00D215BD" w:rsidP="00D215BD">
            <w:pPr>
              <w:pStyle w:val="Tabletext"/>
              <w:jc w:val="right"/>
              <w:rPr>
                <w:sz w:val="18"/>
                <w:szCs w:val="18"/>
              </w:rPr>
            </w:pPr>
            <w:r w:rsidRPr="001314CA">
              <w:rPr>
                <w:b/>
                <w:bCs/>
                <w:sz w:val="18"/>
                <w:szCs w:val="18"/>
                <w:lang w:eastAsia="en-GB"/>
              </w:rPr>
              <w:t>–</w:t>
            </w:r>
          </w:p>
        </w:tc>
      </w:tr>
      <w:tr w:rsidR="00D215BD" w:rsidRPr="001314CA" w14:paraId="31103DF3" w14:textId="77777777" w:rsidTr="00D215BD">
        <w:trPr>
          <w:jc w:val="center"/>
        </w:trPr>
        <w:tc>
          <w:tcPr>
            <w:tcW w:w="3681" w:type="dxa"/>
            <w:tcBorders>
              <w:top w:val="nil"/>
              <w:left w:val="single" w:sz="4" w:space="0" w:color="auto"/>
              <w:bottom w:val="single" w:sz="4" w:space="0" w:color="auto"/>
              <w:right w:val="single" w:sz="4" w:space="0" w:color="auto"/>
            </w:tcBorders>
            <w:tcMar>
              <w:left w:w="57" w:type="dxa"/>
              <w:right w:w="57" w:type="dxa"/>
            </w:tcMar>
            <w:vAlign w:val="bottom"/>
          </w:tcPr>
          <w:p w14:paraId="3F5D14FD" w14:textId="77777777" w:rsidR="00D215BD" w:rsidRPr="001314CA" w:rsidRDefault="00D215BD" w:rsidP="00D215BD">
            <w:pPr>
              <w:tabs>
                <w:tab w:val="clear" w:pos="567"/>
                <w:tab w:val="clear" w:pos="1134"/>
                <w:tab w:val="clear" w:pos="1701"/>
                <w:tab w:val="clear" w:pos="2268"/>
                <w:tab w:val="clear" w:pos="2835"/>
              </w:tabs>
              <w:spacing w:before="30" w:after="30"/>
              <w:rPr>
                <w:b/>
                <w:bCs/>
                <w:sz w:val="18"/>
                <w:szCs w:val="18"/>
              </w:rPr>
            </w:pPr>
            <w:r w:rsidRPr="001314CA">
              <w:rPr>
                <w:b/>
                <w:bCs/>
                <w:sz w:val="18"/>
                <w:szCs w:val="18"/>
              </w:rPr>
              <w:t>Économies réalisées au cours des années précédentes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70FB01E7" w14:textId="77777777" w:rsidR="00D215BD" w:rsidRPr="001314CA" w:rsidRDefault="00D215BD" w:rsidP="00D215BD">
            <w:pPr>
              <w:pStyle w:val="Tabletext"/>
              <w:jc w:val="right"/>
              <w:rPr>
                <w:sz w:val="18"/>
                <w:szCs w:val="18"/>
              </w:rPr>
            </w:pPr>
            <w:r w:rsidRPr="001314CA">
              <w:rPr>
                <w:b/>
                <w:bCs/>
                <w:sz w:val="18"/>
                <w:szCs w:val="18"/>
                <w:lang w:eastAsia="en-GB"/>
              </w:rPr>
              <w:t>3 651</w:t>
            </w:r>
          </w:p>
        </w:tc>
        <w:tc>
          <w:tcPr>
            <w:tcW w:w="1276" w:type="dxa"/>
            <w:tcBorders>
              <w:top w:val="nil"/>
              <w:left w:val="nil"/>
              <w:bottom w:val="nil"/>
              <w:right w:val="single" w:sz="4" w:space="0" w:color="auto"/>
            </w:tcBorders>
            <w:shd w:val="clear" w:color="auto" w:fill="auto"/>
            <w:vAlign w:val="bottom"/>
          </w:tcPr>
          <w:p w14:paraId="6884EC82" w14:textId="77777777" w:rsidR="00D215BD" w:rsidRPr="001314CA" w:rsidRDefault="00D215BD" w:rsidP="00D215BD">
            <w:pPr>
              <w:pStyle w:val="Tabletext"/>
              <w:jc w:val="right"/>
              <w:rPr>
                <w:sz w:val="18"/>
                <w:szCs w:val="18"/>
              </w:rPr>
            </w:pPr>
            <w:r w:rsidRPr="001314CA">
              <w:rPr>
                <w:b/>
                <w:bCs/>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4E721F27" w14:textId="77777777" w:rsidR="00D215BD" w:rsidRPr="001314CA" w:rsidRDefault="00D215BD" w:rsidP="00D215BD">
            <w:pPr>
              <w:pStyle w:val="Tabletext"/>
              <w:jc w:val="right"/>
              <w:rPr>
                <w:sz w:val="18"/>
                <w:szCs w:val="18"/>
              </w:rPr>
            </w:pPr>
            <w:r w:rsidRPr="001314CA">
              <w:rPr>
                <w:b/>
                <w:bCs/>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0B21F28A" w14:textId="77777777" w:rsidR="00D215BD" w:rsidRPr="001314CA" w:rsidRDefault="00D215BD" w:rsidP="00D215BD">
            <w:pPr>
              <w:pStyle w:val="Tabletext"/>
              <w:jc w:val="right"/>
              <w:rPr>
                <w:sz w:val="18"/>
                <w:szCs w:val="18"/>
              </w:rPr>
            </w:pPr>
            <w:r w:rsidRPr="001314CA">
              <w:rPr>
                <w:b/>
                <w:bCs/>
                <w:sz w:val="18"/>
                <w:szCs w:val="18"/>
                <w:lang w:eastAsia="en-GB"/>
              </w:rPr>
              <w:t>3 651</w:t>
            </w:r>
          </w:p>
        </w:tc>
        <w:tc>
          <w:tcPr>
            <w:tcW w:w="1392" w:type="dxa"/>
            <w:tcBorders>
              <w:top w:val="nil"/>
              <w:left w:val="nil"/>
              <w:bottom w:val="nil"/>
              <w:right w:val="single" w:sz="4" w:space="0" w:color="auto"/>
            </w:tcBorders>
            <w:shd w:val="clear" w:color="auto" w:fill="auto"/>
            <w:tcMar>
              <w:left w:w="57" w:type="dxa"/>
              <w:right w:w="57" w:type="dxa"/>
            </w:tcMar>
            <w:vAlign w:val="bottom"/>
          </w:tcPr>
          <w:p w14:paraId="306243AB" w14:textId="77777777" w:rsidR="00D215BD" w:rsidRPr="001314CA" w:rsidRDefault="00D215BD" w:rsidP="00D215BD">
            <w:pPr>
              <w:pStyle w:val="Tabletext"/>
              <w:jc w:val="right"/>
              <w:rPr>
                <w:sz w:val="18"/>
                <w:szCs w:val="18"/>
              </w:rPr>
            </w:pPr>
            <w:r w:rsidRPr="001314CA">
              <w:rPr>
                <w:b/>
                <w:bCs/>
                <w:sz w:val="18"/>
                <w:szCs w:val="18"/>
                <w:lang w:eastAsia="en-GB"/>
              </w:rPr>
              <w:t>–</w:t>
            </w:r>
          </w:p>
        </w:tc>
        <w:tc>
          <w:tcPr>
            <w:tcW w:w="1248" w:type="dxa"/>
            <w:tcBorders>
              <w:top w:val="nil"/>
              <w:left w:val="nil"/>
              <w:bottom w:val="nil"/>
              <w:right w:val="single" w:sz="4" w:space="0" w:color="auto"/>
            </w:tcBorders>
            <w:shd w:val="clear" w:color="auto" w:fill="auto"/>
            <w:tcMar>
              <w:left w:w="57" w:type="dxa"/>
              <w:right w:w="57" w:type="dxa"/>
            </w:tcMar>
            <w:vAlign w:val="bottom"/>
          </w:tcPr>
          <w:p w14:paraId="44CABF0D" w14:textId="77777777" w:rsidR="00D215BD" w:rsidRPr="001314CA" w:rsidRDefault="00D215BD" w:rsidP="00D215BD">
            <w:pPr>
              <w:pStyle w:val="Tabletext"/>
              <w:jc w:val="right"/>
              <w:rPr>
                <w:sz w:val="18"/>
                <w:szCs w:val="18"/>
              </w:rPr>
            </w:pPr>
            <w:r w:rsidRPr="001314CA">
              <w:rPr>
                <w:b/>
                <w:bCs/>
                <w:sz w:val="18"/>
                <w:szCs w:val="18"/>
                <w:lang w:eastAsia="en-GB"/>
              </w:rPr>
              <w:t>–3 651</w:t>
            </w:r>
          </w:p>
        </w:tc>
      </w:tr>
      <w:tr w:rsidR="00D215BD" w:rsidRPr="001314CA" w14:paraId="3016872C" w14:textId="77777777" w:rsidTr="00D215BD">
        <w:trPr>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57256027" w14:textId="77777777" w:rsidR="00D215BD" w:rsidRPr="001314CA" w:rsidRDefault="00D215BD" w:rsidP="00D215BD">
            <w:pPr>
              <w:tabs>
                <w:tab w:val="clear" w:pos="567"/>
                <w:tab w:val="clear" w:pos="1134"/>
                <w:tab w:val="clear" w:pos="1701"/>
                <w:tab w:val="clear" w:pos="2268"/>
                <w:tab w:val="clear" w:pos="2835"/>
              </w:tabs>
              <w:spacing w:before="30" w:after="30"/>
              <w:rPr>
                <w:rFonts w:asciiTheme="minorHAnsi" w:hAnsiTheme="minorHAnsi"/>
                <w:sz w:val="18"/>
                <w:szCs w:val="18"/>
              </w:rPr>
            </w:pPr>
            <w:r w:rsidRPr="001314CA">
              <w:rPr>
                <w:rFonts w:asciiTheme="minorHAnsi" w:hAnsiTheme="minorHAnsi"/>
                <w:b/>
                <w:bCs/>
                <w:sz w:val="18"/>
                <w:szCs w:val="18"/>
              </w:rPr>
              <w:t>Total produits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4FE69FF1" w14:textId="77777777" w:rsidR="00D215BD" w:rsidRPr="001314CA" w:rsidRDefault="00D215BD" w:rsidP="00D215BD">
            <w:pPr>
              <w:pStyle w:val="Tabletext"/>
              <w:jc w:val="right"/>
              <w:rPr>
                <w:b/>
                <w:bCs/>
                <w:sz w:val="18"/>
                <w:szCs w:val="18"/>
              </w:rPr>
            </w:pPr>
            <w:r w:rsidRPr="001314CA">
              <w:rPr>
                <w:b/>
                <w:bCs/>
                <w:sz w:val="18"/>
                <w:szCs w:val="18"/>
                <w:lang w:eastAsia="en-GB"/>
              </w:rPr>
              <w:t>167 478</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D92D058" w14:textId="77777777" w:rsidR="00D215BD" w:rsidRPr="001314CA" w:rsidRDefault="00D215BD" w:rsidP="00D215BD">
            <w:pPr>
              <w:pStyle w:val="Tabletext"/>
              <w:jc w:val="right"/>
              <w:rPr>
                <w:b/>
                <w:bCs/>
                <w:sz w:val="18"/>
                <w:szCs w:val="18"/>
              </w:rPr>
            </w:pPr>
            <w:r w:rsidRPr="001314CA">
              <w:rPr>
                <w:b/>
                <w:bCs/>
                <w:sz w:val="18"/>
                <w:szCs w:val="18"/>
                <w:lang w:eastAsia="en-GB"/>
              </w:rPr>
              <w: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644F9A1B" w14:textId="77777777" w:rsidR="00D215BD" w:rsidRPr="001314CA" w:rsidRDefault="00D215BD" w:rsidP="00D215BD">
            <w:pPr>
              <w:pStyle w:val="Tabletext"/>
              <w:jc w:val="right"/>
              <w:rPr>
                <w:b/>
                <w:bCs/>
                <w:sz w:val="18"/>
                <w:szCs w:val="18"/>
              </w:rPr>
            </w:pPr>
            <w:r w:rsidRPr="001314CA">
              <w:rPr>
                <w:b/>
                <w:bCs/>
                <w:sz w:val="18"/>
                <w:szCs w:val="18"/>
                <w:lang w:eastAsia="en-GB"/>
              </w:rPr>
              <w:t>–</w:t>
            </w:r>
          </w:p>
        </w:tc>
        <w:tc>
          <w:tcPr>
            <w:tcW w:w="1107"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5CD7EB5A" w14:textId="77777777" w:rsidR="00D215BD" w:rsidRPr="001314CA" w:rsidRDefault="00D215BD" w:rsidP="00D215BD">
            <w:pPr>
              <w:pStyle w:val="Tabletext"/>
              <w:jc w:val="right"/>
              <w:rPr>
                <w:b/>
                <w:bCs/>
                <w:sz w:val="18"/>
                <w:szCs w:val="18"/>
              </w:rPr>
            </w:pPr>
            <w:r w:rsidRPr="001314CA">
              <w:rPr>
                <w:b/>
                <w:bCs/>
                <w:sz w:val="18"/>
                <w:szCs w:val="18"/>
                <w:lang w:eastAsia="en-GB"/>
              </w:rPr>
              <w:t>165 611</w:t>
            </w:r>
          </w:p>
        </w:tc>
        <w:tc>
          <w:tcPr>
            <w:tcW w:w="139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626CCAF6" w14:textId="77777777" w:rsidR="00D215BD" w:rsidRPr="001314CA" w:rsidRDefault="00D215BD" w:rsidP="00D215BD">
            <w:pPr>
              <w:pStyle w:val="Tabletext"/>
              <w:jc w:val="right"/>
              <w:rPr>
                <w:b/>
                <w:bCs/>
                <w:sz w:val="18"/>
                <w:szCs w:val="18"/>
              </w:rPr>
            </w:pPr>
            <w:r w:rsidRPr="001314CA">
              <w:rPr>
                <w:b/>
                <w:bCs/>
                <w:sz w:val="18"/>
                <w:szCs w:val="18"/>
                <w:lang w:eastAsia="en-GB"/>
              </w:rPr>
              <w:t>153 435</w:t>
            </w:r>
          </w:p>
        </w:tc>
        <w:tc>
          <w:tcPr>
            <w:tcW w:w="12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02B33575" w14:textId="77777777" w:rsidR="00D215BD" w:rsidRPr="001314CA" w:rsidRDefault="00D215BD" w:rsidP="00D215BD">
            <w:pPr>
              <w:pStyle w:val="Tabletext"/>
              <w:jc w:val="right"/>
              <w:rPr>
                <w:b/>
                <w:bCs/>
                <w:sz w:val="18"/>
                <w:szCs w:val="18"/>
              </w:rPr>
            </w:pPr>
            <w:r w:rsidRPr="001314CA">
              <w:rPr>
                <w:b/>
                <w:bCs/>
                <w:sz w:val="18"/>
                <w:szCs w:val="18"/>
                <w:lang w:eastAsia="en-GB"/>
              </w:rPr>
              <w:t xml:space="preserve">–12 176 </w:t>
            </w:r>
          </w:p>
        </w:tc>
      </w:tr>
      <w:tr w:rsidR="00D215BD" w:rsidRPr="001314CA" w14:paraId="5A26F1EF" w14:textId="77777777" w:rsidTr="00D215BD">
        <w:trPr>
          <w:jc w:val="center"/>
        </w:trPr>
        <w:tc>
          <w:tcPr>
            <w:tcW w:w="3681" w:type="dxa"/>
            <w:vMerge w:val="restart"/>
            <w:tcMar>
              <w:left w:w="57" w:type="dxa"/>
              <w:right w:w="57" w:type="dxa"/>
            </w:tcMar>
            <w:vAlign w:val="center"/>
          </w:tcPr>
          <w:p w14:paraId="6B4C6944"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lastRenderedPageBreak/>
              <w:t>Charges</w:t>
            </w:r>
          </w:p>
        </w:tc>
        <w:tc>
          <w:tcPr>
            <w:tcW w:w="4793" w:type="dxa"/>
            <w:gridSpan w:val="4"/>
          </w:tcPr>
          <w:p w14:paraId="6D6F5514"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Montants budgétés</w:t>
            </w:r>
          </w:p>
        </w:tc>
        <w:tc>
          <w:tcPr>
            <w:tcW w:w="1392" w:type="dxa"/>
            <w:vMerge w:val="restart"/>
            <w:tcMar>
              <w:left w:w="57" w:type="dxa"/>
              <w:right w:w="57" w:type="dxa"/>
            </w:tcMar>
            <w:vAlign w:val="center"/>
          </w:tcPr>
          <w:p w14:paraId="631FD860"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Montants</w:t>
            </w:r>
          </w:p>
          <w:p w14:paraId="57BCBB4E"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effectifs</w:t>
            </w:r>
          </w:p>
        </w:tc>
        <w:tc>
          <w:tcPr>
            <w:tcW w:w="1248" w:type="dxa"/>
            <w:vMerge w:val="restart"/>
            <w:tcMar>
              <w:left w:w="57" w:type="dxa"/>
              <w:right w:w="57" w:type="dxa"/>
            </w:tcMar>
            <w:vAlign w:val="center"/>
          </w:tcPr>
          <w:p w14:paraId="7E6A96C5"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Différence entre budget final et montants effectifs</w:t>
            </w:r>
          </w:p>
        </w:tc>
      </w:tr>
      <w:tr w:rsidR="00D215BD" w:rsidRPr="001314CA" w14:paraId="79A6D076" w14:textId="77777777" w:rsidTr="00D215BD">
        <w:trPr>
          <w:trHeight w:val="746"/>
          <w:jc w:val="center"/>
        </w:trPr>
        <w:tc>
          <w:tcPr>
            <w:tcW w:w="3681" w:type="dxa"/>
            <w:vMerge/>
            <w:tcMar>
              <w:left w:w="57" w:type="dxa"/>
              <w:right w:w="57" w:type="dxa"/>
            </w:tcMar>
          </w:tcPr>
          <w:p w14:paraId="231C4D18"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p>
        </w:tc>
        <w:tc>
          <w:tcPr>
            <w:tcW w:w="1134" w:type="dxa"/>
            <w:tcMar>
              <w:left w:w="57" w:type="dxa"/>
              <w:right w:w="57" w:type="dxa"/>
            </w:tcMar>
            <w:vAlign w:val="center"/>
          </w:tcPr>
          <w:p w14:paraId="0FC66172"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Budget</w:t>
            </w:r>
          </w:p>
          <w:p w14:paraId="48951014"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initial</w:t>
            </w:r>
          </w:p>
        </w:tc>
        <w:tc>
          <w:tcPr>
            <w:tcW w:w="1276" w:type="dxa"/>
            <w:vAlign w:val="center"/>
          </w:tcPr>
          <w:p w14:paraId="1996BBEA"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p>
        </w:tc>
        <w:tc>
          <w:tcPr>
            <w:tcW w:w="1276" w:type="dxa"/>
            <w:tcMar>
              <w:left w:w="57" w:type="dxa"/>
              <w:right w:w="57" w:type="dxa"/>
            </w:tcMar>
            <w:vAlign w:val="center"/>
          </w:tcPr>
          <w:p w14:paraId="46B3C205"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Transferts budgétaires</w:t>
            </w:r>
          </w:p>
        </w:tc>
        <w:tc>
          <w:tcPr>
            <w:tcW w:w="1107" w:type="dxa"/>
            <w:tcMar>
              <w:left w:w="57" w:type="dxa"/>
              <w:right w:w="57" w:type="dxa"/>
            </w:tcMar>
            <w:vAlign w:val="center"/>
          </w:tcPr>
          <w:p w14:paraId="792714A0"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Budget final</w:t>
            </w:r>
          </w:p>
        </w:tc>
        <w:tc>
          <w:tcPr>
            <w:tcW w:w="1392" w:type="dxa"/>
            <w:vMerge/>
            <w:tcMar>
              <w:left w:w="57" w:type="dxa"/>
              <w:right w:w="57" w:type="dxa"/>
            </w:tcMar>
          </w:tcPr>
          <w:p w14:paraId="6B4F4405"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p>
        </w:tc>
        <w:tc>
          <w:tcPr>
            <w:tcW w:w="1248" w:type="dxa"/>
            <w:vMerge/>
            <w:tcMar>
              <w:left w:w="57" w:type="dxa"/>
              <w:right w:w="57" w:type="dxa"/>
            </w:tcMar>
          </w:tcPr>
          <w:p w14:paraId="5AF1646F"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p>
        </w:tc>
      </w:tr>
      <w:tr w:rsidR="00D215BD" w:rsidRPr="001314CA" w14:paraId="7BCE3656" w14:textId="77777777" w:rsidTr="00D215BD">
        <w:trPr>
          <w:jc w:val="center"/>
        </w:trPr>
        <w:tc>
          <w:tcPr>
            <w:tcW w:w="3681" w:type="dxa"/>
            <w:vMerge/>
            <w:tcBorders>
              <w:bottom w:val="single" w:sz="4" w:space="0" w:color="auto"/>
            </w:tcBorders>
            <w:tcMar>
              <w:left w:w="57" w:type="dxa"/>
              <w:right w:w="57" w:type="dxa"/>
            </w:tcMar>
          </w:tcPr>
          <w:p w14:paraId="0F982C6A"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p>
        </w:tc>
        <w:tc>
          <w:tcPr>
            <w:tcW w:w="1134" w:type="dxa"/>
            <w:tcBorders>
              <w:bottom w:val="single" w:sz="4" w:space="0" w:color="auto"/>
            </w:tcBorders>
            <w:tcMar>
              <w:left w:w="57" w:type="dxa"/>
              <w:right w:w="57" w:type="dxa"/>
            </w:tcMar>
            <w:vAlign w:val="center"/>
          </w:tcPr>
          <w:p w14:paraId="5BECA790"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31.12.2020</w:t>
            </w:r>
          </w:p>
        </w:tc>
        <w:tc>
          <w:tcPr>
            <w:tcW w:w="1276" w:type="dxa"/>
            <w:tcBorders>
              <w:bottom w:val="single" w:sz="4" w:space="0" w:color="auto"/>
            </w:tcBorders>
          </w:tcPr>
          <w:p w14:paraId="20E51CFA"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p>
        </w:tc>
        <w:tc>
          <w:tcPr>
            <w:tcW w:w="1276" w:type="dxa"/>
            <w:tcBorders>
              <w:bottom w:val="single" w:sz="4" w:space="0" w:color="auto"/>
            </w:tcBorders>
            <w:tcMar>
              <w:left w:w="57" w:type="dxa"/>
              <w:right w:w="57" w:type="dxa"/>
            </w:tcMar>
            <w:vAlign w:val="center"/>
          </w:tcPr>
          <w:p w14:paraId="1095583F"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31.12.2020</w:t>
            </w:r>
          </w:p>
        </w:tc>
        <w:tc>
          <w:tcPr>
            <w:tcW w:w="1107" w:type="dxa"/>
            <w:tcBorders>
              <w:bottom w:val="single" w:sz="4" w:space="0" w:color="auto"/>
            </w:tcBorders>
            <w:tcMar>
              <w:left w:w="57" w:type="dxa"/>
              <w:right w:w="57" w:type="dxa"/>
            </w:tcMar>
            <w:vAlign w:val="center"/>
          </w:tcPr>
          <w:p w14:paraId="4C672FEB"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31.12.2020</w:t>
            </w:r>
          </w:p>
        </w:tc>
        <w:tc>
          <w:tcPr>
            <w:tcW w:w="1392" w:type="dxa"/>
            <w:tcBorders>
              <w:bottom w:val="single" w:sz="4" w:space="0" w:color="auto"/>
            </w:tcBorders>
            <w:tcMar>
              <w:left w:w="57" w:type="dxa"/>
              <w:right w:w="57" w:type="dxa"/>
            </w:tcMar>
            <w:vAlign w:val="center"/>
          </w:tcPr>
          <w:p w14:paraId="2DA62BB4"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31.12.2020</w:t>
            </w:r>
          </w:p>
        </w:tc>
        <w:tc>
          <w:tcPr>
            <w:tcW w:w="1248" w:type="dxa"/>
            <w:tcBorders>
              <w:bottom w:val="single" w:sz="4" w:space="0" w:color="auto"/>
            </w:tcBorders>
            <w:tcMar>
              <w:left w:w="57" w:type="dxa"/>
              <w:right w:w="57" w:type="dxa"/>
            </w:tcMar>
            <w:vAlign w:val="center"/>
          </w:tcPr>
          <w:p w14:paraId="5AE7705B" w14:textId="77777777" w:rsidR="00D215BD" w:rsidRPr="001314CA" w:rsidRDefault="00D215BD" w:rsidP="00D215BD">
            <w:pPr>
              <w:keepNext/>
              <w:keepLines/>
              <w:tabs>
                <w:tab w:val="clear" w:pos="567"/>
                <w:tab w:val="clear" w:pos="1134"/>
                <w:tab w:val="clear" w:pos="1701"/>
                <w:tab w:val="clear" w:pos="2268"/>
                <w:tab w:val="clear" w:pos="2835"/>
              </w:tabs>
              <w:spacing w:before="30" w:after="30"/>
              <w:jc w:val="center"/>
              <w:rPr>
                <w:b/>
                <w:sz w:val="18"/>
                <w:szCs w:val="18"/>
              </w:rPr>
            </w:pPr>
            <w:r w:rsidRPr="001314CA">
              <w:rPr>
                <w:b/>
                <w:sz w:val="18"/>
                <w:szCs w:val="18"/>
              </w:rPr>
              <w:t>31.12.2020</w:t>
            </w:r>
          </w:p>
        </w:tc>
      </w:tr>
      <w:tr w:rsidR="00D215BD" w:rsidRPr="001314CA" w14:paraId="34490B8C" w14:textId="77777777" w:rsidTr="00D215BD">
        <w:trPr>
          <w:jc w:val="center"/>
        </w:trPr>
        <w:tc>
          <w:tcPr>
            <w:tcW w:w="3681" w:type="dxa"/>
            <w:tcBorders>
              <w:bottom w:val="nil"/>
            </w:tcBorders>
            <w:tcMar>
              <w:left w:w="57" w:type="dxa"/>
              <w:right w:w="57" w:type="dxa"/>
            </w:tcMar>
          </w:tcPr>
          <w:p w14:paraId="310774EF" w14:textId="77777777" w:rsidR="00D215BD" w:rsidRPr="001314CA" w:rsidRDefault="00D215BD" w:rsidP="00D215BD">
            <w:pPr>
              <w:keepNext/>
              <w:keepLines/>
              <w:tabs>
                <w:tab w:val="clear" w:pos="567"/>
                <w:tab w:val="clear" w:pos="1134"/>
                <w:tab w:val="clear" w:pos="1701"/>
                <w:tab w:val="clear" w:pos="2268"/>
                <w:tab w:val="clear" w:pos="2835"/>
              </w:tabs>
              <w:spacing w:before="30" w:after="30"/>
              <w:rPr>
                <w:i/>
                <w:iCs/>
                <w:sz w:val="18"/>
                <w:szCs w:val="18"/>
                <w:lang w:eastAsia="fr-FR"/>
              </w:rPr>
            </w:pPr>
            <w:r w:rsidRPr="001314CA">
              <w:rPr>
                <w:i/>
                <w:iCs/>
                <w:sz w:val="18"/>
                <w:szCs w:val="18"/>
              </w:rPr>
              <w:t>Secrétariat général</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061DB9B0" w14:textId="77777777" w:rsidR="00D215BD" w:rsidRPr="001314CA" w:rsidRDefault="00D215BD" w:rsidP="00D215BD">
            <w:pPr>
              <w:pStyle w:val="Tabletext"/>
              <w:keepNext/>
              <w:keepLines/>
              <w:jc w:val="right"/>
              <w:rPr>
                <w:sz w:val="18"/>
                <w:szCs w:val="18"/>
              </w:rPr>
            </w:pPr>
            <w:r w:rsidRPr="001314CA">
              <w:rPr>
                <w:sz w:val="18"/>
                <w:szCs w:val="18"/>
                <w:lang w:eastAsia="en-GB"/>
              </w:rPr>
              <w:t>91 920</w:t>
            </w:r>
          </w:p>
        </w:tc>
        <w:tc>
          <w:tcPr>
            <w:tcW w:w="1276" w:type="dxa"/>
            <w:tcBorders>
              <w:top w:val="nil"/>
              <w:left w:val="nil"/>
              <w:bottom w:val="nil"/>
              <w:right w:val="nil"/>
            </w:tcBorders>
            <w:shd w:val="clear" w:color="auto" w:fill="auto"/>
            <w:vAlign w:val="bottom"/>
          </w:tcPr>
          <w:p w14:paraId="3D6945A4" w14:textId="77777777" w:rsidR="00D215BD" w:rsidRPr="001314CA" w:rsidRDefault="00D215BD" w:rsidP="00D215BD">
            <w:pPr>
              <w:pStyle w:val="Tabletext"/>
              <w:keepNext/>
              <w:keepLines/>
              <w:jc w:val="right"/>
              <w:rPr>
                <w:sz w:val="18"/>
                <w:szCs w:val="18"/>
              </w:rPr>
            </w:pPr>
          </w:p>
        </w:tc>
        <w:tc>
          <w:tcPr>
            <w:tcW w:w="1276" w:type="dxa"/>
            <w:tcBorders>
              <w:top w:val="nil"/>
              <w:left w:val="single" w:sz="4" w:space="0" w:color="auto"/>
              <w:bottom w:val="nil"/>
              <w:right w:val="single" w:sz="4" w:space="0" w:color="auto"/>
            </w:tcBorders>
            <w:shd w:val="clear" w:color="auto" w:fill="auto"/>
            <w:tcMar>
              <w:left w:w="57" w:type="dxa"/>
              <w:right w:w="57" w:type="dxa"/>
            </w:tcMar>
            <w:vAlign w:val="bottom"/>
          </w:tcPr>
          <w:p w14:paraId="0AA180F8" w14:textId="77777777" w:rsidR="00D215BD" w:rsidRPr="001314CA" w:rsidRDefault="00D215BD" w:rsidP="00D215BD">
            <w:pPr>
              <w:pStyle w:val="Tabletext"/>
              <w:keepNext/>
              <w:keepLines/>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70DD5C25" w14:textId="77777777" w:rsidR="00D215BD" w:rsidRPr="001314CA" w:rsidRDefault="00D215BD" w:rsidP="00D215BD">
            <w:pPr>
              <w:pStyle w:val="Tabletext"/>
              <w:keepNext/>
              <w:keepLines/>
              <w:jc w:val="right"/>
              <w:rPr>
                <w:sz w:val="18"/>
                <w:szCs w:val="18"/>
              </w:rPr>
            </w:pPr>
            <w:r w:rsidRPr="001314CA">
              <w:rPr>
                <w:sz w:val="18"/>
                <w:szCs w:val="18"/>
                <w:lang w:eastAsia="en-GB"/>
              </w:rPr>
              <w:t>91 920</w:t>
            </w:r>
          </w:p>
        </w:tc>
        <w:tc>
          <w:tcPr>
            <w:tcW w:w="1392" w:type="dxa"/>
            <w:tcBorders>
              <w:top w:val="nil"/>
              <w:left w:val="nil"/>
              <w:bottom w:val="nil"/>
              <w:right w:val="single" w:sz="4" w:space="0" w:color="auto"/>
            </w:tcBorders>
            <w:shd w:val="clear" w:color="auto" w:fill="auto"/>
            <w:tcMar>
              <w:left w:w="57" w:type="dxa"/>
              <w:right w:w="57" w:type="dxa"/>
            </w:tcMar>
            <w:vAlign w:val="bottom"/>
          </w:tcPr>
          <w:p w14:paraId="7724DE2A" w14:textId="77777777" w:rsidR="00D215BD" w:rsidRPr="001314CA" w:rsidRDefault="00D215BD" w:rsidP="00D215BD">
            <w:pPr>
              <w:pStyle w:val="Tabletext"/>
              <w:keepNext/>
              <w:keepLines/>
              <w:jc w:val="right"/>
              <w:rPr>
                <w:sz w:val="18"/>
                <w:szCs w:val="18"/>
              </w:rPr>
            </w:pPr>
            <w:r w:rsidRPr="001314CA">
              <w:rPr>
                <w:sz w:val="18"/>
                <w:szCs w:val="18"/>
                <w:lang w:eastAsia="en-GB"/>
              </w:rPr>
              <w:t>84 764</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C6BF2A8" w14:textId="77777777" w:rsidR="00D215BD" w:rsidRPr="001314CA" w:rsidRDefault="00D215BD" w:rsidP="00D215BD">
            <w:pPr>
              <w:pStyle w:val="Tabletext"/>
              <w:keepNext/>
              <w:keepLines/>
              <w:jc w:val="right"/>
              <w:rPr>
                <w:sz w:val="18"/>
                <w:szCs w:val="18"/>
              </w:rPr>
            </w:pPr>
            <w:r w:rsidRPr="001314CA">
              <w:rPr>
                <w:sz w:val="18"/>
                <w:szCs w:val="18"/>
                <w:lang w:eastAsia="en-GB"/>
              </w:rPr>
              <w:t xml:space="preserve"> 7 156</w:t>
            </w:r>
          </w:p>
        </w:tc>
      </w:tr>
      <w:tr w:rsidR="00D215BD" w:rsidRPr="001314CA" w14:paraId="43433B9B" w14:textId="77777777" w:rsidTr="00D215BD">
        <w:trPr>
          <w:jc w:val="center"/>
        </w:trPr>
        <w:tc>
          <w:tcPr>
            <w:tcW w:w="3681" w:type="dxa"/>
            <w:tcBorders>
              <w:top w:val="nil"/>
              <w:bottom w:val="nil"/>
            </w:tcBorders>
            <w:tcMar>
              <w:left w:w="57" w:type="dxa"/>
              <w:right w:w="57" w:type="dxa"/>
            </w:tcMar>
          </w:tcPr>
          <w:p w14:paraId="714CBEA4" w14:textId="77777777" w:rsidR="00D215BD" w:rsidRPr="001314CA" w:rsidRDefault="00D215BD" w:rsidP="00D215BD">
            <w:pPr>
              <w:keepNext/>
              <w:keepLines/>
              <w:tabs>
                <w:tab w:val="clear" w:pos="567"/>
                <w:tab w:val="clear" w:pos="1134"/>
                <w:tab w:val="clear" w:pos="1701"/>
                <w:tab w:val="clear" w:pos="2268"/>
                <w:tab w:val="clear" w:pos="2835"/>
              </w:tabs>
              <w:spacing w:before="30" w:after="30"/>
              <w:rPr>
                <w:i/>
                <w:iCs/>
                <w:sz w:val="18"/>
                <w:szCs w:val="18"/>
                <w:lang w:eastAsia="fr-FR"/>
              </w:rPr>
            </w:pPr>
            <w:r w:rsidRPr="001314CA">
              <w:rPr>
                <w:i/>
                <w:iCs/>
                <w:sz w:val="18"/>
                <w:szCs w:val="18"/>
              </w:rPr>
              <w:t>Secteur des radiocommunications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283A900B" w14:textId="77777777" w:rsidR="00D215BD" w:rsidRPr="001314CA" w:rsidRDefault="00D215BD" w:rsidP="00D215BD">
            <w:pPr>
              <w:pStyle w:val="Tabletext"/>
              <w:keepNext/>
              <w:keepLines/>
              <w:jc w:val="right"/>
              <w:rPr>
                <w:sz w:val="18"/>
                <w:szCs w:val="18"/>
              </w:rPr>
            </w:pPr>
            <w:r w:rsidRPr="001314CA">
              <w:rPr>
                <w:sz w:val="18"/>
                <w:szCs w:val="18"/>
                <w:lang w:eastAsia="en-GB"/>
              </w:rPr>
              <w:t>29 831</w:t>
            </w:r>
          </w:p>
        </w:tc>
        <w:tc>
          <w:tcPr>
            <w:tcW w:w="1276" w:type="dxa"/>
            <w:tcBorders>
              <w:top w:val="nil"/>
              <w:left w:val="nil"/>
              <w:bottom w:val="nil"/>
              <w:right w:val="single" w:sz="4" w:space="0" w:color="auto"/>
            </w:tcBorders>
            <w:shd w:val="clear" w:color="auto" w:fill="auto"/>
            <w:vAlign w:val="bottom"/>
          </w:tcPr>
          <w:p w14:paraId="69B4B037" w14:textId="77777777" w:rsidR="00D215BD" w:rsidRPr="001314CA" w:rsidRDefault="00D215BD" w:rsidP="00D215BD">
            <w:pPr>
              <w:pStyle w:val="Tabletext"/>
              <w:keepNext/>
              <w:keepLines/>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53D90CFD" w14:textId="77777777" w:rsidR="00D215BD" w:rsidRPr="001314CA" w:rsidRDefault="00D215BD" w:rsidP="00D215BD">
            <w:pPr>
              <w:pStyle w:val="Tabletext"/>
              <w:keepNext/>
              <w:keepLines/>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48D42C0A" w14:textId="77777777" w:rsidR="00D215BD" w:rsidRPr="001314CA" w:rsidRDefault="00D215BD" w:rsidP="00D215BD">
            <w:pPr>
              <w:pStyle w:val="Tabletext"/>
              <w:keepNext/>
              <w:keepLines/>
              <w:jc w:val="right"/>
              <w:rPr>
                <w:sz w:val="18"/>
                <w:szCs w:val="18"/>
              </w:rPr>
            </w:pPr>
            <w:r w:rsidRPr="001314CA">
              <w:rPr>
                <w:sz w:val="18"/>
                <w:szCs w:val="18"/>
                <w:lang w:eastAsia="en-GB"/>
              </w:rPr>
              <w:t>29 831</w:t>
            </w:r>
          </w:p>
        </w:tc>
        <w:tc>
          <w:tcPr>
            <w:tcW w:w="1392" w:type="dxa"/>
            <w:tcBorders>
              <w:top w:val="nil"/>
              <w:left w:val="nil"/>
              <w:bottom w:val="nil"/>
              <w:right w:val="single" w:sz="4" w:space="0" w:color="auto"/>
            </w:tcBorders>
            <w:shd w:val="clear" w:color="auto" w:fill="auto"/>
            <w:tcMar>
              <w:left w:w="57" w:type="dxa"/>
              <w:right w:w="57" w:type="dxa"/>
            </w:tcMar>
            <w:vAlign w:val="bottom"/>
          </w:tcPr>
          <w:p w14:paraId="0EAA4537" w14:textId="77777777" w:rsidR="00D215BD" w:rsidRPr="001314CA" w:rsidRDefault="00D215BD" w:rsidP="00D215BD">
            <w:pPr>
              <w:pStyle w:val="Tabletext"/>
              <w:keepNext/>
              <w:keepLines/>
              <w:jc w:val="right"/>
              <w:rPr>
                <w:sz w:val="18"/>
                <w:szCs w:val="18"/>
              </w:rPr>
            </w:pPr>
            <w:r w:rsidRPr="001314CA">
              <w:rPr>
                <w:sz w:val="18"/>
                <w:szCs w:val="18"/>
                <w:lang w:eastAsia="en-GB"/>
              </w:rPr>
              <w:t xml:space="preserve"> 27 278</w:t>
            </w:r>
          </w:p>
        </w:tc>
        <w:tc>
          <w:tcPr>
            <w:tcW w:w="1248" w:type="dxa"/>
            <w:tcBorders>
              <w:top w:val="nil"/>
              <w:left w:val="nil"/>
              <w:bottom w:val="nil"/>
              <w:right w:val="single" w:sz="4" w:space="0" w:color="auto"/>
            </w:tcBorders>
            <w:shd w:val="clear" w:color="auto" w:fill="auto"/>
            <w:tcMar>
              <w:left w:w="57" w:type="dxa"/>
              <w:right w:w="57" w:type="dxa"/>
            </w:tcMar>
            <w:vAlign w:val="bottom"/>
          </w:tcPr>
          <w:p w14:paraId="352E10B2" w14:textId="77777777" w:rsidR="00D215BD" w:rsidRPr="001314CA" w:rsidRDefault="00D215BD" w:rsidP="00D215BD">
            <w:pPr>
              <w:pStyle w:val="Tabletext"/>
              <w:keepNext/>
              <w:keepLines/>
              <w:jc w:val="right"/>
              <w:rPr>
                <w:sz w:val="18"/>
                <w:szCs w:val="18"/>
              </w:rPr>
            </w:pPr>
            <w:r w:rsidRPr="001314CA">
              <w:rPr>
                <w:sz w:val="18"/>
                <w:szCs w:val="18"/>
                <w:lang w:eastAsia="en-GB"/>
              </w:rPr>
              <w:t>2 553</w:t>
            </w:r>
          </w:p>
        </w:tc>
      </w:tr>
      <w:tr w:rsidR="00D215BD" w:rsidRPr="001314CA" w14:paraId="023A2C07" w14:textId="77777777" w:rsidTr="00D215BD">
        <w:trPr>
          <w:jc w:val="center"/>
        </w:trPr>
        <w:tc>
          <w:tcPr>
            <w:tcW w:w="3681" w:type="dxa"/>
            <w:tcBorders>
              <w:top w:val="nil"/>
              <w:bottom w:val="nil"/>
            </w:tcBorders>
            <w:tcMar>
              <w:left w:w="57" w:type="dxa"/>
              <w:right w:w="57" w:type="dxa"/>
            </w:tcMar>
          </w:tcPr>
          <w:p w14:paraId="055272F8" w14:textId="77777777" w:rsidR="00D215BD" w:rsidRPr="001314CA" w:rsidRDefault="00D215BD" w:rsidP="00D215BD">
            <w:pPr>
              <w:keepNext/>
              <w:keepLines/>
              <w:tabs>
                <w:tab w:val="clear" w:pos="567"/>
                <w:tab w:val="clear" w:pos="1134"/>
                <w:tab w:val="clear" w:pos="1701"/>
                <w:tab w:val="clear" w:pos="2268"/>
                <w:tab w:val="clear" w:pos="2835"/>
              </w:tabs>
              <w:spacing w:before="30" w:after="30"/>
              <w:rPr>
                <w:i/>
                <w:iCs/>
                <w:sz w:val="18"/>
                <w:szCs w:val="18"/>
                <w:lang w:eastAsia="fr-FR"/>
              </w:rPr>
            </w:pPr>
            <w:r w:rsidRPr="001314CA">
              <w:rPr>
                <w:i/>
                <w:iCs/>
                <w:sz w:val="18"/>
                <w:szCs w:val="18"/>
              </w:rPr>
              <w:t>Secteur de la normalisation des télécommunications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47113669" w14:textId="77777777" w:rsidR="00D215BD" w:rsidRPr="001314CA" w:rsidRDefault="00D215BD" w:rsidP="00D215BD">
            <w:pPr>
              <w:pStyle w:val="Tabletext"/>
              <w:keepNext/>
              <w:keepLines/>
              <w:jc w:val="right"/>
              <w:rPr>
                <w:sz w:val="18"/>
                <w:szCs w:val="18"/>
              </w:rPr>
            </w:pPr>
            <w:r w:rsidRPr="001314CA">
              <w:rPr>
                <w:sz w:val="18"/>
                <w:szCs w:val="18"/>
                <w:lang w:eastAsia="en-GB"/>
              </w:rPr>
              <w:t>14 328</w:t>
            </w:r>
          </w:p>
        </w:tc>
        <w:tc>
          <w:tcPr>
            <w:tcW w:w="1276" w:type="dxa"/>
            <w:tcBorders>
              <w:top w:val="nil"/>
              <w:left w:val="nil"/>
              <w:bottom w:val="nil"/>
              <w:right w:val="single" w:sz="4" w:space="0" w:color="auto"/>
            </w:tcBorders>
            <w:shd w:val="clear" w:color="auto" w:fill="auto"/>
            <w:vAlign w:val="bottom"/>
          </w:tcPr>
          <w:p w14:paraId="7A613B53" w14:textId="77777777" w:rsidR="00D215BD" w:rsidRPr="001314CA" w:rsidRDefault="00D215BD" w:rsidP="00D215BD">
            <w:pPr>
              <w:pStyle w:val="Tabletext"/>
              <w:keepNext/>
              <w:keepLines/>
              <w:jc w:val="right"/>
              <w:rPr>
                <w:sz w:val="18"/>
                <w:szCs w:val="18"/>
              </w:rPr>
            </w:pPr>
            <w:r w:rsidRPr="001314CA">
              <w:rPr>
                <w:sz w:val="18"/>
                <w:szCs w:val="18"/>
                <w:lang w:eastAsia="en-GB"/>
              </w:rPr>
              <w:t>–1 685</w:t>
            </w:r>
          </w:p>
        </w:tc>
        <w:tc>
          <w:tcPr>
            <w:tcW w:w="1276" w:type="dxa"/>
            <w:tcBorders>
              <w:top w:val="nil"/>
              <w:left w:val="nil"/>
              <w:bottom w:val="nil"/>
              <w:right w:val="single" w:sz="4" w:space="0" w:color="auto"/>
            </w:tcBorders>
            <w:shd w:val="clear" w:color="auto" w:fill="auto"/>
            <w:tcMar>
              <w:left w:w="57" w:type="dxa"/>
              <w:right w:w="57" w:type="dxa"/>
            </w:tcMar>
            <w:vAlign w:val="bottom"/>
          </w:tcPr>
          <w:p w14:paraId="7F2DCF8B" w14:textId="77777777" w:rsidR="00D215BD" w:rsidRPr="001314CA" w:rsidRDefault="00D215BD" w:rsidP="00D215BD">
            <w:pPr>
              <w:pStyle w:val="Tabletext"/>
              <w:keepNext/>
              <w:keepLines/>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1B7FF305" w14:textId="77777777" w:rsidR="00D215BD" w:rsidRPr="001314CA" w:rsidRDefault="00D215BD" w:rsidP="00D215BD">
            <w:pPr>
              <w:pStyle w:val="Tabletext"/>
              <w:keepNext/>
              <w:keepLines/>
              <w:jc w:val="right"/>
              <w:rPr>
                <w:sz w:val="18"/>
                <w:szCs w:val="18"/>
              </w:rPr>
            </w:pPr>
            <w:r w:rsidRPr="001314CA">
              <w:rPr>
                <w:sz w:val="18"/>
                <w:szCs w:val="18"/>
                <w:lang w:eastAsia="en-GB"/>
              </w:rPr>
              <w:t>12 643</w:t>
            </w:r>
          </w:p>
        </w:tc>
        <w:tc>
          <w:tcPr>
            <w:tcW w:w="1392" w:type="dxa"/>
            <w:tcBorders>
              <w:top w:val="nil"/>
              <w:left w:val="nil"/>
              <w:bottom w:val="nil"/>
              <w:right w:val="single" w:sz="4" w:space="0" w:color="auto"/>
            </w:tcBorders>
            <w:shd w:val="clear" w:color="auto" w:fill="auto"/>
            <w:tcMar>
              <w:left w:w="57" w:type="dxa"/>
              <w:right w:w="57" w:type="dxa"/>
            </w:tcMar>
            <w:vAlign w:val="bottom"/>
          </w:tcPr>
          <w:p w14:paraId="169AD379" w14:textId="77777777" w:rsidR="00D215BD" w:rsidRPr="001314CA" w:rsidRDefault="00D215BD" w:rsidP="00D215BD">
            <w:pPr>
              <w:pStyle w:val="Tabletext"/>
              <w:keepNext/>
              <w:keepLines/>
              <w:jc w:val="right"/>
              <w:rPr>
                <w:sz w:val="18"/>
                <w:szCs w:val="18"/>
              </w:rPr>
            </w:pPr>
            <w:r w:rsidRPr="001314CA">
              <w:rPr>
                <w:sz w:val="18"/>
                <w:szCs w:val="18"/>
                <w:lang w:eastAsia="en-GB"/>
              </w:rPr>
              <w:t>13 080</w:t>
            </w:r>
          </w:p>
        </w:tc>
        <w:tc>
          <w:tcPr>
            <w:tcW w:w="1248" w:type="dxa"/>
            <w:tcBorders>
              <w:top w:val="nil"/>
              <w:left w:val="nil"/>
              <w:bottom w:val="nil"/>
              <w:right w:val="single" w:sz="4" w:space="0" w:color="auto"/>
            </w:tcBorders>
            <w:shd w:val="clear" w:color="auto" w:fill="auto"/>
            <w:tcMar>
              <w:left w:w="57" w:type="dxa"/>
              <w:right w:w="57" w:type="dxa"/>
            </w:tcMar>
            <w:vAlign w:val="bottom"/>
          </w:tcPr>
          <w:p w14:paraId="4CAF7577" w14:textId="77777777" w:rsidR="00D215BD" w:rsidRPr="001314CA" w:rsidRDefault="00D215BD" w:rsidP="00D215BD">
            <w:pPr>
              <w:pStyle w:val="Tabletext"/>
              <w:keepNext/>
              <w:keepLines/>
              <w:jc w:val="right"/>
              <w:rPr>
                <w:sz w:val="18"/>
                <w:szCs w:val="18"/>
              </w:rPr>
            </w:pPr>
            <w:r w:rsidRPr="001314CA">
              <w:rPr>
                <w:sz w:val="18"/>
                <w:szCs w:val="18"/>
                <w:lang w:eastAsia="en-GB"/>
              </w:rPr>
              <w:t>–437</w:t>
            </w:r>
          </w:p>
        </w:tc>
      </w:tr>
      <w:tr w:rsidR="00D215BD" w:rsidRPr="001314CA" w14:paraId="3B95B155" w14:textId="77777777" w:rsidTr="00D215BD">
        <w:trPr>
          <w:jc w:val="center"/>
        </w:trPr>
        <w:tc>
          <w:tcPr>
            <w:tcW w:w="3681" w:type="dxa"/>
            <w:tcBorders>
              <w:top w:val="nil"/>
              <w:bottom w:val="nil"/>
            </w:tcBorders>
            <w:tcMar>
              <w:left w:w="57" w:type="dxa"/>
              <w:right w:w="57" w:type="dxa"/>
            </w:tcMar>
          </w:tcPr>
          <w:p w14:paraId="0CB7BB33" w14:textId="77777777" w:rsidR="00D215BD" w:rsidRPr="001314CA" w:rsidRDefault="00D215BD" w:rsidP="00D215BD">
            <w:pPr>
              <w:keepNext/>
              <w:keepLines/>
              <w:tabs>
                <w:tab w:val="clear" w:pos="567"/>
                <w:tab w:val="clear" w:pos="1134"/>
                <w:tab w:val="clear" w:pos="1701"/>
                <w:tab w:val="clear" w:pos="2268"/>
                <w:tab w:val="clear" w:pos="2835"/>
              </w:tabs>
              <w:spacing w:before="30" w:after="30"/>
              <w:rPr>
                <w:i/>
                <w:iCs/>
                <w:sz w:val="18"/>
                <w:szCs w:val="18"/>
                <w:lang w:eastAsia="fr-FR"/>
              </w:rPr>
            </w:pPr>
            <w:r w:rsidRPr="001314CA">
              <w:rPr>
                <w:i/>
                <w:iCs/>
                <w:sz w:val="18"/>
                <w:szCs w:val="18"/>
              </w:rPr>
              <w:t>Secteur du développement des télécommunications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7F953EE9" w14:textId="77777777" w:rsidR="00D215BD" w:rsidRPr="001314CA" w:rsidRDefault="00D215BD" w:rsidP="00D215BD">
            <w:pPr>
              <w:pStyle w:val="Tabletext"/>
              <w:keepNext/>
              <w:keepLines/>
              <w:jc w:val="right"/>
              <w:rPr>
                <w:sz w:val="18"/>
                <w:szCs w:val="18"/>
              </w:rPr>
            </w:pPr>
            <w:r w:rsidRPr="001314CA">
              <w:rPr>
                <w:sz w:val="18"/>
                <w:szCs w:val="18"/>
                <w:lang w:eastAsia="en-GB"/>
              </w:rPr>
              <w:t>31 399</w:t>
            </w:r>
          </w:p>
        </w:tc>
        <w:tc>
          <w:tcPr>
            <w:tcW w:w="1276" w:type="dxa"/>
            <w:tcBorders>
              <w:top w:val="nil"/>
              <w:left w:val="nil"/>
              <w:bottom w:val="nil"/>
              <w:right w:val="single" w:sz="4" w:space="0" w:color="auto"/>
            </w:tcBorders>
            <w:shd w:val="clear" w:color="auto" w:fill="auto"/>
            <w:vAlign w:val="bottom"/>
          </w:tcPr>
          <w:p w14:paraId="1B9B6800" w14:textId="77777777" w:rsidR="00D215BD" w:rsidRPr="001314CA" w:rsidRDefault="00D215BD" w:rsidP="00D215BD">
            <w:pPr>
              <w:pStyle w:val="Tabletext"/>
              <w:keepNext/>
              <w:keepLines/>
              <w:jc w:val="right"/>
              <w:rPr>
                <w:sz w:val="18"/>
                <w:szCs w:val="18"/>
              </w:rPr>
            </w:pPr>
            <w:r w:rsidRPr="001314CA">
              <w:rPr>
                <w:sz w:val="18"/>
                <w:szCs w:val="18"/>
                <w:lang w:eastAsia="en-GB"/>
              </w:rPr>
              <w:t>–182</w:t>
            </w:r>
          </w:p>
        </w:tc>
        <w:tc>
          <w:tcPr>
            <w:tcW w:w="1276" w:type="dxa"/>
            <w:tcBorders>
              <w:top w:val="nil"/>
              <w:left w:val="nil"/>
              <w:bottom w:val="nil"/>
              <w:right w:val="single" w:sz="4" w:space="0" w:color="auto"/>
            </w:tcBorders>
            <w:shd w:val="clear" w:color="auto" w:fill="auto"/>
            <w:tcMar>
              <w:left w:w="57" w:type="dxa"/>
              <w:right w:w="57" w:type="dxa"/>
            </w:tcMar>
            <w:vAlign w:val="bottom"/>
          </w:tcPr>
          <w:p w14:paraId="33F179D4" w14:textId="77777777" w:rsidR="00D215BD" w:rsidRPr="001314CA" w:rsidRDefault="00D215BD" w:rsidP="00D215BD">
            <w:pPr>
              <w:pStyle w:val="Tabletext"/>
              <w:keepNext/>
              <w:keepLines/>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51DB8BD6" w14:textId="77777777" w:rsidR="00D215BD" w:rsidRPr="001314CA" w:rsidRDefault="00D215BD" w:rsidP="00D215BD">
            <w:pPr>
              <w:pStyle w:val="Tabletext"/>
              <w:keepNext/>
              <w:keepLines/>
              <w:jc w:val="right"/>
              <w:rPr>
                <w:sz w:val="18"/>
                <w:szCs w:val="18"/>
              </w:rPr>
            </w:pPr>
            <w:r w:rsidRPr="001314CA">
              <w:rPr>
                <w:sz w:val="18"/>
                <w:szCs w:val="18"/>
                <w:lang w:eastAsia="en-GB"/>
              </w:rPr>
              <w:t>31 217</w:t>
            </w:r>
          </w:p>
        </w:tc>
        <w:tc>
          <w:tcPr>
            <w:tcW w:w="1392" w:type="dxa"/>
            <w:tcBorders>
              <w:top w:val="nil"/>
              <w:left w:val="nil"/>
              <w:bottom w:val="nil"/>
              <w:right w:val="single" w:sz="4" w:space="0" w:color="auto"/>
            </w:tcBorders>
            <w:shd w:val="clear" w:color="auto" w:fill="auto"/>
            <w:tcMar>
              <w:left w:w="57" w:type="dxa"/>
              <w:right w:w="57" w:type="dxa"/>
            </w:tcMar>
            <w:vAlign w:val="bottom"/>
          </w:tcPr>
          <w:p w14:paraId="6E907811" w14:textId="77777777" w:rsidR="00D215BD" w:rsidRPr="001314CA" w:rsidRDefault="00D215BD" w:rsidP="00D215BD">
            <w:pPr>
              <w:pStyle w:val="Tabletext"/>
              <w:keepNext/>
              <w:keepLines/>
              <w:jc w:val="right"/>
              <w:rPr>
                <w:sz w:val="18"/>
                <w:szCs w:val="18"/>
              </w:rPr>
            </w:pPr>
            <w:r w:rsidRPr="001314CA">
              <w:rPr>
                <w:sz w:val="18"/>
                <w:szCs w:val="18"/>
                <w:lang w:eastAsia="en-GB"/>
              </w:rPr>
              <w:t>29 795</w:t>
            </w:r>
          </w:p>
        </w:tc>
        <w:tc>
          <w:tcPr>
            <w:tcW w:w="1248" w:type="dxa"/>
            <w:tcBorders>
              <w:top w:val="nil"/>
              <w:left w:val="nil"/>
              <w:bottom w:val="nil"/>
              <w:right w:val="single" w:sz="4" w:space="0" w:color="auto"/>
            </w:tcBorders>
            <w:shd w:val="clear" w:color="auto" w:fill="auto"/>
            <w:tcMar>
              <w:left w:w="57" w:type="dxa"/>
              <w:right w:w="57" w:type="dxa"/>
            </w:tcMar>
            <w:vAlign w:val="bottom"/>
          </w:tcPr>
          <w:p w14:paraId="375B1086" w14:textId="77777777" w:rsidR="00D215BD" w:rsidRPr="001314CA" w:rsidRDefault="00D215BD" w:rsidP="00D215BD">
            <w:pPr>
              <w:pStyle w:val="Tabletext"/>
              <w:keepNext/>
              <w:keepLines/>
              <w:jc w:val="right"/>
              <w:rPr>
                <w:sz w:val="18"/>
                <w:szCs w:val="18"/>
              </w:rPr>
            </w:pPr>
            <w:r w:rsidRPr="001314CA">
              <w:rPr>
                <w:sz w:val="18"/>
                <w:szCs w:val="18"/>
                <w:lang w:eastAsia="en-GB"/>
              </w:rPr>
              <w:t>1 422</w:t>
            </w:r>
          </w:p>
        </w:tc>
      </w:tr>
      <w:tr w:rsidR="00D215BD" w:rsidRPr="001314CA" w14:paraId="232F8CDB" w14:textId="77777777" w:rsidTr="00D215BD">
        <w:trPr>
          <w:jc w:val="center"/>
        </w:trPr>
        <w:tc>
          <w:tcPr>
            <w:tcW w:w="3681" w:type="dxa"/>
            <w:tcBorders>
              <w:top w:val="nil"/>
            </w:tcBorders>
            <w:tcMar>
              <w:left w:w="57" w:type="dxa"/>
              <w:right w:w="57" w:type="dxa"/>
            </w:tcMar>
          </w:tcPr>
          <w:p w14:paraId="78C0DCBF" w14:textId="77777777" w:rsidR="00D215BD" w:rsidRPr="001314CA" w:rsidRDefault="00D215BD" w:rsidP="00D215BD">
            <w:pPr>
              <w:keepNext/>
              <w:keepLines/>
              <w:tabs>
                <w:tab w:val="clear" w:pos="567"/>
                <w:tab w:val="clear" w:pos="1134"/>
                <w:tab w:val="clear" w:pos="1701"/>
                <w:tab w:val="clear" w:pos="2268"/>
                <w:tab w:val="clear" w:pos="2835"/>
              </w:tabs>
              <w:spacing w:before="30" w:after="30"/>
              <w:rPr>
                <w:i/>
                <w:iCs/>
                <w:sz w:val="18"/>
                <w:szCs w:val="18"/>
                <w:lang w:eastAsia="fr-FR"/>
              </w:rPr>
            </w:pP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19E1878C" w14:textId="77777777" w:rsidR="00D215BD" w:rsidRPr="001314CA" w:rsidRDefault="00D215BD" w:rsidP="00D215BD">
            <w:pPr>
              <w:pStyle w:val="Tabletext"/>
              <w:keepNext/>
              <w:keepLines/>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vAlign w:val="bottom"/>
          </w:tcPr>
          <w:p w14:paraId="7C19B895" w14:textId="77777777" w:rsidR="00D215BD" w:rsidRPr="001314CA" w:rsidRDefault="00D215BD" w:rsidP="00D215BD">
            <w:pPr>
              <w:pStyle w:val="Tabletext"/>
              <w:keepNext/>
              <w:keepLines/>
              <w:jc w:val="right"/>
              <w:rPr>
                <w:sz w:val="18"/>
                <w:szCs w:val="18"/>
              </w:rPr>
            </w:pPr>
            <w:r w:rsidRPr="001314CA">
              <w:rPr>
                <w:sz w:val="18"/>
                <w:szCs w:val="18"/>
                <w:lang w:eastAsia="en-GB"/>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01CB2B36" w14:textId="77777777" w:rsidR="00D215BD" w:rsidRPr="001314CA" w:rsidRDefault="00D215BD" w:rsidP="00D215BD">
            <w:pPr>
              <w:pStyle w:val="Tabletext"/>
              <w:keepNext/>
              <w:keepLines/>
              <w:jc w:val="right"/>
              <w:rPr>
                <w:sz w:val="18"/>
                <w:szCs w:val="18"/>
              </w:rPr>
            </w:pPr>
            <w:r w:rsidRPr="001314CA">
              <w:rPr>
                <w:sz w:val="18"/>
                <w:szCs w:val="18"/>
                <w:lang w:eastAsia="en-GB"/>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6A456C7D" w14:textId="77777777" w:rsidR="00D215BD" w:rsidRPr="001314CA" w:rsidRDefault="00D215BD" w:rsidP="00D215BD">
            <w:pPr>
              <w:pStyle w:val="Tabletext"/>
              <w:keepNext/>
              <w:keepLines/>
              <w:jc w:val="right"/>
              <w:rPr>
                <w:sz w:val="18"/>
                <w:szCs w:val="18"/>
              </w:rPr>
            </w:pPr>
            <w:r w:rsidRPr="001314CA">
              <w:rPr>
                <w:sz w:val="18"/>
                <w:szCs w:val="18"/>
                <w:lang w:eastAsia="en-GB"/>
              </w:rPr>
              <w:t>–</w:t>
            </w:r>
          </w:p>
        </w:tc>
        <w:tc>
          <w:tcPr>
            <w:tcW w:w="1392" w:type="dxa"/>
            <w:tcBorders>
              <w:top w:val="nil"/>
              <w:left w:val="nil"/>
              <w:bottom w:val="nil"/>
              <w:right w:val="single" w:sz="4" w:space="0" w:color="auto"/>
            </w:tcBorders>
            <w:shd w:val="clear" w:color="auto" w:fill="auto"/>
            <w:tcMar>
              <w:left w:w="57" w:type="dxa"/>
              <w:right w:w="57" w:type="dxa"/>
            </w:tcMar>
            <w:vAlign w:val="bottom"/>
          </w:tcPr>
          <w:p w14:paraId="045FE842" w14:textId="77777777" w:rsidR="00D215BD" w:rsidRPr="001314CA" w:rsidRDefault="00D215BD" w:rsidP="00D215BD">
            <w:pPr>
              <w:pStyle w:val="Tabletext"/>
              <w:keepNext/>
              <w:keepLines/>
              <w:jc w:val="right"/>
              <w:rPr>
                <w:sz w:val="18"/>
                <w:szCs w:val="18"/>
              </w:rPr>
            </w:pPr>
            <w:r w:rsidRPr="001314CA">
              <w:rPr>
                <w:sz w:val="18"/>
                <w:szCs w:val="18"/>
                <w:lang w:eastAsia="en-GB"/>
              </w:rPr>
              <w:t>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6E5DE538" w14:textId="77777777" w:rsidR="00D215BD" w:rsidRPr="001314CA" w:rsidRDefault="00D215BD" w:rsidP="00D215BD">
            <w:pPr>
              <w:pStyle w:val="Tabletext"/>
              <w:keepNext/>
              <w:keepLines/>
              <w:jc w:val="right"/>
              <w:rPr>
                <w:sz w:val="18"/>
                <w:szCs w:val="18"/>
              </w:rPr>
            </w:pPr>
            <w:r w:rsidRPr="001314CA">
              <w:rPr>
                <w:sz w:val="18"/>
                <w:szCs w:val="18"/>
                <w:lang w:eastAsia="en-GB"/>
              </w:rPr>
              <w:t>–</w:t>
            </w:r>
          </w:p>
        </w:tc>
      </w:tr>
      <w:tr w:rsidR="00D215BD" w:rsidRPr="001314CA" w14:paraId="02832B4F" w14:textId="77777777" w:rsidTr="00D215BD">
        <w:trPr>
          <w:jc w:val="center"/>
        </w:trPr>
        <w:tc>
          <w:tcPr>
            <w:tcW w:w="3681" w:type="dxa"/>
            <w:tcBorders>
              <w:bottom w:val="single" w:sz="4" w:space="0" w:color="auto"/>
            </w:tcBorders>
            <w:shd w:val="clear" w:color="auto" w:fill="D9D9D9" w:themeFill="background1" w:themeFillShade="D9"/>
            <w:tcMar>
              <w:left w:w="57" w:type="dxa"/>
              <w:right w:w="57" w:type="dxa"/>
            </w:tcMar>
          </w:tcPr>
          <w:p w14:paraId="723B7C9B" w14:textId="77777777" w:rsidR="00D215BD" w:rsidRPr="001314CA" w:rsidRDefault="00D215BD" w:rsidP="00D215BD">
            <w:pPr>
              <w:keepNext/>
              <w:keepLines/>
              <w:tabs>
                <w:tab w:val="clear" w:pos="567"/>
                <w:tab w:val="clear" w:pos="1134"/>
                <w:tab w:val="clear" w:pos="1701"/>
                <w:tab w:val="clear" w:pos="2268"/>
                <w:tab w:val="clear" w:pos="2835"/>
              </w:tabs>
              <w:spacing w:before="30" w:after="30"/>
              <w:rPr>
                <w:b/>
                <w:sz w:val="18"/>
                <w:szCs w:val="18"/>
              </w:rPr>
            </w:pPr>
            <w:r w:rsidRPr="001314CA">
              <w:rPr>
                <w:b/>
                <w:sz w:val="18"/>
                <w:szCs w:val="18"/>
              </w:rPr>
              <w:t>Total charges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bottom"/>
          </w:tcPr>
          <w:p w14:paraId="6F283859"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167 478</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50699DA"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19493337"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w:t>
            </w:r>
          </w:p>
        </w:tc>
        <w:tc>
          <w:tcPr>
            <w:tcW w:w="1107"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283E7191"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165 611</w:t>
            </w:r>
          </w:p>
        </w:tc>
        <w:tc>
          <w:tcPr>
            <w:tcW w:w="139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7E977E12"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154 918</w:t>
            </w:r>
          </w:p>
        </w:tc>
        <w:tc>
          <w:tcPr>
            <w:tcW w:w="12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14CC73CD"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10 693</w:t>
            </w:r>
          </w:p>
        </w:tc>
      </w:tr>
      <w:tr w:rsidR="00D215BD" w:rsidRPr="001314CA" w14:paraId="6ED8159B" w14:textId="77777777" w:rsidTr="00D215BD">
        <w:trPr>
          <w:jc w:val="center"/>
        </w:trPr>
        <w:tc>
          <w:tcPr>
            <w:tcW w:w="3681" w:type="dxa"/>
            <w:tcBorders>
              <w:bottom w:val="single" w:sz="4" w:space="0" w:color="auto"/>
            </w:tcBorders>
            <w:tcMar>
              <w:left w:w="57" w:type="dxa"/>
              <w:right w:w="57" w:type="dxa"/>
            </w:tcMar>
          </w:tcPr>
          <w:p w14:paraId="7D213323" w14:textId="77777777" w:rsidR="00D215BD" w:rsidRPr="001314CA" w:rsidRDefault="00D215BD" w:rsidP="00D215BD">
            <w:pPr>
              <w:keepNext/>
              <w:keepLines/>
              <w:tabs>
                <w:tab w:val="clear" w:pos="567"/>
                <w:tab w:val="clear" w:pos="1134"/>
                <w:tab w:val="clear" w:pos="1701"/>
                <w:tab w:val="clear" w:pos="2268"/>
                <w:tab w:val="clear" w:pos="2835"/>
              </w:tabs>
              <w:spacing w:before="30" w:after="30"/>
              <w:rPr>
                <w:b/>
                <w:sz w:val="18"/>
                <w:szCs w:val="18"/>
                <w:lang w:eastAsia="fr-FR"/>
              </w:rPr>
            </w:pPr>
            <w:r w:rsidRPr="001314CA">
              <w:rPr>
                <w:b/>
                <w:sz w:val="18"/>
                <w:szCs w:val="18"/>
              </w:rPr>
              <w:t>Résultats</w:t>
            </w:r>
          </w:p>
        </w:tc>
        <w:tc>
          <w:tcPr>
            <w:tcW w:w="1134" w:type="dxa"/>
            <w:tcBorders>
              <w:top w:val="nil"/>
              <w:left w:val="single" w:sz="4" w:space="0" w:color="auto"/>
              <w:bottom w:val="single" w:sz="4" w:space="0" w:color="auto"/>
              <w:right w:val="single" w:sz="4" w:space="0" w:color="auto"/>
            </w:tcBorders>
            <w:shd w:val="clear" w:color="auto" w:fill="auto"/>
            <w:tcMar>
              <w:left w:w="57" w:type="dxa"/>
              <w:right w:w="57" w:type="dxa"/>
            </w:tcMar>
            <w:vAlign w:val="bottom"/>
          </w:tcPr>
          <w:p w14:paraId="7DB3C3D1"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 </w:t>
            </w:r>
          </w:p>
        </w:tc>
        <w:tc>
          <w:tcPr>
            <w:tcW w:w="1276" w:type="dxa"/>
            <w:tcBorders>
              <w:top w:val="nil"/>
              <w:left w:val="nil"/>
              <w:bottom w:val="single" w:sz="4" w:space="0" w:color="auto"/>
              <w:right w:val="single" w:sz="4" w:space="0" w:color="auto"/>
            </w:tcBorders>
            <w:shd w:val="clear" w:color="auto" w:fill="auto"/>
            <w:vAlign w:val="bottom"/>
          </w:tcPr>
          <w:p w14:paraId="746C34AA"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bottom"/>
          </w:tcPr>
          <w:p w14:paraId="762D54D1"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 </w:t>
            </w:r>
          </w:p>
        </w:tc>
        <w:tc>
          <w:tcPr>
            <w:tcW w:w="1107" w:type="dxa"/>
            <w:tcBorders>
              <w:top w:val="nil"/>
              <w:left w:val="nil"/>
              <w:bottom w:val="single" w:sz="4" w:space="0" w:color="auto"/>
              <w:right w:val="single" w:sz="4" w:space="0" w:color="auto"/>
            </w:tcBorders>
            <w:shd w:val="clear" w:color="auto" w:fill="auto"/>
            <w:tcMar>
              <w:left w:w="57" w:type="dxa"/>
              <w:right w:w="57" w:type="dxa"/>
            </w:tcMar>
            <w:vAlign w:val="bottom"/>
          </w:tcPr>
          <w:p w14:paraId="441BC7E4"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 </w:t>
            </w:r>
          </w:p>
        </w:tc>
        <w:tc>
          <w:tcPr>
            <w:tcW w:w="1392" w:type="dxa"/>
            <w:tcBorders>
              <w:top w:val="nil"/>
              <w:left w:val="nil"/>
              <w:bottom w:val="single" w:sz="4" w:space="0" w:color="auto"/>
              <w:right w:val="single" w:sz="4" w:space="0" w:color="auto"/>
            </w:tcBorders>
            <w:shd w:val="clear" w:color="auto" w:fill="auto"/>
            <w:tcMar>
              <w:left w:w="57" w:type="dxa"/>
              <w:right w:w="57" w:type="dxa"/>
            </w:tcMar>
            <w:vAlign w:val="bottom"/>
          </w:tcPr>
          <w:p w14:paraId="78D05A4E"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(1 483)</w:t>
            </w:r>
          </w:p>
        </w:tc>
        <w:tc>
          <w:tcPr>
            <w:tcW w:w="1248" w:type="dxa"/>
            <w:tcBorders>
              <w:top w:val="nil"/>
              <w:left w:val="nil"/>
              <w:bottom w:val="single" w:sz="4" w:space="0" w:color="auto"/>
              <w:right w:val="single" w:sz="4" w:space="0" w:color="auto"/>
            </w:tcBorders>
            <w:shd w:val="clear" w:color="auto" w:fill="auto"/>
            <w:tcMar>
              <w:left w:w="57" w:type="dxa"/>
              <w:right w:w="57" w:type="dxa"/>
            </w:tcMar>
            <w:vAlign w:val="bottom"/>
          </w:tcPr>
          <w:p w14:paraId="6C25526D" w14:textId="77777777" w:rsidR="00D215BD" w:rsidRPr="001314CA" w:rsidRDefault="00D215BD" w:rsidP="00D215BD">
            <w:pPr>
              <w:pStyle w:val="Tabletext"/>
              <w:keepNext/>
              <w:keepLines/>
              <w:jc w:val="right"/>
              <w:rPr>
                <w:b/>
                <w:bCs/>
                <w:sz w:val="18"/>
                <w:szCs w:val="18"/>
              </w:rPr>
            </w:pPr>
            <w:r w:rsidRPr="001314CA">
              <w:rPr>
                <w:b/>
                <w:bCs/>
                <w:sz w:val="18"/>
                <w:szCs w:val="18"/>
                <w:lang w:eastAsia="en-GB"/>
              </w:rPr>
              <w:t>(1 483)</w:t>
            </w:r>
          </w:p>
        </w:tc>
      </w:tr>
    </w:tbl>
    <w:p w14:paraId="72C1DECE"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p w14:paraId="128D7CA6" w14:textId="77777777" w:rsidR="00D215BD" w:rsidRPr="001314CA" w:rsidRDefault="00D215BD" w:rsidP="00D215BD">
      <w:pPr>
        <w:spacing w:before="720"/>
        <w:jc w:val="center"/>
        <w:rPr>
          <w:caps/>
          <w:sz w:val="28"/>
        </w:rPr>
        <w:sectPr w:rsidR="00D215BD" w:rsidRPr="001314CA" w:rsidSect="00D215BD">
          <w:headerReference w:type="default" r:id="rId63"/>
          <w:footerReference w:type="default" r:id="rId64"/>
          <w:footerReference w:type="first" r:id="rId65"/>
          <w:pgSz w:w="11907" w:h="16840" w:code="9"/>
          <w:pgMar w:top="1418" w:right="1134" w:bottom="1418" w:left="1134" w:header="720" w:footer="720" w:gutter="0"/>
          <w:paperSrc w:first="261" w:other="261"/>
          <w:cols w:space="720"/>
          <w:titlePg/>
        </w:sectPr>
      </w:pPr>
      <w:bookmarkStart w:id="3077" w:name="_Toc395260975"/>
      <w:bookmarkStart w:id="3078" w:name="_Toc395261110"/>
      <w:bookmarkStart w:id="3079" w:name="_Toc395511760"/>
    </w:p>
    <w:p w14:paraId="58F3B0DD" w14:textId="77777777" w:rsidR="00D215BD" w:rsidRPr="001314CA" w:rsidRDefault="00D215BD" w:rsidP="00D215BD">
      <w:pPr>
        <w:pStyle w:val="AnnexNo"/>
        <w:spacing w:before="120"/>
      </w:pPr>
      <w:bookmarkStart w:id="3080" w:name="_Toc452138673"/>
      <w:bookmarkStart w:id="3081" w:name="_Toc452139122"/>
      <w:bookmarkStart w:id="3082" w:name="_Toc482888051"/>
      <w:bookmarkStart w:id="3083" w:name="_Toc482888394"/>
      <w:bookmarkStart w:id="3084" w:name="_Toc511736687"/>
      <w:bookmarkStart w:id="3085" w:name="_Toc10450815"/>
      <w:bookmarkStart w:id="3086" w:name="_Toc41815003"/>
      <w:bookmarkStart w:id="3087" w:name="_Toc73354500"/>
      <w:bookmarkStart w:id="3088" w:name="_Toc73356483"/>
      <w:r w:rsidRPr="001314CA">
        <w:lastRenderedPageBreak/>
        <w:t>ANNEXE B2</w:t>
      </w:r>
      <w:bookmarkEnd w:id="3077"/>
      <w:bookmarkEnd w:id="3078"/>
      <w:bookmarkEnd w:id="3079"/>
      <w:bookmarkEnd w:id="3080"/>
      <w:bookmarkEnd w:id="3081"/>
      <w:bookmarkEnd w:id="3082"/>
      <w:bookmarkEnd w:id="3083"/>
      <w:bookmarkEnd w:id="3084"/>
      <w:bookmarkEnd w:id="3085"/>
      <w:bookmarkEnd w:id="3086"/>
      <w:bookmarkEnd w:id="3087"/>
      <w:bookmarkEnd w:id="3088"/>
    </w:p>
    <w:p w14:paraId="17D4EFD8" w14:textId="77777777" w:rsidR="00D215BD" w:rsidRPr="001314CA" w:rsidRDefault="00D215BD" w:rsidP="00D215BD">
      <w:pPr>
        <w:pStyle w:val="Annextitle"/>
      </w:pPr>
      <w:bookmarkStart w:id="3089" w:name="_Toc73354501"/>
      <w:bookmarkStart w:id="3090" w:name="_Toc73356484"/>
      <w:r w:rsidRPr="001314CA">
        <w:t>Nouveaux locaux du siège</w:t>
      </w:r>
      <w:bookmarkEnd w:id="3089"/>
      <w:bookmarkEnd w:id="3090"/>
    </w:p>
    <w:tbl>
      <w:tblPr>
        <w:tblW w:w="9350" w:type="dxa"/>
        <w:tblLayout w:type="fixed"/>
        <w:tblLook w:val="04A0" w:firstRow="1" w:lastRow="0" w:firstColumn="1" w:lastColumn="0" w:noHBand="0" w:noVBand="1"/>
        <w:tblCaption w:val="CAISSE D'ASSURANCE – Voir la Note 4"/>
      </w:tblPr>
      <w:tblGrid>
        <w:gridCol w:w="6516"/>
        <w:gridCol w:w="1417"/>
        <w:gridCol w:w="1417"/>
      </w:tblGrid>
      <w:tr w:rsidR="00D215BD" w:rsidRPr="001314CA" w14:paraId="7D4157D3" w14:textId="77777777" w:rsidTr="00D215BD">
        <w:trPr>
          <w:trHeight w:val="300"/>
        </w:trPr>
        <w:tc>
          <w:tcPr>
            <w:tcW w:w="6516" w:type="dxa"/>
            <w:tcBorders>
              <w:top w:val="single" w:sz="4" w:space="0" w:color="auto"/>
              <w:left w:val="single" w:sz="4" w:space="0" w:color="auto"/>
              <w:bottom w:val="single" w:sz="4" w:space="0" w:color="auto"/>
              <w:right w:val="nil"/>
            </w:tcBorders>
            <w:shd w:val="clear" w:color="auto" w:fill="auto"/>
            <w:noWrap/>
            <w:vAlign w:val="center"/>
            <w:hideMark/>
          </w:tcPr>
          <w:p w14:paraId="5F01F7FA" w14:textId="77777777" w:rsidR="00D215BD" w:rsidRPr="001314CA" w:rsidRDefault="00D215BD" w:rsidP="00D215BD">
            <w:pPr>
              <w:rPr>
                <w:rFonts w:cs="Calibri"/>
                <w:sz w:val="20"/>
              </w:rPr>
            </w:pPr>
            <w:r w:rsidRPr="001314CA">
              <w:rPr>
                <w:rFonts w:cs="Calibri"/>
                <w:sz w:val="20"/>
              </w:rPr>
              <w:t>(en milliers de CHF)</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9308BC" w14:textId="77777777" w:rsidR="00D215BD" w:rsidRPr="001314CA" w:rsidRDefault="00D215BD" w:rsidP="00D215BD">
            <w:pPr>
              <w:jc w:val="center"/>
              <w:rPr>
                <w:rFonts w:cs="Calibri"/>
                <w:b/>
                <w:bCs/>
                <w:sz w:val="20"/>
              </w:rPr>
            </w:pPr>
            <w:r w:rsidRPr="001314CA">
              <w:rPr>
                <w:rFonts w:cs="Calibri"/>
                <w:b/>
                <w:bCs/>
                <w:sz w:val="20"/>
              </w:rPr>
              <w:t>31/12/2020</w:t>
            </w:r>
          </w:p>
        </w:tc>
        <w:tc>
          <w:tcPr>
            <w:tcW w:w="1417" w:type="dxa"/>
            <w:tcBorders>
              <w:top w:val="single" w:sz="4" w:space="0" w:color="auto"/>
              <w:left w:val="single" w:sz="4" w:space="0" w:color="auto"/>
              <w:bottom w:val="single" w:sz="4" w:space="0" w:color="auto"/>
              <w:right w:val="single" w:sz="4" w:space="0" w:color="auto"/>
            </w:tcBorders>
            <w:vAlign w:val="center"/>
          </w:tcPr>
          <w:p w14:paraId="48C3091C" w14:textId="77777777" w:rsidR="00D215BD" w:rsidRPr="001314CA" w:rsidRDefault="00D215BD" w:rsidP="00D215BD">
            <w:pPr>
              <w:jc w:val="center"/>
              <w:rPr>
                <w:rFonts w:cs="Calibri"/>
                <w:b/>
                <w:bCs/>
                <w:sz w:val="20"/>
              </w:rPr>
            </w:pPr>
            <w:r w:rsidRPr="001314CA">
              <w:rPr>
                <w:rFonts w:cs="Calibri"/>
                <w:b/>
                <w:bCs/>
                <w:sz w:val="20"/>
              </w:rPr>
              <w:t>31/12/2019</w:t>
            </w:r>
          </w:p>
        </w:tc>
      </w:tr>
      <w:tr w:rsidR="00D215BD" w:rsidRPr="001314CA" w14:paraId="5D929F9D" w14:textId="77777777" w:rsidTr="00D215BD">
        <w:trPr>
          <w:trHeight w:val="300"/>
        </w:trPr>
        <w:tc>
          <w:tcPr>
            <w:tcW w:w="6516" w:type="dxa"/>
            <w:tcBorders>
              <w:top w:val="nil"/>
              <w:left w:val="single" w:sz="4" w:space="0" w:color="auto"/>
              <w:bottom w:val="nil"/>
              <w:right w:val="single" w:sz="4" w:space="0" w:color="auto"/>
            </w:tcBorders>
            <w:shd w:val="clear" w:color="auto" w:fill="auto"/>
            <w:noWrap/>
          </w:tcPr>
          <w:p w14:paraId="4ED345FE" w14:textId="77777777" w:rsidR="00D215BD" w:rsidRPr="001314CA" w:rsidRDefault="00D215BD" w:rsidP="00D215BD">
            <w:pPr>
              <w:tabs>
                <w:tab w:val="clear" w:pos="567"/>
                <w:tab w:val="clear" w:pos="1134"/>
                <w:tab w:val="clear" w:pos="1701"/>
                <w:tab w:val="clear" w:pos="2268"/>
                <w:tab w:val="clear" w:pos="2835"/>
              </w:tabs>
              <w:spacing w:beforeLines="40" w:before="96"/>
              <w:rPr>
                <w:b/>
                <w:bCs/>
                <w:sz w:val="20"/>
              </w:rPr>
            </w:pPr>
            <w:r w:rsidRPr="001314CA">
              <w:rPr>
                <w:b/>
                <w:bCs/>
                <w:sz w:val="20"/>
              </w:rPr>
              <w:t>PRODUITS</w:t>
            </w:r>
          </w:p>
        </w:tc>
        <w:tc>
          <w:tcPr>
            <w:tcW w:w="1417" w:type="dxa"/>
            <w:tcBorders>
              <w:top w:val="nil"/>
              <w:left w:val="single" w:sz="4" w:space="0" w:color="auto"/>
              <w:bottom w:val="nil"/>
              <w:right w:val="single" w:sz="4" w:space="0" w:color="auto"/>
            </w:tcBorders>
            <w:shd w:val="clear" w:color="auto" w:fill="auto"/>
            <w:noWrap/>
            <w:vAlign w:val="center"/>
          </w:tcPr>
          <w:p w14:paraId="1A31035B" w14:textId="77777777" w:rsidR="00D215BD" w:rsidRPr="001314CA" w:rsidRDefault="00D215BD" w:rsidP="00D215BD">
            <w:pPr>
              <w:jc w:val="right"/>
              <w:rPr>
                <w:rFonts w:cs="Calibri"/>
                <w:sz w:val="20"/>
              </w:rPr>
            </w:pPr>
          </w:p>
        </w:tc>
        <w:tc>
          <w:tcPr>
            <w:tcW w:w="1417" w:type="dxa"/>
            <w:tcBorders>
              <w:top w:val="nil"/>
              <w:left w:val="single" w:sz="4" w:space="0" w:color="auto"/>
              <w:bottom w:val="nil"/>
              <w:right w:val="single" w:sz="4" w:space="0" w:color="auto"/>
            </w:tcBorders>
            <w:vAlign w:val="center"/>
          </w:tcPr>
          <w:p w14:paraId="655A8AFB" w14:textId="77777777" w:rsidR="00D215BD" w:rsidRPr="001314CA" w:rsidRDefault="00D215BD" w:rsidP="00D215BD">
            <w:pPr>
              <w:jc w:val="right"/>
              <w:rPr>
                <w:rFonts w:cs="Calibri"/>
                <w:sz w:val="20"/>
              </w:rPr>
            </w:pPr>
          </w:p>
        </w:tc>
      </w:tr>
      <w:tr w:rsidR="00D215BD" w:rsidRPr="001314CA" w14:paraId="7B9EAF11" w14:textId="77777777" w:rsidTr="00D215BD">
        <w:trPr>
          <w:trHeight w:val="300"/>
        </w:trPr>
        <w:tc>
          <w:tcPr>
            <w:tcW w:w="6516" w:type="dxa"/>
            <w:tcBorders>
              <w:top w:val="nil"/>
              <w:left w:val="single" w:sz="4" w:space="0" w:color="auto"/>
              <w:bottom w:val="nil"/>
              <w:right w:val="single" w:sz="4" w:space="0" w:color="auto"/>
            </w:tcBorders>
            <w:shd w:val="clear" w:color="auto" w:fill="auto"/>
            <w:noWrap/>
          </w:tcPr>
          <w:p w14:paraId="5D024178" w14:textId="77777777" w:rsidR="00D215BD" w:rsidRPr="001314CA" w:rsidRDefault="00D215BD" w:rsidP="00D215BD">
            <w:pPr>
              <w:tabs>
                <w:tab w:val="clear" w:pos="567"/>
                <w:tab w:val="clear" w:pos="1134"/>
                <w:tab w:val="clear" w:pos="1701"/>
                <w:tab w:val="clear" w:pos="2268"/>
                <w:tab w:val="clear" w:pos="2835"/>
              </w:tabs>
              <w:spacing w:beforeLines="40" w:before="96"/>
              <w:rPr>
                <w:sz w:val="20"/>
              </w:rPr>
            </w:pPr>
            <w:r w:rsidRPr="001314CA">
              <w:rPr>
                <w:sz w:val="20"/>
              </w:rPr>
              <w:t>Dons/sponsors</w:t>
            </w:r>
          </w:p>
        </w:tc>
        <w:tc>
          <w:tcPr>
            <w:tcW w:w="1417" w:type="dxa"/>
            <w:tcBorders>
              <w:top w:val="nil"/>
              <w:left w:val="single" w:sz="4" w:space="0" w:color="auto"/>
              <w:bottom w:val="nil"/>
              <w:right w:val="single" w:sz="4" w:space="0" w:color="auto"/>
            </w:tcBorders>
            <w:shd w:val="clear" w:color="auto" w:fill="auto"/>
            <w:noWrap/>
            <w:vAlign w:val="center"/>
          </w:tcPr>
          <w:p w14:paraId="3A9686F7" w14:textId="77777777" w:rsidR="00D215BD" w:rsidRPr="001314CA" w:rsidRDefault="00D215BD" w:rsidP="00D215BD">
            <w:pPr>
              <w:jc w:val="right"/>
              <w:rPr>
                <w:rFonts w:cs="Calibri"/>
                <w:sz w:val="20"/>
              </w:rPr>
            </w:pPr>
            <w:r w:rsidRPr="001314CA">
              <w:rPr>
                <w:rFonts w:cs="Calibri"/>
                <w:sz w:val="20"/>
              </w:rPr>
              <w:t>10 000</w:t>
            </w:r>
          </w:p>
        </w:tc>
        <w:tc>
          <w:tcPr>
            <w:tcW w:w="1417" w:type="dxa"/>
            <w:tcBorders>
              <w:top w:val="nil"/>
              <w:left w:val="single" w:sz="4" w:space="0" w:color="auto"/>
              <w:bottom w:val="nil"/>
              <w:right w:val="single" w:sz="4" w:space="0" w:color="auto"/>
            </w:tcBorders>
            <w:vAlign w:val="center"/>
          </w:tcPr>
          <w:p w14:paraId="3BC47A90" w14:textId="77777777" w:rsidR="00D215BD" w:rsidRPr="001314CA" w:rsidRDefault="00D215BD" w:rsidP="00D215BD">
            <w:pPr>
              <w:jc w:val="right"/>
              <w:rPr>
                <w:rFonts w:cs="Calibri"/>
                <w:sz w:val="20"/>
              </w:rPr>
            </w:pPr>
            <w:r w:rsidRPr="001314CA">
              <w:rPr>
                <w:rFonts w:cs="Calibri"/>
                <w:sz w:val="20"/>
              </w:rPr>
              <w:t>–</w:t>
            </w:r>
          </w:p>
        </w:tc>
      </w:tr>
      <w:tr w:rsidR="00D215BD" w:rsidRPr="001314CA" w14:paraId="21EBE331" w14:textId="77777777" w:rsidTr="00D215BD">
        <w:trPr>
          <w:trHeight w:val="300"/>
        </w:trPr>
        <w:tc>
          <w:tcPr>
            <w:tcW w:w="6516" w:type="dxa"/>
            <w:tcBorders>
              <w:top w:val="nil"/>
              <w:left w:val="single" w:sz="4" w:space="0" w:color="auto"/>
              <w:right w:val="single" w:sz="4" w:space="0" w:color="auto"/>
            </w:tcBorders>
            <w:shd w:val="clear" w:color="auto" w:fill="auto"/>
            <w:noWrap/>
          </w:tcPr>
          <w:p w14:paraId="11AF0754" w14:textId="77777777" w:rsidR="00D215BD" w:rsidRPr="001314CA" w:rsidRDefault="00D215BD" w:rsidP="00D215BD">
            <w:pPr>
              <w:tabs>
                <w:tab w:val="clear" w:pos="567"/>
                <w:tab w:val="clear" w:pos="1134"/>
                <w:tab w:val="clear" w:pos="1701"/>
                <w:tab w:val="clear" w:pos="2268"/>
                <w:tab w:val="clear" w:pos="2835"/>
              </w:tabs>
              <w:spacing w:beforeLines="40" w:before="96"/>
              <w:rPr>
                <w:sz w:val="20"/>
                <w:u w:val="single"/>
              </w:rPr>
            </w:pPr>
            <w:r w:rsidRPr="001314CA">
              <w:rPr>
                <w:sz w:val="20"/>
                <w:szCs w:val="18"/>
              </w:rPr>
              <w:t>Produits financiers</w:t>
            </w:r>
          </w:p>
        </w:tc>
        <w:tc>
          <w:tcPr>
            <w:tcW w:w="1417" w:type="dxa"/>
            <w:tcBorders>
              <w:top w:val="nil"/>
              <w:left w:val="single" w:sz="4" w:space="0" w:color="auto"/>
              <w:right w:val="single" w:sz="4" w:space="0" w:color="auto"/>
            </w:tcBorders>
            <w:shd w:val="clear" w:color="auto" w:fill="auto"/>
            <w:noWrap/>
            <w:vAlign w:val="center"/>
          </w:tcPr>
          <w:p w14:paraId="02B8E794" w14:textId="77777777" w:rsidR="00D215BD" w:rsidRPr="001314CA" w:rsidRDefault="00D215BD" w:rsidP="00D215BD">
            <w:pPr>
              <w:jc w:val="right"/>
              <w:rPr>
                <w:rFonts w:cs="Calibri"/>
                <w:sz w:val="20"/>
              </w:rPr>
            </w:pPr>
            <w:r w:rsidRPr="001314CA">
              <w:rPr>
                <w:rFonts w:cs="Calibri"/>
                <w:sz w:val="20"/>
              </w:rPr>
              <w:t>11</w:t>
            </w:r>
          </w:p>
        </w:tc>
        <w:tc>
          <w:tcPr>
            <w:tcW w:w="1417" w:type="dxa"/>
            <w:tcBorders>
              <w:top w:val="nil"/>
              <w:left w:val="single" w:sz="4" w:space="0" w:color="auto"/>
              <w:right w:val="single" w:sz="4" w:space="0" w:color="auto"/>
            </w:tcBorders>
            <w:vAlign w:val="center"/>
          </w:tcPr>
          <w:p w14:paraId="0A98C5E0" w14:textId="77777777" w:rsidR="00D215BD" w:rsidRPr="001314CA" w:rsidRDefault="00D215BD" w:rsidP="00D215BD">
            <w:pPr>
              <w:jc w:val="right"/>
              <w:rPr>
                <w:rFonts w:cs="Calibri"/>
                <w:sz w:val="20"/>
              </w:rPr>
            </w:pPr>
            <w:r w:rsidRPr="001314CA">
              <w:rPr>
                <w:rFonts w:cs="Calibri"/>
                <w:sz w:val="20"/>
              </w:rPr>
              <w:t>–</w:t>
            </w:r>
          </w:p>
        </w:tc>
      </w:tr>
      <w:tr w:rsidR="00D215BD" w:rsidRPr="001314CA" w14:paraId="1AE61CA0" w14:textId="77777777" w:rsidTr="00D215BD">
        <w:trPr>
          <w:trHeight w:val="126"/>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71779DD7" w14:textId="77777777" w:rsidR="00D215BD" w:rsidRPr="001314CA" w:rsidRDefault="00D215BD" w:rsidP="00D215BD">
            <w:pPr>
              <w:tabs>
                <w:tab w:val="clear" w:pos="567"/>
                <w:tab w:val="clear" w:pos="1134"/>
                <w:tab w:val="clear" w:pos="1701"/>
                <w:tab w:val="clear" w:pos="2268"/>
                <w:tab w:val="clear" w:pos="2835"/>
              </w:tabs>
              <w:spacing w:before="40" w:after="40"/>
              <w:rPr>
                <w:b/>
                <w:bCs/>
                <w:sz w:val="20"/>
              </w:rPr>
            </w:pPr>
            <w:r w:rsidRPr="001314CA">
              <w:rPr>
                <w:b/>
                <w:bCs/>
                <w:sz w:val="20"/>
              </w:rPr>
              <w:t>Total des produits</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14EF23E7" w14:textId="77777777" w:rsidR="00D215BD" w:rsidRPr="001314CA" w:rsidRDefault="00D215BD" w:rsidP="00D215BD">
            <w:pPr>
              <w:spacing w:before="40" w:after="40"/>
              <w:jc w:val="right"/>
              <w:rPr>
                <w:rFonts w:cs="Calibri"/>
                <w:b/>
                <w:bCs/>
                <w:sz w:val="20"/>
              </w:rPr>
            </w:pPr>
            <w:r w:rsidRPr="001314CA">
              <w:rPr>
                <w:rFonts w:cs="Calibri"/>
                <w:b/>
                <w:bCs/>
                <w:sz w:val="20"/>
              </w:rPr>
              <w:t>10 011</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541083F" w14:textId="77777777" w:rsidR="00D215BD" w:rsidRPr="001314CA" w:rsidRDefault="00D215BD" w:rsidP="00D215BD">
            <w:pPr>
              <w:spacing w:before="40" w:after="40"/>
              <w:jc w:val="right"/>
              <w:rPr>
                <w:rFonts w:cs="Calibri"/>
                <w:b/>
                <w:bCs/>
                <w:sz w:val="20"/>
              </w:rPr>
            </w:pPr>
            <w:r w:rsidRPr="001314CA">
              <w:rPr>
                <w:rFonts w:cs="Calibri"/>
                <w:b/>
                <w:bCs/>
                <w:sz w:val="20"/>
              </w:rPr>
              <w:t>0</w:t>
            </w:r>
          </w:p>
        </w:tc>
      </w:tr>
      <w:tr w:rsidR="00D215BD" w:rsidRPr="001314CA" w14:paraId="359460B2" w14:textId="77777777" w:rsidTr="00D215BD">
        <w:trPr>
          <w:trHeight w:val="300"/>
        </w:trPr>
        <w:tc>
          <w:tcPr>
            <w:tcW w:w="6516" w:type="dxa"/>
            <w:tcBorders>
              <w:top w:val="nil"/>
              <w:left w:val="single" w:sz="4" w:space="0" w:color="auto"/>
              <w:bottom w:val="nil"/>
              <w:right w:val="single" w:sz="4" w:space="0" w:color="auto"/>
            </w:tcBorders>
            <w:shd w:val="clear" w:color="auto" w:fill="auto"/>
            <w:noWrap/>
            <w:hideMark/>
          </w:tcPr>
          <w:p w14:paraId="08E4E166" w14:textId="77777777" w:rsidR="00D215BD" w:rsidRPr="001314CA" w:rsidRDefault="00D215BD" w:rsidP="00D215BD">
            <w:pPr>
              <w:tabs>
                <w:tab w:val="clear" w:pos="567"/>
                <w:tab w:val="clear" w:pos="1134"/>
                <w:tab w:val="clear" w:pos="1701"/>
                <w:tab w:val="clear" w:pos="2268"/>
                <w:tab w:val="clear" w:pos="2835"/>
              </w:tabs>
              <w:spacing w:beforeLines="40" w:before="96"/>
              <w:rPr>
                <w:sz w:val="20"/>
                <w:u w:val="single"/>
              </w:rPr>
            </w:pPr>
            <w:r w:rsidRPr="001314CA">
              <w:rPr>
                <w:b/>
                <w:bCs/>
                <w:sz w:val="20"/>
              </w:rPr>
              <w:t>CHARGES</w:t>
            </w:r>
          </w:p>
        </w:tc>
        <w:tc>
          <w:tcPr>
            <w:tcW w:w="1417" w:type="dxa"/>
            <w:tcBorders>
              <w:top w:val="nil"/>
              <w:left w:val="single" w:sz="4" w:space="0" w:color="auto"/>
              <w:bottom w:val="nil"/>
              <w:right w:val="single" w:sz="4" w:space="0" w:color="auto"/>
            </w:tcBorders>
            <w:shd w:val="clear" w:color="auto" w:fill="auto"/>
            <w:noWrap/>
            <w:vAlign w:val="center"/>
          </w:tcPr>
          <w:p w14:paraId="4FA7AD2B" w14:textId="77777777" w:rsidR="00D215BD" w:rsidRPr="001314CA" w:rsidRDefault="00D215BD" w:rsidP="00D215BD">
            <w:pPr>
              <w:jc w:val="right"/>
              <w:rPr>
                <w:rFonts w:cs="Calibri"/>
                <w:sz w:val="20"/>
              </w:rPr>
            </w:pPr>
          </w:p>
        </w:tc>
        <w:tc>
          <w:tcPr>
            <w:tcW w:w="1417" w:type="dxa"/>
            <w:tcBorders>
              <w:top w:val="nil"/>
              <w:left w:val="single" w:sz="4" w:space="0" w:color="auto"/>
              <w:bottom w:val="nil"/>
              <w:right w:val="single" w:sz="4" w:space="0" w:color="auto"/>
            </w:tcBorders>
            <w:vAlign w:val="center"/>
          </w:tcPr>
          <w:p w14:paraId="6EAB1D6A" w14:textId="77777777" w:rsidR="00D215BD" w:rsidRPr="001314CA" w:rsidRDefault="00D215BD" w:rsidP="00D215BD">
            <w:pPr>
              <w:jc w:val="right"/>
              <w:rPr>
                <w:rFonts w:cs="Calibri"/>
                <w:sz w:val="20"/>
              </w:rPr>
            </w:pPr>
          </w:p>
        </w:tc>
      </w:tr>
      <w:tr w:rsidR="00D215BD" w:rsidRPr="001314CA" w14:paraId="293ACD0B" w14:textId="77777777" w:rsidTr="00D215BD">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184E69C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sz w:val="20"/>
                <w:lang w:eastAsia="fr-FR"/>
              </w:rPr>
              <w:t>Charges de personnel</w:t>
            </w:r>
          </w:p>
        </w:tc>
        <w:tc>
          <w:tcPr>
            <w:tcW w:w="1417" w:type="dxa"/>
            <w:tcBorders>
              <w:top w:val="nil"/>
              <w:left w:val="single" w:sz="4" w:space="0" w:color="auto"/>
              <w:bottom w:val="nil"/>
              <w:right w:val="single" w:sz="4" w:space="0" w:color="auto"/>
            </w:tcBorders>
            <w:shd w:val="clear" w:color="auto" w:fill="auto"/>
            <w:noWrap/>
            <w:vAlign w:val="center"/>
          </w:tcPr>
          <w:p w14:paraId="133DAED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w:t>
            </w:r>
          </w:p>
        </w:tc>
        <w:tc>
          <w:tcPr>
            <w:tcW w:w="1417" w:type="dxa"/>
            <w:tcBorders>
              <w:top w:val="nil"/>
              <w:left w:val="single" w:sz="4" w:space="0" w:color="auto"/>
              <w:bottom w:val="nil"/>
              <w:right w:val="single" w:sz="4" w:space="0" w:color="auto"/>
            </w:tcBorders>
            <w:vAlign w:val="center"/>
          </w:tcPr>
          <w:p w14:paraId="4069785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w:t>
            </w:r>
          </w:p>
        </w:tc>
      </w:tr>
      <w:tr w:rsidR="00D215BD" w:rsidRPr="001314CA" w14:paraId="5A321D9A" w14:textId="77777777" w:rsidTr="00D215BD">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4FD8E94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sz w:val="20"/>
                <w:lang w:eastAsia="fr-FR"/>
              </w:rPr>
              <w:t>Frais de missions</w:t>
            </w:r>
          </w:p>
        </w:tc>
        <w:tc>
          <w:tcPr>
            <w:tcW w:w="1417" w:type="dxa"/>
            <w:tcBorders>
              <w:top w:val="nil"/>
              <w:left w:val="single" w:sz="4" w:space="0" w:color="auto"/>
              <w:bottom w:val="nil"/>
              <w:right w:val="single" w:sz="4" w:space="0" w:color="auto"/>
            </w:tcBorders>
            <w:shd w:val="clear" w:color="auto" w:fill="auto"/>
            <w:noWrap/>
            <w:vAlign w:val="center"/>
          </w:tcPr>
          <w:p w14:paraId="4F79165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w:t>
            </w:r>
          </w:p>
        </w:tc>
        <w:tc>
          <w:tcPr>
            <w:tcW w:w="1417" w:type="dxa"/>
            <w:tcBorders>
              <w:top w:val="nil"/>
              <w:left w:val="single" w:sz="4" w:space="0" w:color="auto"/>
              <w:bottom w:val="nil"/>
              <w:right w:val="single" w:sz="4" w:space="0" w:color="auto"/>
            </w:tcBorders>
            <w:vAlign w:val="center"/>
          </w:tcPr>
          <w:p w14:paraId="7359E1A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w:t>
            </w:r>
          </w:p>
        </w:tc>
      </w:tr>
      <w:tr w:rsidR="00D215BD" w:rsidRPr="001314CA" w14:paraId="0FCA20F5" w14:textId="77777777" w:rsidTr="00D215BD">
        <w:trPr>
          <w:trHeight w:val="300"/>
        </w:trPr>
        <w:tc>
          <w:tcPr>
            <w:tcW w:w="6516" w:type="dxa"/>
            <w:tcBorders>
              <w:top w:val="nil"/>
              <w:left w:val="single" w:sz="4" w:space="0" w:color="auto"/>
              <w:bottom w:val="nil"/>
              <w:right w:val="single" w:sz="4" w:space="0" w:color="auto"/>
            </w:tcBorders>
            <w:shd w:val="clear" w:color="auto" w:fill="auto"/>
            <w:noWrap/>
            <w:vAlign w:val="center"/>
          </w:tcPr>
          <w:p w14:paraId="4FA692A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sz w:val="20"/>
                <w:lang w:eastAsia="fr-FR"/>
              </w:rPr>
              <w:t>Services contractuels</w:t>
            </w:r>
          </w:p>
        </w:tc>
        <w:tc>
          <w:tcPr>
            <w:tcW w:w="1417" w:type="dxa"/>
            <w:tcBorders>
              <w:top w:val="nil"/>
              <w:left w:val="single" w:sz="4" w:space="0" w:color="auto"/>
              <w:bottom w:val="nil"/>
              <w:right w:val="single" w:sz="4" w:space="0" w:color="auto"/>
            </w:tcBorders>
            <w:shd w:val="clear" w:color="auto" w:fill="auto"/>
            <w:noWrap/>
            <w:vAlign w:val="center"/>
          </w:tcPr>
          <w:p w14:paraId="44551E9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w:t>
            </w:r>
          </w:p>
        </w:tc>
        <w:tc>
          <w:tcPr>
            <w:tcW w:w="1417" w:type="dxa"/>
            <w:tcBorders>
              <w:top w:val="nil"/>
              <w:left w:val="single" w:sz="4" w:space="0" w:color="auto"/>
              <w:bottom w:val="nil"/>
              <w:right w:val="single" w:sz="4" w:space="0" w:color="auto"/>
            </w:tcBorders>
            <w:vAlign w:val="center"/>
          </w:tcPr>
          <w:p w14:paraId="1083150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5</w:t>
            </w:r>
          </w:p>
        </w:tc>
      </w:tr>
      <w:tr w:rsidR="00D215BD" w:rsidRPr="001314CA" w14:paraId="69873A49" w14:textId="77777777" w:rsidTr="00D215BD">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585F1D1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sz w:val="20"/>
                <w:lang w:eastAsia="fr-FR"/>
              </w:rPr>
              <w:t>Location et entretien des locaux et équipements</w:t>
            </w:r>
          </w:p>
        </w:tc>
        <w:tc>
          <w:tcPr>
            <w:tcW w:w="1417" w:type="dxa"/>
            <w:tcBorders>
              <w:top w:val="nil"/>
              <w:left w:val="single" w:sz="4" w:space="0" w:color="auto"/>
              <w:bottom w:val="nil"/>
              <w:right w:val="single" w:sz="4" w:space="0" w:color="auto"/>
            </w:tcBorders>
            <w:shd w:val="clear" w:color="auto" w:fill="auto"/>
            <w:noWrap/>
            <w:vAlign w:val="center"/>
          </w:tcPr>
          <w:p w14:paraId="53EAC24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w:t>
            </w:r>
          </w:p>
        </w:tc>
        <w:tc>
          <w:tcPr>
            <w:tcW w:w="1417" w:type="dxa"/>
            <w:tcBorders>
              <w:top w:val="nil"/>
              <w:left w:val="single" w:sz="4" w:space="0" w:color="auto"/>
              <w:bottom w:val="nil"/>
              <w:right w:val="single" w:sz="4" w:space="0" w:color="auto"/>
            </w:tcBorders>
            <w:vAlign w:val="center"/>
          </w:tcPr>
          <w:p w14:paraId="702C2B5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w:t>
            </w:r>
          </w:p>
        </w:tc>
      </w:tr>
      <w:tr w:rsidR="00D215BD" w:rsidRPr="001314CA" w14:paraId="15A78381" w14:textId="77777777" w:rsidTr="00D215BD">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03D3FDA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sz w:val="20"/>
                <w:lang w:eastAsia="fr-FR"/>
              </w:rPr>
              <w:t>Matériels et fournitures</w:t>
            </w:r>
          </w:p>
        </w:tc>
        <w:tc>
          <w:tcPr>
            <w:tcW w:w="1417" w:type="dxa"/>
            <w:tcBorders>
              <w:top w:val="nil"/>
              <w:left w:val="single" w:sz="4" w:space="0" w:color="auto"/>
              <w:right w:val="single" w:sz="4" w:space="0" w:color="auto"/>
            </w:tcBorders>
            <w:shd w:val="clear" w:color="auto" w:fill="auto"/>
            <w:noWrap/>
            <w:vAlign w:val="center"/>
          </w:tcPr>
          <w:p w14:paraId="76B5CDA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1</w:t>
            </w:r>
          </w:p>
        </w:tc>
        <w:tc>
          <w:tcPr>
            <w:tcW w:w="1417" w:type="dxa"/>
            <w:tcBorders>
              <w:top w:val="nil"/>
              <w:left w:val="single" w:sz="4" w:space="0" w:color="auto"/>
              <w:right w:val="single" w:sz="4" w:space="0" w:color="auto"/>
            </w:tcBorders>
            <w:vAlign w:val="center"/>
          </w:tcPr>
          <w:p w14:paraId="37A0249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3</w:t>
            </w:r>
          </w:p>
        </w:tc>
      </w:tr>
      <w:tr w:rsidR="00D215BD" w:rsidRPr="001314CA" w14:paraId="2B22662E" w14:textId="77777777" w:rsidTr="00D215BD">
        <w:trPr>
          <w:trHeight w:val="255"/>
        </w:trPr>
        <w:tc>
          <w:tcPr>
            <w:tcW w:w="6516" w:type="dxa"/>
            <w:tcBorders>
              <w:top w:val="nil"/>
              <w:left w:val="single" w:sz="4" w:space="0" w:color="auto"/>
              <w:bottom w:val="nil"/>
              <w:right w:val="single" w:sz="4" w:space="0" w:color="auto"/>
            </w:tcBorders>
            <w:shd w:val="clear" w:color="auto" w:fill="auto"/>
            <w:noWrap/>
            <w:vAlign w:val="center"/>
            <w:hideMark/>
          </w:tcPr>
          <w:p w14:paraId="566CA18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sz w:val="20"/>
                <w:lang w:eastAsia="fr-FR"/>
              </w:rPr>
              <w:t>Frais d'expédition et de télécommunication et services</w:t>
            </w:r>
          </w:p>
        </w:tc>
        <w:tc>
          <w:tcPr>
            <w:tcW w:w="1417" w:type="dxa"/>
            <w:tcBorders>
              <w:top w:val="nil"/>
              <w:left w:val="single" w:sz="4" w:space="0" w:color="auto"/>
              <w:bottom w:val="nil"/>
              <w:right w:val="single" w:sz="4" w:space="0" w:color="auto"/>
            </w:tcBorders>
            <w:shd w:val="clear" w:color="auto" w:fill="auto"/>
            <w:noWrap/>
            <w:vAlign w:val="center"/>
          </w:tcPr>
          <w:p w14:paraId="207CFA8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w:t>
            </w:r>
          </w:p>
        </w:tc>
        <w:tc>
          <w:tcPr>
            <w:tcW w:w="1417" w:type="dxa"/>
            <w:tcBorders>
              <w:top w:val="nil"/>
              <w:left w:val="single" w:sz="4" w:space="0" w:color="auto"/>
              <w:bottom w:val="nil"/>
              <w:right w:val="single" w:sz="4" w:space="0" w:color="auto"/>
            </w:tcBorders>
            <w:vAlign w:val="center"/>
          </w:tcPr>
          <w:p w14:paraId="75A3E20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w:t>
            </w:r>
          </w:p>
        </w:tc>
      </w:tr>
      <w:tr w:rsidR="00D215BD" w:rsidRPr="001314CA" w14:paraId="1497FF85" w14:textId="77777777" w:rsidTr="00D215BD">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61B6CB8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rFonts w:cs="Arial"/>
                <w:sz w:val="20"/>
                <w:lang w:eastAsia="zh-CN"/>
              </w:rPr>
              <w:t>Autres charges</w:t>
            </w:r>
          </w:p>
        </w:tc>
        <w:tc>
          <w:tcPr>
            <w:tcW w:w="1417" w:type="dxa"/>
            <w:tcBorders>
              <w:top w:val="nil"/>
              <w:left w:val="single" w:sz="4" w:space="0" w:color="auto"/>
              <w:bottom w:val="nil"/>
              <w:right w:val="single" w:sz="4" w:space="0" w:color="auto"/>
            </w:tcBorders>
            <w:shd w:val="clear" w:color="auto" w:fill="auto"/>
            <w:noWrap/>
            <w:vAlign w:val="center"/>
          </w:tcPr>
          <w:p w14:paraId="3CA9D0B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w:t>
            </w:r>
          </w:p>
        </w:tc>
        <w:tc>
          <w:tcPr>
            <w:tcW w:w="1417" w:type="dxa"/>
            <w:tcBorders>
              <w:top w:val="nil"/>
              <w:left w:val="single" w:sz="4" w:space="0" w:color="auto"/>
              <w:bottom w:val="nil"/>
              <w:right w:val="single" w:sz="4" w:space="0" w:color="auto"/>
            </w:tcBorders>
            <w:vAlign w:val="center"/>
          </w:tcPr>
          <w:p w14:paraId="59B8761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w:t>
            </w:r>
          </w:p>
        </w:tc>
      </w:tr>
      <w:tr w:rsidR="00D215BD" w:rsidRPr="001314CA" w14:paraId="07B30321" w14:textId="77777777" w:rsidTr="00D215BD">
        <w:trPr>
          <w:trHeight w:val="300"/>
        </w:trPr>
        <w:tc>
          <w:tcPr>
            <w:tcW w:w="6516" w:type="dxa"/>
            <w:tcBorders>
              <w:top w:val="nil"/>
              <w:left w:val="single" w:sz="4" w:space="0" w:color="auto"/>
              <w:right w:val="single" w:sz="4" w:space="0" w:color="auto"/>
            </w:tcBorders>
            <w:shd w:val="clear" w:color="auto" w:fill="auto"/>
            <w:noWrap/>
            <w:vAlign w:val="center"/>
            <w:hideMark/>
          </w:tcPr>
          <w:p w14:paraId="263241A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sz w:val="20"/>
                <w:lang w:eastAsia="fr-FR"/>
              </w:rPr>
              <w:t>Charges financières</w:t>
            </w:r>
          </w:p>
        </w:tc>
        <w:tc>
          <w:tcPr>
            <w:tcW w:w="1417" w:type="dxa"/>
            <w:tcBorders>
              <w:top w:val="nil"/>
              <w:left w:val="single" w:sz="4" w:space="0" w:color="auto"/>
              <w:right w:val="single" w:sz="4" w:space="0" w:color="auto"/>
            </w:tcBorders>
            <w:shd w:val="clear" w:color="auto" w:fill="auto"/>
            <w:noWrap/>
            <w:vAlign w:val="center"/>
          </w:tcPr>
          <w:p w14:paraId="710D36D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345</w:t>
            </w:r>
          </w:p>
        </w:tc>
        <w:tc>
          <w:tcPr>
            <w:tcW w:w="1417" w:type="dxa"/>
            <w:tcBorders>
              <w:top w:val="nil"/>
              <w:left w:val="single" w:sz="4" w:space="0" w:color="auto"/>
              <w:right w:val="single" w:sz="4" w:space="0" w:color="auto"/>
            </w:tcBorders>
            <w:vAlign w:val="center"/>
          </w:tcPr>
          <w:p w14:paraId="22FE0FD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0</w:t>
            </w:r>
          </w:p>
        </w:tc>
      </w:tr>
      <w:tr w:rsidR="00D215BD" w:rsidRPr="001314CA" w14:paraId="1DDBCF9B" w14:textId="77777777" w:rsidTr="00D215BD">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798BAFCC" w14:textId="77777777" w:rsidR="00D215BD" w:rsidRPr="001314CA" w:rsidRDefault="00D215BD" w:rsidP="00D215BD">
            <w:pPr>
              <w:tabs>
                <w:tab w:val="clear" w:pos="567"/>
                <w:tab w:val="clear" w:pos="1134"/>
                <w:tab w:val="clear" w:pos="1701"/>
                <w:tab w:val="clear" w:pos="2268"/>
                <w:tab w:val="clear" w:pos="2835"/>
              </w:tabs>
              <w:spacing w:before="40" w:after="40"/>
              <w:rPr>
                <w:sz w:val="20"/>
                <w:u w:val="single"/>
              </w:rPr>
            </w:pPr>
            <w:r w:rsidRPr="001314CA">
              <w:rPr>
                <w:b/>
                <w:bCs/>
                <w:sz w:val="20"/>
              </w:rPr>
              <w:t>Total des charges</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7EE428C1" w14:textId="77777777" w:rsidR="00D215BD" w:rsidRPr="001314CA" w:rsidRDefault="00D215BD" w:rsidP="00D215BD">
            <w:pPr>
              <w:spacing w:before="40" w:after="40"/>
              <w:jc w:val="right"/>
              <w:rPr>
                <w:rFonts w:cs="Calibri"/>
                <w:b/>
                <w:bCs/>
                <w:sz w:val="20"/>
              </w:rPr>
            </w:pPr>
            <w:r w:rsidRPr="001314CA">
              <w:rPr>
                <w:rFonts w:cs="Calibri"/>
                <w:b/>
                <w:bCs/>
                <w:sz w:val="20"/>
              </w:rPr>
              <w:t>346</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FC79DD" w14:textId="77777777" w:rsidR="00D215BD" w:rsidRPr="001314CA" w:rsidRDefault="00D215BD" w:rsidP="00D215BD">
            <w:pPr>
              <w:spacing w:before="40" w:after="40"/>
              <w:jc w:val="right"/>
              <w:rPr>
                <w:rFonts w:cs="Calibri"/>
                <w:b/>
                <w:bCs/>
                <w:sz w:val="20"/>
              </w:rPr>
            </w:pPr>
            <w:r w:rsidRPr="001314CA">
              <w:rPr>
                <w:rFonts w:cs="Calibri"/>
                <w:b/>
                <w:bCs/>
                <w:sz w:val="20"/>
              </w:rPr>
              <w:t>8</w:t>
            </w:r>
          </w:p>
        </w:tc>
      </w:tr>
      <w:tr w:rsidR="00D215BD" w:rsidRPr="001314CA" w14:paraId="7DBD4E96" w14:textId="77777777" w:rsidTr="00D215BD">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8294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eastAsia="zh-CN"/>
              </w:rPr>
            </w:pPr>
            <w:r w:rsidRPr="001314CA">
              <w:rPr>
                <w:b/>
                <w:bCs/>
                <w:sz w:val="20"/>
                <w:lang w:eastAsia="fr-FR"/>
              </w:rPr>
              <w:t>Excédent/déficit de la période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3621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1314CA">
              <w:rPr>
                <w:rFonts w:cs="Arial"/>
                <w:b/>
                <w:bCs/>
                <w:color w:val="000000"/>
                <w:sz w:val="20"/>
                <w:lang w:eastAsia="zh-CN"/>
              </w:rPr>
              <w:t>9 665</w:t>
            </w:r>
          </w:p>
        </w:tc>
        <w:tc>
          <w:tcPr>
            <w:tcW w:w="1417" w:type="dxa"/>
            <w:tcBorders>
              <w:top w:val="single" w:sz="4" w:space="0" w:color="auto"/>
              <w:left w:val="single" w:sz="4" w:space="0" w:color="auto"/>
              <w:bottom w:val="single" w:sz="4" w:space="0" w:color="auto"/>
              <w:right w:val="single" w:sz="4" w:space="0" w:color="auto"/>
            </w:tcBorders>
            <w:vAlign w:val="center"/>
          </w:tcPr>
          <w:p w14:paraId="1AA66D5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1314CA">
              <w:rPr>
                <w:rFonts w:cs="Arial"/>
                <w:b/>
                <w:bCs/>
                <w:color w:val="000000"/>
                <w:sz w:val="20"/>
                <w:lang w:eastAsia="zh-CN"/>
              </w:rPr>
              <w:t>–8</w:t>
            </w:r>
          </w:p>
        </w:tc>
      </w:tr>
    </w:tbl>
    <w:p w14:paraId="627CC23B" w14:textId="77777777" w:rsidR="00D215BD" w:rsidRDefault="00D215BD" w:rsidP="00D215BD">
      <w:r>
        <w:br w:type="page"/>
      </w:r>
    </w:p>
    <w:tbl>
      <w:tblPr>
        <w:tblW w:w="9350" w:type="dxa"/>
        <w:tblLook w:val="04A0" w:firstRow="1" w:lastRow="0" w:firstColumn="1" w:lastColumn="0" w:noHBand="0" w:noVBand="1"/>
        <w:tblCaption w:val="CAISSE D'ASSURANCE – Voir la Note 4"/>
      </w:tblPr>
      <w:tblGrid>
        <w:gridCol w:w="6516"/>
        <w:gridCol w:w="1417"/>
        <w:gridCol w:w="1417"/>
      </w:tblGrid>
      <w:tr w:rsidR="00D215BD" w:rsidRPr="001314CA" w14:paraId="66C89035" w14:textId="77777777" w:rsidTr="00D215BD">
        <w:trPr>
          <w:trHeight w:val="300"/>
        </w:trPr>
        <w:tc>
          <w:tcPr>
            <w:tcW w:w="6516" w:type="dxa"/>
            <w:tcBorders>
              <w:top w:val="single" w:sz="4" w:space="0" w:color="auto"/>
              <w:left w:val="single" w:sz="4" w:space="0" w:color="auto"/>
              <w:bottom w:val="single" w:sz="4" w:space="0" w:color="auto"/>
              <w:right w:val="nil"/>
            </w:tcBorders>
            <w:shd w:val="clear" w:color="auto" w:fill="auto"/>
            <w:noWrap/>
            <w:vAlign w:val="center"/>
            <w:hideMark/>
          </w:tcPr>
          <w:p w14:paraId="67344772" w14:textId="77777777" w:rsidR="00D215BD" w:rsidRPr="001314CA" w:rsidRDefault="00D215BD" w:rsidP="00D215BD">
            <w:pPr>
              <w:rPr>
                <w:rFonts w:cs="Calibri"/>
                <w:sz w:val="20"/>
              </w:rPr>
            </w:pPr>
            <w:r w:rsidRPr="001314CA">
              <w:rPr>
                <w:rFonts w:cs="Calibri"/>
                <w:sz w:val="20"/>
              </w:rPr>
              <w:lastRenderedPageBreak/>
              <w:t>(en milliers de CHF)</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A5BD79" w14:textId="77777777" w:rsidR="00D215BD" w:rsidRPr="001314CA" w:rsidRDefault="00D215BD" w:rsidP="00D215BD">
            <w:pPr>
              <w:jc w:val="center"/>
              <w:rPr>
                <w:rFonts w:cs="Calibri"/>
                <w:b/>
                <w:bCs/>
                <w:sz w:val="20"/>
              </w:rPr>
            </w:pPr>
            <w:r w:rsidRPr="001314CA">
              <w:rPr>
                <w:rFonts w:cs="Calibri"/>
                <w:b/>
                <w:bCs/>
                <w:sz w:val="20"/>
              </w:rPr>
              <w:t>31/12/2020</w:t>
            </w:r>
          </w:p>
        </w:tc>
        <w:tc>
          <w:tcPr>
            <w:tcW w:w="1417" w:type="dxa"/>
            <w:tcBorders>
              <w:top w:val="single" w:sz="4" w:space="0" w:color="auto"/>
              <w:left w:val="single" w:sz="4" w:space="0" w:color="auto"/>
              <w:bottom w:val="single" w:sz="4" w:space="0" w:color="auto"/>
              <w:right w:val="single" w:sz="4" w:space="0" w:color="auto"/>
            </w:tcBorders>
          </w:tcPr>
          <w:p w14:paraId="0062BBBA" w14:textId="77777777" w:rsidR="00D215BD" w:rsidRPr="001314CA" w:rsidRDefault="00D215BD" w:rsidP="00D215BD">
            <w:pPr>
              <w:jc w:val="center"/>
              <w:rPr>
                <w:rFonts w:cs="Calibri"/>
                <w:b/>
                <w:bCs/>
                <w:sz w:val="20"/>
              </w:rPr>
            </w:pPr>
            <w:r w:rsidRPr="001314CA">
              <w:rPr>
                <w:rFonts w:cs="Calibri"/>
                <w:b/>
                <w:bCs/>
                <w:sz w:val="20"/>
              </w:rPr>
              <w:t>31/12/2019</w:t>
            </w:r>
          </w:p>
        </w:tc>
      </w:tr>
      <w:tr w:rsidR="00D215BD" w:rsidRPr="001314CA" w14:paraId="3767BA3E" w14:textId="77777777" w:rsidTr="00D215BD">
        <w:trPr>
          <w:trHeight w:val="300"/>
        </w:trPr>
        <w:tc>
          <w:tcPr>
            <w:tcW w:w="6516" w:type="dxa"/>
            <w:tcBorders>
              <w:top w:val="nil"/>
              <w:left w:val="single" w:sz="4" w:space="0" w:color="auto"/>
              <w:right w:val="single" w:sz="4" w:space="0" w:color="auto"/>
            </w:tcBorders>
            <w:shd w:val="clear" w:color="auto" w:fill="auto"/>
            <w:noWrap/>
          </w:tcPr>
          <w:p w14:paraId="37511F97" w14:textId="77777777" w:rsidR="00D215BD" w:rsidRPr="001314CA" w:rsidRDefault="00D215BD" w:rsidP="00D215BD">
            <w:pPr>
              <w:tabs>
                <w:tab w:val="clear" w:pos="567"/>
                <w:tab w:val="clear" w:pos="1134"/>
                <w:tab w:val="clear" w:pos="1701"/>
                <w:tab w:val="clear" w:pos="2268"/>
                <w:tab w:val="clear" w:pos="2835"/>
              </w:tabs>
              <w:spacing w:beforeLines="40" w:before="96"/>
              <w:rPr>
                <w:b/>
                <w:bCs/>
                <w:sz w:val="20"/>
              </w:rPr>
            </w:pPr>
            <w:r w:rsidRPr="001314CA">
              <w:rPr>
                <w:b/>
                <w:bCs/>
                <w:sz w:val="20"/>
              </w:rPr>
              <w:t>ACTIF</w:t>
            </w:r>
          </w:p>
        </w:tc>
        <w:tc>
          <w:tcPr>
            <w:tcW w:w="1417" w:type="dxa"/>
            <w:tcBorders>
              <w:top w:val="nil"/>
              <w:left w:val="single" w:sz="4" w:space="0" w:color="auto"/>
              <w:right w:val="single" w:sz="4" w:space="0" w:color="auto"/>
            </w:tcBorders>
            <w:shd w:val="clear" w:color="auto" w:fill="auto"/>
            <w:noWrap/>
          </w:tcPr>
          <w:p w14:paraId="3E35C005" w14:textId="77777777" w:rsidR="00D215BD" w:rsidRPr="001314CA" w:rsidRDefault="00D215BD" w:rsidP="00D215BD">
            <w:pPr>
              <w:jc w:val="right"/>
              <w:rPr>
                <w:rFonts w:cs="Calibri"/>
                <w:sz w:val="20"/>
              </w:rPr>
            </w:pPr>
          </w:p>
        </w:tc>
        <w:tc>
          <w:tcPr>
            <w:tcW w:w="1417" w:type="dxa"/>
            <w:tcBorders>
              <w:top w:val="nil"/>
              <w:left w:val="single" w:sz="4" w:space="0" w:color="auto"/>
              <w:right w:val="single" w:sz="4" w:space="0" w:color="auto"/>
            </w:tcBorders>
          </w:tcPr>
          <w:p w14:paraId="2F144354" w14:textId="77777777" w:rsidR="00D215BD" w:rsidRPr="001314CA" w:rsidRDefault="00D215BD" w:rsidP="00D215BD">
            <w:pPr>
              <w:jc w:val="right"/>
              <w:rPr>
                <w:rFonts w:cs="Calibri"/>
                <w:sz w:val="20"/>
              </w:rPr>
            </w:pPr>
          </w:p>
        </w:tc>
      </w:tr>
      <w:tr w:rsidR="00D215BD" w:rsidRPr="001314CA" w14:paraId="3630736B" w14:textId="77777777" w:rsidTr="00D215BD">
        <w:trPr>
          <w:trHeight w:val="300"/>
        </w:trPr>
        <w:tc>
          <w:tcPr>
            <w:tcW w:w="6516" w:type="dxa"/>
            <w:tcBorders>
              <w:top w:val="nil"/>
              <w:left w:val="single" w:sz="4" w:space="0" w:color="auto"/>
              <w:right w:val="single" w:sz="4" w:space="0" w:color="auto"/>
            </w:tcBorders>
            <w:shd w:val="clear" w:color="auto" w:fill="auto"/>
            <w:noWrap/>
          </w:tcPr>
          <w:p w14:paraId="2160B65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b/>
                <w:bCs/>
                <w:sz w:val="20"/>
              </w:rPr>
            </w:pPr>
            <w:r w:rsidRPr="001314CA">
              <w:rPr>
                <w:b/>
                <w:bCs/>
                <w:sz w:val="20"/>
              </w:rPr>
              <w:t>Actifs courants</w:t>
            </w:r>
          </w:p>
        </w:tc>
        <w:tc>
          <w:tcPr>
            <w:tcW w:w="1417" w:type="dxa"/>
            <w:tcBorders>
              <w:top w:val="nil"/>
              <w:left w:val="single" w:sz="4" w:space="0" w:color="auto"/>
              <w:right w:val="single" w:sz="4" w:space="0" w:color="auto"/>
            </w:tcBorders>
            <w:shd w:val="clear" w:color="auto" w:fill="auto"/>
            <w:noWrap/>
            <w:vAlign w:val="center"/>
          </w:tcPr>
          <w:p w14:paraId="1640DF76" w14:textId="77777777" w:rsidR="00D215BD" w:rsidRPr="001314CA" w:rsidRDefault="00D215BD" w:rsidP="00D215BD">
            <w:pPr>
              <w:spacing w:before="0"/>
              <w:jc w:val="right"/>
              <w:rPr>
                <w:rFonts w:cs="Calibri"/>
                <w:sz w:val="20"/>
              </w:rPr>
            </w:pPr>
          </w:p>
        </w:tc>
        <w:tc>
          <w:tcPr>
            <w:tcW w:w="1417" w:type="dxa"/>
            <w:tcBorders>
              <w:top w:val="nil"/>
              <w:left w:val="single" w:sz="4" w:space="0" w:color="auto"/>
              <w:right w:val="single" w:sz="4" w:space="0" w:color="auto"/>
            </w:tcBorders>
            <w:vAlign w:val="center"/>
          </w:tcPr>
          <w:p w14:paraId="51C964E5" w14:textId="77777777" w:rsidR="00D215BD" w:rsidRPr="001314CA" w:rsidRDefault="00D215BD" w:rsidP="00D215BD">
            <w:pPr>
              <w:spacing w:before="0"/>
              <w:jc w:val="right"/>
              <w:rPr>
                <w:rFonts w:cs="Calibri"/>
                <w:sz w:val="20"/>
              </w:rPr>
            </w:pPr>
          </w:p>
        </w:tc>
      </w:tr>
      <w:tr w:rsidR="00D215BD" w:rsidRPr="001314CA" w14:paraId="02AB95C8" w14:textId="77777777" w:rsidTr="00D215BD">
        <w:trPr>
          <w:trHeight w:val="300"/>
        </w:trPr>
        <w:tc>
          <w:tcPr>
            <w:tcW w:w="6516" w:type="dxa"/>
            <w:tcBorders>
              <w:top w:val="nil"/>
              <w:left w:val="single" w:sz="4" w:space="0" w:color="auto"/>
              <w:right w:val="single" w:sz="4" w:space="0" w:color="auto"/>
            </w:tcBorders>
            <w:shd w:val="clear" w:color="auto" w:fill="auto"/>
            <w:noWrap/>
          </w:tcPr>
          <w:p w14:paraId="7BC89B9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sz w:val="20"/>
              </w:rPr>
              <w:t>Trésorerie et équivalents de trésorerie</w:t>
            </w:r>
          </w:p>
        </w:tc>
        <w:tc>
          <w:tcPr>
            <w:tcW w:w="1417" w:type="dxa"/>
            <w:tcBorders>
              <w:top w:val="nil"/>
              <w:left w:val="single" w:sz="4" w:space="0" w:color="auto"/>
              <w:right w:val="single" w:sz="4" w:space="0" w:color="auto"/>
            </w:tcBorders>
            <w:shd w:val="clear" w:color="auto" w:fill="auto"/>
            <w:noWrap/>
            <w:vAlign w:val="center"/>
          </w:tcPr>
          <w:p w14:paraId="5A07151A" w14:textId="77777777" w:rsidR="00D215BD" w:rsidRPr="001314CA" w:rsidRDefault="00D215BD" w:rsidP="00D215BD">
            <w:pPr>
              <w:spacing w:before="0"/>
              <w:jc w:val="right"/>
              <w:rPr>
                <w:rFonts w:cs="Calibri"/>
                <w:sz w:val="20"/>
              </w:rPr>
            </w:pPr>
            <w:r w:rsidRPr="001314CA">
              <w:rPr>
                <w:rFonts w:cs="Calibri"/>
                <w:sz w:val="20"/>
              </w:rPr>
              <w:t>15 005</w:t>
            </w:r>
          </w:p>
        </w:tc>
        <w:tc>
          <w:tcPr>
            <w:tcW w:w="1417" w:type="dxa"/>
            <w:tcBorders>
              <w:top w:val="nil"/>
              <w:left w:val="single" w:sz="4" w:space="0" w:color="auto"/>
              <w:right w:val="single" w:sz="4" w:space="0" w:color="auto"/>
            </w:tcBorders>
            <w:vAlign w:val="center"/>
          </w:tcPr>
          <w:p w14:paraId="5CC1677A" w14:textId="77777777" w:rsidR="00D215BD" w:rsidRPr="001314CA" w:rsidRDefault="00D215BD" w:rsidP="00D215BD">
            <w:pPr>
              <w:spacing w:before="0"/>
              <w:jc w:val="right"/>
              <w:rPr>
                <w:rFonts w:cs="Calibri"/>
                <w:sz w:val="20"/>
              </w:rPr>
            </w:pPr>
            <w:r w:rsidRPr="001314CA">
              <w:rPr>
                <w:rFonts w:cs="Calibri"/>
                <w:sz w:val="20"/>
              </w:rPr>
              <w:t>9 046</w:t>
            </w:r>
          </w:p>
        </w:tc>
      </w:tr>
      <w:tr w:rsidR="00D215BD" w:rsidRPr="001314CA" w14:paraId="6380E7E3" w14:textId="77777777" w:rsidTr="00D215BD">
        <w:trPr>
          <w:trHeight w:val="300"/>
        </w:trPr>
        <w:tc>
          <w:tcPr>
            <w:tcW w:w="6516" w:type="dxa"/>
            <w:tcBorders>
              <w:left w:val="single" w:sz="4" w:space="0" w:color="auto"/>
              <w:right w:val="single" w:sz="4" w:space="0" w:color="auto"/>
            </w:tcBorders>
            <w:shd w:val="clear" w:color="auto" w:fill="auto"/>
            <w:noWrap/>
          </w:tcPr>
          <w:p w14:paraId="0B9DC0B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rFonts w:cs="Arial"/>
                <w:sz w:val="20"/>
                <w:lang w:eastAsia="zh-CN"/>
              </w:rPr>
              <w:t>Placements</w:t>
            </w:r>
          </w:p>
        </w:tc>
        <w:tc>
          <w:tcPr>
            <w:tcW w:w="1417" w:type="dxa"/>
            <w:tcBorders>
              <w:left w:val="single" w:sz="4" w:space="0" w:color="auto"/>
              <w:right w:val="single" w:sz="4" w:space="0" w:color="auto"/>
            </w:tcBorders>
            <w:shd w:val="clear" w:color="auto" w:fill="auto"/>
            <w:noWrap/>
            <w:vAlign w:val="center"/>
          </w:tcPr>
          <w:p w14:paraId="3DF6387F" w14:textId="77777777" w:rsidR="00D215BD" w:rsidRPr="001314CA" w:rsidRDefault="00D215BD" w:rsidP="00D215BD">
            <w:pPr>
              <w:spacing w:before="0"/>
              <w:jc w:val="right"/>
              <w:rPr>
                <w:rFonts w:cs="Calibri"/>
                <w:sz w:val="20"/>
              </w:rPr>
            </w:pPr>
            <w:r w:rsidRPr="001314CA">
              <w:rPr>
                <w:rFonts w:cs="Calibri"/>
                <w:sz w:val="20"/>
              </w:rPr>
              <w:t>4 530</w:t>
            </w:r>
          </w:p>
        </w:tc>
        <w:tc>
          <w:tcPr>
            <w:tcW w:w="1417" w:type="dxa"/>
            <w:tcBorders>
              <w:left w:val="single" w:sz="4" w:space="0" w:color="auto"/>
              <w:right w:val="single" w:sz="4" w:space="0" w:color="auto"/>
            </w:tcBorders>
            <w:vAlign w:val="center"/>
          </w:tcPr>
          <w:p w14:paraId="29E223B7" w14:textId="77777777" w:rsidR="00D215BD" w:rsidRPr="001314CA" w:rsidRDefault="00D215BD" w:rsidP="00D215BD">
            <w:pPr>
              <w:spacing w:before="0"/>
              <w:jc w:val="right"/>
              <w:rPr>
                <w:rFonts w:cs="Calibri"/>
                <w:sz w:val="20"/>
              </w:rPr>
            </w:pPr>
          </w:p>
        </w:tc>
      </w:tr>
      <w:tr w:rsidR="00D215BD" w:rsidRPr="001314CA" w14:paraId="5E1E811C" w14:textId="77777777" w:rsidTr="00D215BD">
        <w:trPr>
          <w:trHeight w:val="300"/>
        </w:trPr>
        <w:tc>
          <w:tcPr>
            <w:tcW w:w="6516" w:type="dxa"/>
            <w:tcBorders>
              <w:left w:val="single" w:sz="4" w:space="0" w:color="auto"/>
              <w:right w:val="single" w:sz="4" w:space="0" w:color="auto"/>
            </w:tcBorders>
            <w:shd w:val="clear" w:color="auto" w:fill="auto"/>
            <w:noWrap/>
          </w:tcPr>
          <w:p w14:paraId="634CE97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rFonts w:cs="Calibri"/>
                <w:color w:val="000000"/>
                <w:sz w:val="20"/>
                <w:lang w:eastAsia="en-GB"/>
              </w:rPr>
              <w:t>Créances sans contrepartie directe</w:t>
            </w:r>
          </w:p>
        </w:tc>
        <w:tc>
          <w:tcPr>
            <w:tcW w:w="1417" w:type="dxa"/>
            <w:tcBorders>
              <w:left w:val="single" w:sz="4" w:space="0" w:color="auto"/>
              <w:right w:val="single" w:sz="4" w:space="0" w:color="auto"/>
            </w:tcBorders>
            <w:shd w:val="clear" w:color="auto" w:fill="auto"/>
            <w:noWrap/>
            <w:vAlign w:val="center"/>
          </w:tcPr>
          <w:p w14:paraId="18A4AF88" w14:textId="77777777" w:rsidR="00D215BD" w:rsidRPr="001314CA" w:rsidRDefault="00D215BD" w:rsidP="00D215BD">
            <w:pPr>
              <w:spacing w:before="0"/>
              <w:jc w:val="right"/>
              <w:rPr>
                <w:rFonts w:cs="Calibri"/>
                <w:sz w:val="20"/>
              </w:rPr>
            </w:pPr>
            <w:r w:rsidRPr="001314CA">
              <w:rPr>
                <w:rFonts w:cs="Calibri"/>
                <w:sz w:val="20"/>
              </w:rPr>
              <w:t>2 000</w:t>
            </w:r>
          </w:p>
        </w:tc>
        <w:tc>
          <w:tcPr>
            <w:tcW w:w="1417" w:type="dxa"/>
            <w:tcBorders>
              <w:left w:val="single" w:sz="4" w:space="0" w:color="auto"/>
              <w:right w:val="single" w:sz="4" w:space="0" w:color="auto"/>
            </w:tcBorders>
            <w:vAlign w:val="center"/>
          </w:tcPr>
          <w:p w14:paraId="00EEA437" w14:textId="77777777" w:rsidR="00D215BD" w:rsidRPr="001314CA" w:rsidRDefault="00D215BD" w:rsidP="00D215BD">
            <w:pPr>
              <w:spacing w:before="0"/>
              <w:jc w:val="right"/>
              <w:rPr>
                <w:rFonts w:cs="Calibri"/>
                <w:sz w:val="20"/>
              </w:rPr>
            </w:pPr>
            <w:r w:rsidRPr="001314CA">
              <w:rPr>
                <w:rFonts w:cs="Calibri"/>
                <w:sz w:val="20"/>
              </w:rPr>
              <w:t>5 000</w:t>
            </w:r>
          </w:p>
        </w:tc>
      </w:tr>
      <w:tr w:rsidR="00D215BD" w:rsidRPr="001314CA" w14:paraId="07B5D417" w14:textId="77777777" w:rsidTr="00D215BD">
        <w:trPr>
          <w:trHeight w:val="300"/>
        </w:trPr>
        <w:tc>
          <w:tcPr>
            <w:tcW w:w="6516" w:type="dxa"/>
            <w:tcBorders>
              <w:left w:val="single" w:sz="4" w:space="0" w:color="auto"/>
              <w:right w:val="single" w:sz="4" w:space="0" w:color="auto"/>
            </w:tcBorders>
            <w:shd w:val="clear" w:color="auto" w:fill="auto"/>
            <w:noWrap/>
          </w:tcPr>
          <w:p w14:paraId="534BF2A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rFonts w:cs="Calibri"/>
                <w:color w:val="000000"/>
                <w:sz w:val="20"/>
                <w:lang w:eastAsia="en-GB"/>
              </w:rPr>
              <w:t>Stocks</w:t>
            </w:r>
          </w:p>
        </w:tc>
        <w:tc>
          <w:tcPr>
            <w:tcW w:w="1417" w:type="dxa"/>
            <w:tcBorders>
              <w:left w:val="single" w:sz="4" w:space="0" w:color="auto"/>
              <w:right w:val="single" w:sz="4" w:space="0" w:color="auto"/>
            </w:tcBorders>
            <w:shd w:val="clear" w:color="auto" w:fill="auto"/>
            <w:noWrap/>
            <w:vAlign w:val="center"/>
          </w:tcPr>
          <w:p w14:paraId="23A9C48B" w14:textId="77777777" w:rsidR="00D215BD" w:rsidRPr="001314CA" w:rsidRDefault="00D215BD" w:rsidP="00D215BD">
            <w:pPr>
              <w:spacing w:before="0"/>
              <w:jc w:val="right"/>
              <w:rPr>
                <w:rFonts w:cs="Calibri"/>
                <w:sz w:val="20"/>
              </w:rPr>
            </w:pPr>
            <w:r w:rsidRPr="001314CA">
              <w:rPr>
                <w:rFonts w:cs="Arial"/>
                <w:color w:val="000000"/>
                <w:sz w:val="20"/>
                <w:lang w:eastAsia="zh-CN"/>
              </w:rPr>
              <w:t>–</w:t>
            </w:r>
          </w:p>
        </w:tc>
        <w:tc>
          <w:tcPr>
            <w:tcW w:w="1417" w:type="dxa"/>
            <w:tcBorders>
              <w:left w:val="single" w:sz="4" w:space="0" w:color="auto"/>
              <w:right w:val="single" w:sz="4" w:space="0" w:color="auto"/>
            </w:tcBorders>
            <w:vAlign w:val="center"/>
          </w:tcPr>
          <w:p w14:paraId="42E5DF57" w14:textId="77777777" w:rsidR="00D215BD" w:rsidRPr="001314CA" w:rsidRDefault="00D215BD" w:rsidP="00D215BD">
            <w:pPr>
              <w:spacing w:before="0"/>
              <w:jc w:val="right"/>
              <w:rPr>
                <w:rFonts w:cs="Calibri"/>
                <w:sz w:val="20"/>
              </w:rPr>
            </w:pPr>
            <w:r w:rsidRPr="001314CA">
              <w:rPr>
                <w:rFonts w:cs="Arial"/>
                <w:color w:val="000000"/>
                <w:sz w:val="20"/>
                <w:lang w:eastAsia="zh-CN"/>
              </w:rPr>
              <w:t>–</w:t>
            </w:r>
          </w:p>
        </w:tc>
      </w:tr>
      <w:tr w:rsidR="00D215BD" w:rsidRPr="001314CA" w14:paraId="7ADF325C" w14:textId="77777777" w:rsidTr="00D215BD">
        <w:trPr>
          <w:trHeight w:val="300"/>
        </w:trPr>
        <w:tc>
          <w:tcPr>
            <w:tcW w:w="6516" w:type="dxa"/>
            <w:tcBorders>
              <w:left w:val="single" w:sz="4" w:space="0" w:color="auto"/>
              <w:right w:val="single" w:sz="4" w:space="0" w:color="auto"/>
            </w:tcBorders>
            <w:shd w:val="clear" w:color="auto" w:fill="auto"/>
            <w:noWrap/>
          </w:tcPr>
          <w:p w14:paraId="659634C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rFonts w:cs="Calibri"/>
                <w:color w:val="000000"/>
                <w:sz w:val="20"/>
                <w:lang w:eastAsia="en-GB"/>
              </w:rPr>
              <w:t>Autres créances</w:t>
            </w:r>
          </w:p>
        </w:tc>
        <w:tc>
          <w:tcPr>
            <w:tcW w:w="1417" w:type="dxa"/>
            <w:tcBorders>
              <w:left w:val="single" w:sz="4" w:space="0" w:color="auto"/>
              <w:right w:val="single" w:sz="4" w:space="0" w:color="auto"/>
            </w:tcBorders>
            <w:shd w:val="clear" w:color="auto" w:fill="auto"/>
            <w:noWrap/>
            <w:vAlign w:val="center"/>
          </w:tcPr>
          <w:p w14:paraId="4E734F2B" w14:textId="77777777" w:rsidR="00D215BD" w:rsidRPr="001314CA" w:rsidRDefault="00D215BD" w:rsidP="00D215BD">
            <w:pPr>
              <w:spacing w:before="0"/>
              <w:jc w:val="right"/>
              <w:rPr>
                <w:rFonts w:cs="Calibri"/>
                <w:sz w:val="20"/>
              </w:rPr>
            </w:pPr>
            <w:r w:rsidRPr="001314CA">
              <w:rPr>
                <w:rFonts w:cs="Calibri"/>
                <w:sz w:val="20"/>
              </w:rPr>
              <w:t>2 022</w:t>
            </w:r>
          </w:p>
        </w:tc>
        <w:tc>
          <w:tcPr>
            <w:tcW w:w="1417" w:type="dxa"/>
            <w:tcBorders>
              <w:left w:val="single" w:sz="4" w:space="0" w:color="auto"/>
              <w:right w:val="single" w:sz="4" w:space="0" w:color="auto"/>
            </w:tcBorders>
            <w:vAlign w:val="center"/>
          </w:tcPr>
          <w:p w14:paraId="38B10A26" w14:textId="77777777" w:rsidR="00D215BD" w:rsidRPr="001314CA" w:rsidRDefault="00D215BD" w:rsidP="00D215BD">
            <w:pPr>
              <w:spacing w:before="0"/>
              <w:jc w:val="right"/>
              <w:rPr>
                <w:rFonts w:cs="Calibri"/>
                <w:sz w:val="20"/>
              </w:rPr>
            </w:pPr>
            <w:r w:rsidRPr="001314CA">
              <w:rPr>
                <w:rFonts w:cs="Calibri"/>
                <w:sz w:val="20"/>
              </w:rPr>
              <w:t>1 430</w:t>
            </w:r>
          </w:p>
        </w:tc>
      </w:tr>
      <w:tr w:rsidR="00D215BD" w:rsidRPr="001314CA" w14:paraId="4AE15F8B" w14:textId="77777777" w:rsidTr="00D215BD">
        <w:trPr>
          <w:trHeight w:val="300"/>
        </w:trPr>
        <w:tc>
          <w:tcPr>
            <w:tcW w:w="6516" w:type="dxa"/>
            <w:tcBorders>
              <w:left w:val="single" w:sz="4" w:space="0" w:color="auto"/>
              <w:right w:val="single" w:sz="4" w:space="0" w:color="auto"/>
            </w:tcBorders>
            <w:shd w:val="clear" w:color="auto" w:fill="auto"/>
            <w:noWrap/>
          </w:tcPr>
          <w:p w14:paraId="5F9BFC77" w14:textId="77777777" w:rsidR="00D215BD" w:rsidRPr="001314CA" w:rsidRDefault="00D215BD" w:rsidP="00D215BD">
            <w:pPr>
              <w:tabs>
                <w:tab w:val="clear" w:pos="567"/>
                <w:tab w:val="clear" w:pos="1134"/>
                <w:tab w:val="clear" w:pos="1701"/>
                <w:tab w:val="clear" w:pos="2268"/>
                <w:tab w:val="clear" w:pos="2835"/>
              </w:tabs>
              <w:spacing w:before="0"/>
              <w:rPr>
                <w:b/>
                <w:bCs/>
                <w:sz w:val="20"/>
              </w:rPr>
            </w:pPr>
            <w:r w:rsidRPr="001314CA">
              <w:rPr>
                <w:b/>
                <w:bCs/>
                <w:sz w:val="20"/>
              </w:rPr>
              <w:t>Total Actifs courants</w:t>
            </w:r>
          </w:p>
        </w:tc>
        <w:tc>
          <w:tcPr>
            <w:tcW w:w="1417" w:type="dxa"/>
            <w:tcBorders>
              <w:left w:val="single" w:sz="4" w:space="0" w:color="auto"/>
              <w:right w:val="single" w:sz="4" w:space="0" w:color="auto"/>
            </w:tcBorders>
            <w:shd w:val="clear" w:color="auto" w:fill="auto"/>
            <w:noWrap/>
            <w:vAlign w:val="center"/>
          </w:tcPr>
          <w:p w14:paraId="7E31439C" w14:textId="77777777" w:rsidR="00D215BD" w:rsidRPr="001314CA" w:rsidRDefault="00D215BD" w:rsidP="00D215BD">
            <w:pPr>
              <w:spacing w:before="0"/>
              <w:jc w:val="right"/>
              <w:rPr>
                <w:rFonts w:cs="Calibri"/>
                <w:b/>
                <w:bCs/>
                <w:sz w:val="20"/>
              </w:rPr>
            </w:pPr>
            <w:r w:rsidRPr="001314CA">
              <w:rPr>
                <w:rFonts w:cs="Calibri"/>
                <w:b/>
                <w:bCs/>
                <w:sz w:val="20"/>
              </w:rPr>
              <w:t>23 556</w:t>
            </w:r>
          </w:p>
        </w:tc>
        <w:tc>
          <w:tcPr>
            <w:tcW w:w="1417" w:type="dxa"/>
            <w:tcBorders>
              <w:left w:val="single" w:sz="4" w:space="0" w:color="auto"/>
              <w:right w:val="single" w:sz="4" w:space="0" w:color="auto"/>
            </w:tcBorders>
            <w:vAlign w:val="center"/>
          </w:tcPr>
          <w:p w14:paraId="42FBA478" w14:textId="77777777" w:rsidR="00D215BD" w:rsidRPr="001314CA" w:rsidRDefault="00D215BD" w:rsidP="00D215BD">
            <w:pPr>
              <w:spacing w:before="0"/>
              <w:jc w:val="right"/>
              <w:rPr>
                <w:rFonts w:cs="Calibri"/>
                <w:b/>
                <w:bCs/>
                <w:sz w:val="20"/>
              </w:rPr>
            </w:pPr>
            <w:r w:rsidRPr="001314CA">
              <w:rPr>
                <w:rFonts w:cs="Calibri"/>
                <w:b/>
                <w:bCs/>
                <w:sz w:val="20"/>
              </w:rPr>
              <w:t>15 476</w:t>
            </w:r>
          </w:p>
        </w:tc>
      </w:tr>
      <w:tr w:rsidR="00D215BD" w:rsidRPr="001314CA" w14:paraId="5637FE9C" w14:textId="77777777" w:rsidTr="00D215BD">
        <w:trPr>
          <w:trHeight w:val="300"/>
        </w:trPr>
        <w:tc>
          <w:tcPr>
            <w:tcW w:w="6516" w:type="dxa"/>
            <w:tcBorders>
              <w:left w:val="single" w:sz="4" w:space="0" w:color="auto"/>
              <w:right w:val="single" w:sz="4" w:space="0" w:color="auto"/>
            </w:tcBorders>
            <w:shd w:val="clear" w:color="auto" w:fill="auto"/>
            <w:noWrap/>
          </w:tcPr>
          <w:p w14:paraId="431B2A11" w14:textId="77777777" w:rsidR="00D215BD" w:rsidRPr="001314CA" w:rsidRDefault="00D215BD" w:rsidP="00D215BD">
            <w:pPr>
              <w:tabs>
                <w:tab w:val="clear" w:pos="567"/>
                <w:tab w:val="clear" w:pos="1134"/>
                <w:tab w:val="clear" w:pos="1701"/>
                <w:tab w:val="clear" w:pos="2268"/>
                <w:tab w:val="clear" w:pos="2835"/>
              </w:tabs>
              <w:spacing w:before="0"/>
              <w:rPr>
                <w:b/>
                <w:bCs/>
                <w:sz w:val="20"/>
              </w:rPr>
            </w:pPr>
          </w:p>
        </w:tc>
        <w:tc>
          <w:tcPr>
            <w:tcW w:w="1417" w:type="dxa"/>
            <w:tcBorders>
              <w:left w:val="single" w:sz="4" w:space="0" w:color="auto"/>
              <w:right w:val="single" w:sz="4" w:space="0" w:color="auto"/>
            </w:tcBorders>
            <w:shd w:val="clear" w:color="auto" w:fill="auto"/>
            <w:noWrap/>
            <w:vAlign w:val="center"/>
          </w:tcPr>
          <w:p w14:paraId="0429AE76" w14:textId="77777777" w:rsidR="00D215BD" w:rsidRPr="001314CA" w:rsidRDefault="00D215BD" w:rsidP="00D215BD">
            <w:pPr>
              <w:spacing w:before="0"/>
              <w:jc w:val="right"/>
              <w:rPr>
                <w:rFonts w:cs="Calibri"/>
                <w:b/>
                <w:bCs/>
                <w:sz w:val="20"/>
              </w:rPr>
            </w:pPr>
          </w:p>
        </w:tc>
        <w:tc>
          <w:tcPr>
            <w:tcW w:w="1417" w:type="dxa"/>
            <w:tcBorders>
              <w:left w:val="single" w:sz="4" w:space="0" w:color="auto"/>
              <w:right w:val="single" w:sz="4" w:space="0" w:color="auto"/>
            </w:tcBorders>
            <w:vAlign w:val="center"/>
          </w:tcPr>
          <w:p w14:paraId="4E16A801" w14:textId="77777777" w:rsidR="00D215BD" w:rsidRPr="001314CA" w:rsidRDefault="00D215BD" w:rsidP="00D215BD">
            <w:pPr>
              <w:spacing w:before="0"/>
              <w:jc w:val="right"/>
              <w:rPr>
                <w:rFonts w:cs="Calibri"/>
                <w:b/>
                <w:bCs/>
                <w:sz w:val="20"/>
              </w:rPr>
            </w:pPr>
          </w:p>
        </w:tc>
      </w:tr>
      <w:tr w:rsidR="00D215BD" w:rsidRPr="001314CA" w14:paraId="3F743DEB" w14:textId="77777777" w:rsidTr="00D215BD">
        <w:trPr>
          <w:trHeight w:val="300"/>
        </w:trPr>
        <w:tc>
          <w:tcPr>
            <w:tcW w:w="6516" w:type="dxa"/>
            <w:tcBorders>
              <w:left w:val="single" w:sz="4" w:space="0" w:color="auto"/>
              <w:right w:val="single" w:sz="4" w:space="0" w:color="auto"/>
            </w:tcBorders>
            <w:shd w:val="clear" w:color="auto" w:fill="auto"/>
            <w:noWrap/>
          </w:tcPr>
          <w:p w14:paraId="3D2F951E" w14:textId="77777777" w:rsidR="00D215BD" w:rsidRPr="001314CA" w:rsidRDefault="00D215BD" w:rsidP="00D215BD">
            <w:pPr>
              <w:tabs>
                <w:tab w:val="clear" w:pos="567"/>
                <w:tab w:val="clear" w:pos="1134"/>
                <w:tab w:val="clear" w:pos="1701"/>
                <w:tab w:val="clear" w:pos="2268"/>
                <w:tab w:val="clear" w:pos="2835"/>
              </w:tabs>
              <w:spacing w:before="0"/>
              <w:rPr>
                <w:sz w:val="20"/>
              </w:rPr>
            </w:pPr>
            <w:r w:rsidRPr="001314CA">
              <w:rPr>
                <w:b/>
                <w:bCs/>
                <w:sz w:val="20"/>
              </w:rPr>
              <w:t>Actifs non courants</w:t>
            </w:r>
          </w:p>
        </w:tc>
        <w:tc>
          <w:tcPr>
            <w:tcW w:w="1417" w:type="dxa"/>
            <w:tcBorders>
              <w:left w:val="single" w:sz="4" w:space="0" w:color="auto"/>
              <w:right w:val="single" w:sz="4" w:space="0" w:color="auto"/>
            </w:tcBorders>
            <w:shd w:val="clear" w:color="auto" w:fill="auto"/>
            <w:noWrap/>
            <w:vAlign w:val="center"/>
          </w:tcPr>
          <w:p w14:paraId="65786FB2" w14:textId="77777777" w:rsidR="00D215BD" w:rsidRPr="001314CA" w:rsidRDefault="00D215BD" w:rsidP="00D215BD">
            <w:pPr>
              <w:spacing w:before="0"/>
              <w:jc w:val="right"/>
              <w:rPr>
                <w:rFonts w:cs="Calibri"/>
                <w:sz w:val="20"/>
              </w:rPr>
            </w:pPr>
          </w:p>
        </w:tc>
        <w:tc>
          <w:tcPr>
            <w:tcW w:w="1417" w:type="dxa"/>
            <w:tcBorders>
              <w:left w:val="single" w:sz="4" w:space="0" w:color="auto"/>
              <w:right w:val="single" w:sz="4" w:space="0" w:color="auto"/>
            </w:tcBorders>
            <w:vAlign w:val="center"/>
          </w:tcPr>
          <w:p w14:paraId="5861EAA9" w14:textId="77777777" w:rsidR="00D215BD" w:rsidRPr="001314CA" w:rsidRDefault="00D215BD" w:rsidP="00D215BD">
            <w:pPr>
              <w:spacing w:before="0"/>
              <w:jc w:val="right"/>
              <w:rPr>
                <w:rFonts w:cs="Calibri"/>
                <w:sz w:val="20"/>
              </w:rPr>
            </w:pPr>
          </w:p>
        </w:tc>
      </w:tr>
      <w:tr w:rsidR="00D215BD" w:rsidRPr="001314CA" w14:paraId="65D4E701" w14:textId="77777777" w:rsidTr="00D215BD">
        <w:trPr>
          <w:trHeight w:val="300"/>
        </w:trPr>
        <w:tc>
          <w:tcPr>
            <w:tcW w:w="6516" w:type="dxa"/>
            <w:tcBorders>
              <w:left w:val="single" w:sz="4" w:space="0" w:color="auto"/>
              <w:right w:val="single" w:sz="4" w:space="0" w:color="auto"/>
            </w:tcBorders>
            <w:shd w:val="clear" w:color="auto" w:fill="auto"/>
            <w:noWrap/>
          </w:tcPr>
          <w:p w14:paraId="6978491E" w14:textId="77777777" w:rsidR="00D215BD" w:rsidRPr="001314CA" w:rsidRDefault="00D215BD" w:rsidP="00D215BD">
            <w:pPr>
              <w:tabs>
                <w:tab w:val="clear" w:pos="567"/>
                <w:tab w:val="clear" w:pos="1134"/>
                <w:tab w:val="clear" w:pos="1701"/>
                <w:tab w:val="clear" w:pos="2268"/>
                <w:tab w:val="clear" w:pos="2835"/>
              </w:tabs>
              <w:spacing w:before="0"/>
              <w:rPr>
                <w:sz w:val="20"/>
              </w:rPr>
            </w:pPr>
            <w:r w:rsidRPr="001314CA">
              <w:rPr>
                <w:sz w:val="20"/>
              </w:rPr>
              <w:t>Immobilisations corporelles</w:t>
            </w:r>
          </w:p>
        </w:tc>
        <w:tc>
          <w:tcPr>
            <w:tcW w:w="1417" w:type="dxa"/>
            <w:tcBorders>
              <w:left w:val="single" w:sz="4" w:space="0" w:color="auto"/>
              <w:right w:val="single" w:sz="4" w:space="0" w:color="auto"/>
            </w:tcBorders>
            <w:shd w:val="clear" w:color="auto" w:fill="auto"/>
            <w:noWrap/>
            <w:vAlign w:val="center"/>
          </w:tcPr>
          <w:p w14:paraId="469A018E" w14:textId="77777777" w:rsidR="00D215BD" w:rsidRPr="001314CA" w:rsidRDefault="00D215BD" w:rsidP="00D215BD">
            <w:pPr>
              <w:spacing w:before="0"/>
              <w:jc w:val="right"/>
              <w:rPr>
                <w:rFonts w:cs="Calibri"/>
                <w:sz w:val="20"/>
              </w:rPr>
            </w:pPr>
          </w:p>
        </w:tc>
        <w:tc>
          <w:tcPr>
            <w:tcW w:w="1417" w:type="dxa"/>
            <w:tcBorders>
              <w:left w:val="single" w:sz="4" w:space="0" w:color="auto"/>
              <w:right w:val="single" w:sz="4" w:space="0" w:color="auto"/>
            </w:tcBorders>
            <w:vAlign w:val="center"/>
          </w:tcPr>
          <w:p w14:paraId="1D3A6F84" w14:textId="77777777" w:rsidR="00D215BD" w:rsidRPr="001314CA" w:rsidRDefault="00D215BD" w:rsidP="00D215BD">
            <w:pPr>
              <w:spacing w:before="0"/>
              <w:jc w:val="right"/>
              <w:rPr>
                <w:rFonts w:cs="Calibri"/>
                <w:sz w:val="20"/>
              </w:rPr>
            </w:pPr>
          </w:p>
        </w:tc>
      </w:tr>
      <w:tr w:rsidR="00D215BD" w:rsidRPr="001314CA" w14:paraId="34F30989" w14:textId="77777777" w:rsidTr="00D215BD">
        <w:trPr>
          <w:trHeight w:val="300"/>
        </w:trPr>
        <w:tc>
          <w:tcPr>
            <w:tcW w:w="6516" w:type="dxa"/>
            <w:tcBorders>
              <w:left w:val="single" w:sz="4" w:space="0" w:color="auto"/>
              <w:right w:val="single" w:sz="4" w:space="0" w:color="auto"/>
            </w:tcBorders>
            <w:shd w:val="clear" w:color="auto" w:fill="auto"/>
            <w:noWrap/>
          </w:tcPr>
          <w:p w14:paraId="33AEF937" w14:textId="77777777" w:rsidR="00D215BD" w:rsidRPr="001314CA" w:rsidRDefault="00D215BD" w:rsidP="00D215BD">
            <w:pPr>
              <w:tabs>
                <w:tab w:val="clear" w:pos="567"/>
                <w:tab w:val="clear" w:pos="1134"/>
                <w:tab w:val="clear" w:pos="1701"/>
                <w:tab w:val="clear" w:pos="2268"/>
                <w:tab w:val="clear" w:pos="2835"/>
              </w:tabs>
              <w:spacing w:before="0"/>
              <w:rPr>
                <w:sz w:val="20"/>
              </w:rPr>
            </w:pPr>
            <w:r w:rsidRPr="001314CA">
              <w:rPr>
                <w:sz w:val="20"/>
              </w:rPr>
              <w:t>Immobilisations incorporelles</w:t>
            </w:r>
          </w:p>
        </w:tc>
        <w:tc>
          <w:tcPr>
            <w:tcW w:w="1417" w:type="dxa"/>
            <w:tcBorders>
              <w:left w:val="single" w:sz="4" w:space="0" w:color="auto"/>
              <w:right w:val="single" w:sz="4" w:space="0" w:color="auto"/>
            </w:tcBorders>
            <w:shd w:val="clear" w:color="auto" w:fill="auto"/>
            <w:noWrap/>
            <w:vAlign w:val="center"/>
          </w:tcPr>
          <w:p w14:paraId="5A9B8361" w14:textId="77777777" w:rsidR="00D215BD" w:rsidRPr="001314CA" w:rsidRDefault="00D215BD" w:rsidP="00D215BD">
            <w:pPr>
              <w:spacing w:before="0"/>
              <w:jc w:val="right"/>
              <w:rPr>
                <w:rFonts w:cs="Calibri"/>
                <w:sz w:val="20"/>
              </w:rPr>
            </w:pPr>
          </w:p>
        </w:tc>
        <w:tc>
          <w:tcPr>
            <w:tcW w:w="1417" w:type="dxa"/>
            <w:tcBorders>
              <w:left w:val="single" w:sz="4" w:space="0" w:color="auto"/>
              <w:right w:val="single" w:sz="4" w:space="0" w:color="auto"/>
            </w:tcBorders>
            <w:vAlign w:val="center"/>
          </w:tcPr>
          <w:p w14:paraId="1B0BF642" w14:textId="77777777" w:rsidR="00D215BD" w:rsidRPr="001314CA" w:rsidRDefault="00D215BD" w:rsidP="00D215BD">
            <w:pPr>
              <w:spacing w:before="0"/>
              <w:jc w:val="right"/>
              <w:rPr>
                <w:rFonts w:cs="Calibri"/>
                <w:sz w:val="20"/>
              </w:rPr>
            </w:pPr>
          </w:p>
        </w:tc>
      </w:tr>
      <w:tr w:rsidR="00D215BD" w:rsidRPr="001314CA" w14:paraId="5451D54A" w14:textId="77777777" w:rsidTr="00D215BD">
        <w:trPr>
          <w:trHeight w:val="300"/>
        </w:trPr>
        <w:tc>
          <w:tcPr>
            <w:tcW w:w="6516" w:type="dxa"/>
            <w:tcBorders>
              <w:left w:val="single" w:sz="4" w:space="0" w:color="auto"/>
              <w:right w:val="single" w:sz="4" w:space="0" w:color="auto"/>
            </w:tcBorders>
            <w:shd w:val="clear" w:color="auto" w:fill="auto"/>
            <w:noWrap/>
          </w:tcPr>
          <w:p w14:paraId="6AC19227" w14:textId="77777777" w:rsidR="00D215BD" w:rsidRPr="001314CA" w:rsidRDefault="00D215BD" w:rsidP="00D215BD">
            <w:pPr>
              <w:tabs>
                <w:tab w:val="clear" w:pos="567"/>
                <w:tab w:val="clear" w:pos="1134"/>
                <w:tab w:val="clear" w:pos="1701"/>
                <w:tab w:val="clear" w:pos="2268"/>
                <w:tab w:val="clear" w:pos="2835"/>
              </w:tabs>
              <w:spacing w:before="0"/>
              <w:rPr>
                <w:sz w:val="20"/>
              </w:rPr>
            </w:pPr>
            <w:r w:rsidRPr="001314CA">
              <w:rPr>
                <w:sz w:val="20"/>
              </w:rPr>
              <w:t>Biens en construction</w:t>
            </w:r>
          </w:p>
        </w:tc>
        <w:tc>
          <w:tcPr>
            <w:tcW w:w="1417" w:type="dxa"/>
            <w:tcBorders>
              <w:left w:val="single" w:sz="4" w:space="0" w:color="auto"/>
              <w:right w:val="single" w:sz="4" w:space="0" w:color="auto"/>
            </w:tcBorders>
            <w:shd w:val="clear" w:color="auto" w:fill="auto"/>
            <w:noWrap/>
            <w:vAlign w:val="center"/>
          </w:tcPr>
          <w:p w14:paraId="1F10C3A7" w14:textId="77777777" w:rsidR="00D215BD" w:rsidRPr="001314CA" w:rsidRDefault="00D215BD" w:rsidP="00D215BD">
            <w:pPr>
              <w:spacing w:before="0"/>
              <w:jc w:val="right"/>
              <w:rPr>
                <w:rFonts w:cs="Calibri"/>
                <w:sz w:val="20"/>
              </w:rPr>
            </w:pPr>
            <w:r w:rsidRPr="001314CA">
              <w:rPr>
                <w:rFonts w:cs="Calibri"/>
                <w:sz w:val="20"/>
              </w:rPr>
              <w:t>8 176</w:t>
            </w:r>
          </w:p>
        </w:tc>
        <w:tc>
          <w:tcPr>
            <w:tcW w:w="1417" w:type="dxa"/>
            <w:tcBorders>
              <w:left w:val="single" w:sz="4" w:space="0" w:color="auto"/>
              <w:right w:val="single" w:sz="4" w:space="0" w:color="auto"/>
            </w:tcBorders>
            <w:vAlign w:val="center"/>
          </w:tcPr>
          <w:p w14:paraId="612E9D35" w14:textId="77777777" w:rsidR="00D215BD" w:rsidRPr="001314CA" w:rsidRDefault="00D215BD" w:rsidP="00D215BD">
            <w:pPr>
              <w:spacing w:before="0"/>
              <w:jc w:val="right"/>
              <w:rPr>
                <w:rFonts w:cs="Calibri"/>
                <w:sz w:val="20"/>
              </w:rPr>
            </w:pPr>
            <w:r w:rsidRPr="001314CA">
              <w:rPr>
                <w:rFonts w:cs="Calibri"/>
                <w:sz w:val="20"/>
              </w:rPr>
              <w:t>3 948</w:t>
            </w:r>
          </w:p>
        </w:tc>
      </w:tr>
      <w:tr w:rsidR="00D215BD" w:rsidRPr="001314CA" w14:paraId="1C859433" w14:textId="77777777" w:rsidTr="00D215BD">
        <w:trPr>
          <w:trHeight w:val="300"/>
        </w:trPr>
        <w:tc>
          <w:tcPr>
            <w:tcW w:w="6516" w:type="dxa"/>
            <w:tcBorders>
              <w:left w:val="single" w:sz="4" w:space="0" w:color="auto"/>
              <w:right w:val="single" w:sz="4" w:space="0" w:color="auto"/>
            </w:tcBorders>
            <w:shd w:val="clear" w:color="auto" w:fill="auto"/>
            <w:noWrap/>
          </w:tcPr>
          <w:p w14:paraId="62706C52" w14:textId="77777777" w:rsidR="00D215BD" w:rsidRPr="001314CA" w:rsidRDefault="00D215BD" w:rsidP="00D215BD">
            <w:pPr>
              <w:tabs>
                <w:tab w:val="clear" w:pos="567"/>
                <w:tab w:val="clear" w:pos="1134"/>
                <w:tab w:val="clear" w:pos="1701"/>
                <w:tab w:val="clear" w:pos="2268"/>
                <w:tab w:val="clear" w:pos="2835"/>
              </w:tabs>
              <w:spacing w:before="0"/>
              <w:rPr>
                <w:b/>
                <w:bCs/>
                <w:sz w:val="20"/>
              </w:rPr>
            </w:pPr>
            <w:r w:rsidRPr="001314CA">
              <w:rPr>
                <w:b/>
                <w:bCs/>
                <w:sz w:val="20"/>
              </w:rPr>
              <w:t>Total Actifs non courants</w:t>
            </w:r>
          </w:p>
        </w:tc>
        <w:tc>
          <w:tcPr>
            <w:tcW w:w="1417" w:type="dxa"/>
            <w:tcBorders>
              <w:left w:val="single" w:sz="4" w:space="0" w:color="auto"/>
              <w:right w:val="single" w:sz="4" w:space="0" w:color="auto"/>
            </w:tcBorders>
            <w:shd w:val="clear" w:color="auto" w:fill="auto"/>
            <w:noWrap/>
            <w:vAlign w:val="center"/>
          </w:tcPr>
          <w:p w14:paraId="0DF869F9" w14:textId="77777777" w:rsidR="00D215BD" w:rsidRPr="001314CA" w:rsidRDefault="00D215BD" w:rsidP="00D215BD">
            <w:pPr>
              <w:spacing w:before="0"/>
              <w:jc w:val="right"/>
              <w:rPr>
                <w:rFonts w:cs="Calibri"/>
                <w:b/>
                <w:bCs/>
                <w:sz w:val="20"/>
              </w:rPr>
            </w:pPr>
            <w:r w:rsidRPr="001314CA">
              <w:rPr>
                <w:rFonts w:cs="Calibri"/>
                <w:b/>
                <w:bCs/>
                <w:sz w:val="20"/>
              </w:rPr>
              <w:t>8 176</w:t>
            </w:r>
          </w:p>
        </w:tc>
        <w:tc>
          <w:tcPr>
            <w:tcW w:w="1417" w:type="dxa"/>
            <w:tcBorders>
              <w:left w:val="single" w:sz="4" w:space="0" w:color="auto"/>
              <w:right w:val="single" w:sz="4" w:space="0" w:color="auto"/>
            </w:tcBorders>
            <w:vAlign w:val="center"/>
          </w:tcPr>
          <w:p w14:paraId="0E062351" w14:textId="77777777" w:rsidR="00D215BD" w:rsidRPr="001314CA" w:rsidRDefault="00D215BD" w:rsidP="00D215BD">
            <w:pPr>
              <w:spacing w:before="0"/>
              <w:jc w:val="right"/>
              <w:rPr>
                <w:rFonts w:cs="Calibri"/>
                <w:b/>
                <w:bCs/>
                <w:sz w:val="20"/>
              </w:rPr>
            </w:pPr>
            <w:r w:rsidRPr="001314CA">
              <w:rPr>
                <w:rFonts w:cs="Calibri"/>
                <w:b/>
                <w:bCs/>
                <w:sz w:val="20"/>
              </w:rPr>
              <w:t>3 948</w:t>
            </w:r>
          </w:p>
        </w:tc>
      </w:tr>
      <w:tr w:rsidR="00D215BD" w:rsidRPr="001314CA" w14:paraId="2A9BC449" w14:textId="77777777" w:rsidTr="00D215BD">
        <w:trPr>
          <w:trHeight w:val="300"/>
        </w:trPr>
        <w:tc>
          <w:tcPr>
            <w:tcW w:w="6516" w:type="dxa"/>
            <w:tcBorders>
              <w:left w:val="single" w:sz="4" w:space="0" w:color="auto"/>
              <w:right w:val="single" w:sz="4" w:space="0" w:color="auto"/>
            </w:tcBorders>
            <w:shd w:val="clear" w:color="auto" w:fill="auto"/>
            <w:noWrap/>
          </w:tcPr>
          <w:p w14:paraId="4B931DBA" w14:textId="77777777" w:rsidR="00D215BD" w:rsidRPr="001314CA" w:rsidRDefault="00D215BD" w:rsidP="00D215BD">
            <w:pPr>
              <w:tabs>
                <w:tab w:val="clear" w:pos="567"/>
                <w:tab w:val="clear" w:pos="1134"/>
                <w:tab w:val="clear" w:pos="1701"/>
                <w:tab w:val="clear" w:pos="2268"/>
                <w:tab w:val="clear" w:pos="2835"/>
              </w:tabs>
              <w:spacing w:before="0"/>
              <w:rPr>
                <w:b/>
                <w:bCs/>
                <w:sz w:val="20"/>
              </w:rPr>
            </w:pPr>
          </w:p>
        </w:tc>
        <w:tc>
          <w:tcPr>
            <w:tcW w:w="1417" w:type="dxa"/>
            <w:tcBorders>
              <w:left w:val="single" w:sz="4" w:space="0" w:color="auto"/>
              <w:right w:val="single" w:sz="4" w:space="0" w:color="auto"/>
            </w:tcBorders>
            <w:shd w:val="clear" w:color="auto" w:fill="auto"/>
            <w:noWrap/>
            <w:vAlign w:val="center"/>
          </w:tcPr>
          <w:p w14:paraId="65E8410F" w14:textId="77777777" w:rsidR="00D215BD" w:rsidRPr="001314CA" w:rsidRDefault="00D215BD" w:rsidP="00D215BD">
            <w:pPr>
              <w:spacing w:before="0"/>
              <w:jc w:val="right"/>
              <w:rPr>
                <w:rFonts w:cs="Calibri"/>
                <w:b/>
                <w:bCs/>
                <w:sz w:val="20"/>
              </w:rPr>
            </w:pPr>
          </w:p>
        </w:tc>
        <w:tc>
          <w:tcPr>
            <w:tcW w:w="1417" w:type="dxa"/>
            <w:tcBorders>
              <w:left w:val="single" w:sz="4" w:space="0" w:color="auto"/>
              <w:right w:val="single" w:sz="4" w:space="0" w:color="auto"/>
            </w:tcBorders>
            <w:vAlign w:val="center"/>
          </w:tcPr>
          <w:p w14:paraId="1A14CA26" w14:textId="77777777" w:rsidR="00D215BD" w:rsidRPr="001314CA" w:rsidRDefault="00D215BD" w:rsidP="00D215BD">
            <w:pPr>
              <w:spacing w:before="0"/>
              <w:jc w:val="right"/>
              <w:rPr>
                <w:rFonts w:cs="Calibri"/>
                <w:b/>
                <w:bCs/>
                <w:sz w:val="20"/>
              </w:rPr>
            </w:pPr>
          </w:p>
        </w:tc>
      </w:tr>
      <w:tr w:rsidR="00D215BD" w:rsidRPr="001314CA" w14:paraId="5A8E51B8" w14:textId="77777777" w:rsidTr="00D215BD">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34C5EC01" w14:textId="77777777" w:rsidR="00D215BD" w:rsidRPr="001314CA" w:rsidRDefault="00D215BD" w:rsidP="00D215BD">
            <w:pPr>
              <w:tabs>
                <w:tab w:val="clear" w:pos="567"/>
                <w:tab w:val="clear" w:pos="1134"/>
                <w:tab w:val="clear" w:pos="1701"/>
                <w:tab w:val="clear" w:pos="2268"/>
                <w:tab w:val="clear" w:pos="2835"/>
              </w:tabs>
              <w:spacing w:beforeLines="40" w:before="96"/>
              <w:rPr>
                <w:b/>
                <w:bCs/>
                <w:sz w:val="20"/>
              </w:rPr>
            </w:pPr>
            <w:r w:rsidRPr="001314CA">
              <w:rPr>
                <w:b/>
                <w:bCs/>
                <w:sz w:val="20"/>
              </w:rPr>
              <w:t>TOTAL DE L'ACTIF</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27FBA0C8" w14:textId="77777777" w:rsidR="00D215BD" w:rsidRPr="001314CA" w:rsidRDefault="00D215BD" w:rsidP="00D215BD">
            <w:pPr>
              <w:jc w:val="right"/>
              <w:rPr>
                <w:rFonts w:cs="Calibri"/>
                <w:b/>
                <w:bCs/>
                <w:sz w:val="20"/>
              </w:rPr>
            </w:pPr>
            <w:r w:rsidRPr="001314CA">
              <w:rPr>
                <w:rFonts w:cs="Calibri"/>
                <w:b/>
                <w:bCs/>
                <w:sz w:val="20"/>
              </w:rPr>
              <w:t>31 732</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53D7E4" w14:textId="77777777" w:rsidR="00D215BD" w:rsidRPr="001314CA" w:rsidRDefault="00D215BD" w:rsidP="00D215BD">
            <w:pPr>
              <w:jc w:val="right"/>
              <w:rPr>
                <w:rFonts w:cs="Calibri"/>
                <w:b/>
                <w:bCs/>
                <w:sz w:val="20"/>
              </w:rPr>
            </w:pPr>
            <w:r w:rsidRPr="001314CA">
              <w:rPr>
                <w:rFonts w:cs="Calibri"/>
                <w:b/>
                <w:bCs/>
                <w:sz w:val="20"/>
              </w:rPr>
              <w:t>19 424</w:t>
            </w:r>
          </w:p>
        </w:tc>
      </w:tr>
      <w:tr w:rsidR="00D215BD" w:rsidRPr="001314CA" w14:paraId="5EF840FE" w14:textId="77777777" w:rsidTr="00D215BD">
        <w:trPr>
          <w:trHeight w:val="300"/>
        </w:trPr>
        <w:tc>
          <w:tcPr>
            <w:tcW w:w="6516" w:type="dxa"/>
            <w:tcBorders>
              <w:top w:val="nil"/>
              <w:left w:val="single" w:sz="4" w:space="0" w:color="auto"/>
              <w:bottom w:val="nil"/>
              <w:right w:val="single" w:sz="4" w:space="0" w:color="auto"/>
            </w:tcBorders>
            <w:shd w:val="clear" w:color="auto" w:fill="auto"/>
            <w:noWrap/>
            <w:hideMark/>
          </w:tcPr>
          <w:p w14:paraId="20E1DE7B" w14:textId="77777777" w:rsidR="00D215BD" w:rsidRPr="001314CA" w:rsidRDefault="00D215BD" w:rsidP="00D215BD">
            <w:pPr>
              <w:tabs>
                <w:tab w:val="clear" w:pos="567"/>
                <w:tab w:val="clear" w:pos="1134"/>
                <w:tab w:val="clear" w:pos="1701"/>
                <w:tab w:val="clear" w:pos="2268"/>
                <w:tab w:val="clear" w:pos="2835"/>
              </w:tabs>
              <w:spacing w:beforeLines="40" w:before="96"/>
              <w:rPr>
                <w:sz w:val="20"/>
                <w:u w:val="single"/>
              </w:rPr>
            </w:pPr>
            <w:r w:rsidRPr="001314CA">
              <w:rPr>
                <w:b/>
                <w:bCs/>
                <w:sz w:val="20"/>
              </w:rPr>
              <w:t>PASSIF</w:t>
            </w:r>
          </w:p>
        </w:tc>
        <w:tc>
          <w:tcPr>
            <w:tcW w:w="1417" w:type="dxa"/>
            <w:tcBorders>
              <w:top w:val="nil"/>
              <w:left w:val="single" w:sz="4" w:space="0" w:color="auto"/>
              <w:bottom w:val="nil"/>
              <w:right w:val="single" w:sz="4" w:space="0" w:color="auto"/>
            </w:tcBorders>
            <w:shd w:val="clear" w:color="auto" w:fill="auto"/>
            <w:noWrap/>
            <w:vAlign w:val="center"/>
          </w:tcPr>
          <w:p w14:paraId="1420D7F9" w14:textId="77777777" w:rsidR="00D215BD" w:rsidRPr="001314CA" w:rsidRDefault="00D215BD" w:rsidP="00D215BD">
            <w:pPr>
              <w:jc w:val="right"/>
              <w:rPr>
                <w:rFonts w:cs="Calibri"/>
                <w:sz w:val="20"/>
              </w:rPr>
            </w:pPr>
          </w:p>
        </w:tc>
        <w:tc>
          <w:tcPr>
            <w:tcW w:w="1417" w:type="dxa"/>
            <w:tcBorders>
              <w:top w:val="nil"/>
              <w:left w:val="single" w:sz="4" w:space="0" w:color="auto"/>
              <w:bottom w:val="nil"/>
              <w:right w:val="single" w:sz="4" w:space="0" w:color="auto"/>
            </w:tcBorders>
            <w:vAlign w:val="center"/>
          </w:tcPr>
          <w:p w14:paraId="4B0A2347" w14:textId="77777777" w:rsidR="00D215BD" w:rsidRPr="001314CA" w:rsidRDefault="00D215BD" w:rsidP="00D215BD">
            <w:pPr>
              <w:jc w:val="right"/>
              <w:rPr>
                <w:rFonts w:cs="Calibri"/>
                <w:sz w:val="20"/>
              </w:rPr>
            </w:pPr>
          </w:p>
        </w:tc>
      </w:tr>
      <w:tr w:rsidR="00D215BD" w:rsidRPr="001314CA" w14:paraId="61150494" w14:textId="77777777" w:rsidTr="00D215BD">
        <w:trPr>
          <w:trHeight w:val="300"/>
        </w:trPr>
        <w:tc>
          <w:tcPr>
            <w:tcW w:w="6516" w:type="dxa"/>
            <w:tcBorders>
              <w:top w:val="nil"/>
              <w:left w:val="single" w:sz="4" w:space="0" w:color="auto"/>
              <w:bottom w:val="nil"/>
              <w:right w:val="single" w:sz="4" w:space="0" w:color="auto"/>
            </w:tcBorders>
            <w:shd w:val="clear" w:color="auto" w:fill="auto"/>
            <w:noWrap/>
          </w:tcPr>
          <w:p w14:paraId="74E2472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sz w:val="20"/>
              </w:rPr>
            </w:pPr>
            <w:r w:rsidRPr="001314CA">
              <w:rPr>
                <w:b/>
                <w:sz w:val="20"/>
              </w:rPr>
              <w:t>Passifs courants</w:t>
            </w:r>
          </w:p>
        </w:tc>
        <w:tc>
          <w:tcPr>
            <w:tcW w:w="1417" w:type="dxa"/>
            <w:tcBorders>
              <w:top w:val="nil"/>
              <w:left w:val="single" w:sz="4" w:space="0" w:color="auto"/>
              <w:bottom w:val="nil"/>
              <w:right w:val="single" w:sz="4" w:space="0" w:color="auto"/>
            </w:tcBorders>
            <w:shd w:val="clear" w:color="auto" w:fill="auto"/>
            <w:noWrap/>
            <w:vAlign w:val="center"/>
          </w:tcPr>
          <w:p w14:paraId="27D1BA0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c>
          <w:tcPr>
            <w:tcW w:w="1417" w:type="dxa"/>
            <w:tcBorders>
              <w:top w:val="nil"/>
              <w:left w:val="single" w:sz="4" w:space="0" w:color="auto"/>
              <w:bottom w:val="nil"/>
              <w:right w:val="single" w:sz="4" w:space="0" w:color="auto"/>
            </w:tcBorders>
            <w:vAlign w:val="center"/>
          </w:tcPr>
          <w:p w14:paraId="33DA845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r>
      <w:tr w:rsidR="00D215BD" w:rsidRPr="001314CA" w14:paraId="438B30C3" w14:textId="77777777" w:rsidTr="00D215BD">
        <w:trPr>
          <w:trHeight w:val="300"/>
        </w:trPr>
        <w:tc>
          <w:tcPr>
            <w:tcW w:w="6516" w:type="dxa"/>
            <w:tcBorders>
              <w:top w:val="nil"/>
              <w:left w:val="single" w:sz="4" w:space="0" w:color="auto"/>
              <w:bottom w:val="nil"/>
              <w:right w:val="single" w:sz="4" w:space="0" w:color="auto"/>
            </w:tcBorders>
            <w:shd w:val="clear" w:color="auto" w:fill="auto"/>
            <w:noWrap/>
            <w:hideMark/>
          </w:tcPr>
          <w:p w14:paraId="7E5D9A5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sz w:val="20"/>
              </w:rPr>
              <w:t>Fournisseurs et autres créanciers</w:t>
            </w:r>
          </w:p>
        </w:tc>
        <w:tc>
          <w:tcPr>
            <w:tcW w:w="1417" w:type="dxa"/>
            <w:tcBorders>
              <w:top w:val="nil"/>
              <w:left w:val="single" w:sz="4" w:space="0" w:color="auto"/>
              <w:bottom w:val="nil"/>
              <w:right w:val="single" w:sz="4" w:space="0" w:color="auto"/>
            </w:tcBorders>
            <w:shd w:val="clear" w:color="auto" w:fill="auto"/>
            <w:noWrap/>
            <w:vAlign w:val="center"/>
          </w:tcPr>
          <w:p w14:paraId="67F645F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66</w:t>
            </w:r>
          </w:p>
        </w:tc>
        <w:tc>
          <w:tcPr>
            <w:tcW w:w="1417" w:type="dxa"/>
            <w:tcBorders>
              <w:top w:val="nil"/>
              <w:left w:val="single" w:sz="4" w:space="0" w:color="auto"/>
              <w:bottom w:val="nil"/>
              <w:right w:val="single" w:sz="4" w:space="0" w:color="auto"/>
            </w:tcBorders>
            <w:vAlign w:val="center"/>
          </w:tcPr>
          <w:p w14:paraId="6DE69FB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87</w:t>
            </w:r>
          </w:p>
        </w:tc>
      </w:tr>
      <w:tr w:rsidR="00D215BD" w:rsidRPr="001314CA" w14:paraId="6EF3B8FF" w14:textId="77777777" w:rsidTr="00D215BD">
        <w:trPr>
          <w:trHeight w:val="300"/>
        </w:trPr>
        <w:tc>
          <w:tcPr>
            <w:tcW w:w="6516" w:type="dxa"/>
            <w:tcBorders>
              <w:top w:val="nil"/>
              <w:left w:val="single" w:sz="4" w:space="0" w:color="auto"/>
              <w:bottom w:val="nil"/>
              <w:right w:val="single" w:sz="4" w:space="0" w:color="auto"/>
            </w:tcBorders>
            <w:shd w:val="clear" w:color="auto" w:fill="auto"/>
            <w:noWrap/>
          </w:tcPr>
          <w:p w14:paraId="4DDA82A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sz w:val="20"/>
              </w:rPr>
            </w:pPr>
            <w:r w:rsidRPr="001314CA">
              <w:rPr>
                <w:rFonts w:cs="Calibri"/>
                <w:color w:val="000000"/>
                <w:sz w:val="20"/>
                <w:lang w:eastAsia="en-GB"/>
              </w:rPr>
              <w:t>Produits différés</w:t>
            </w:r>
          </w:p>
        </w:tc>
        <w:tc>
          <w:tcPr>
            <w:tcW w:w="1417" w:type="dxa"/>
            <w:tcBorders>
              <w:top w:val="nil"/>
              <w:left w:val="single" w:sz="4" w:space="0" w:color="auto"/>
              <w:bottom w:val="nil"/>
              <w:right w:val="single" w:sz="4" w:space="0" w:color="auto"/>
            </w:tcBorders>
            <w:shd w:val="clear" w:color="auto" w:fill="auto"/>
            <w:noWrap/>
            <w:vAlign w:val="center"/>
          </w:tcPr>
          <w:p w14:paraId="52D41EE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2 000</w:t>
            </w:r>
          </w:p>
        </w:tc>
        <w:tc>
          <w:tcPr>
            <w:tcW w:w="1417" w:type="dxa"/>
            <w:tcBorders>
              <w:top w:val="nil"/>
              <w:left w:val="single" w:sz="4" w:space="0" w:color="auto"/>
              <w:bottom w:val="nil"/>
              <w:right w:val="single" w:sz="4" w:space="0" w:color="auto"/>
            </w:tcBorders>
            <w:vAlign w:val="center"/>
          </w:tcPr>
          <w:p w14:paraId="2EB19D7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5 000</w:t>
            </w:r>
          </w:p>
        </w:tc>
      </w:tr>
      <w:tr w:rsidR="00D215BD" w:rsidRPr="001314CA" w14:paraId="4E770192" w14:textId="77777777" w:rsidTr="00D215BD">
        <w:trPr>
          <w:trHeight w:val="300"/>
        </w:trPr>
        <w:tc>
          <w:tcPr>
            <w:tcW w:w="6516" w:type="dxa"/>
            <w:tcBorders>
              <w:top w:val="nil"/>
              <w:left w:val="single" w:sz="4" w:space="0" w:color="auto"/>
              <w:bottom w:val="nil"/>
              <w:right w:val="single" w:sz="4" w:space="0" w:color="auto"/>
            </w:tcBorders>
            <w:shd w:val="clear" w:color="auto" w:fill="auto"/>
            <w:noWrap/>
          </w:tcPr>
          <w:p w14:paraId="170D00C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sz w:val="20"/>
              </w:rPr>
            </w:pPr>
            <w:r w:rsidRPr="001314CA">
              <w:rPr>
                <w:rFonts w:cs="Calibri"/>
                <w:color w:val="000000"/>
                <w:sz w:val="20"/>
                <w:lang w:eastAsia="en-GB"/>
              </w:rPr>
              <w:t>Autres dettes</w:t>
            </w:r>
          </w:p>
        </w:tc>
        <w:tc>
          <w:tcPr>
            <w:tcW w:w="1417" w:type="dxa"/>
            <w:tcBorders>
              <w:top w:val="nil"/>
              <w:left w:val="single" w:sz="4" w:space="0" w:color="auto"/>
              <w:bottom w:val="nil"/>
              <w:right w:val="single" w:sz="4" w:space="0" w:color="auto"/>
            </w:tcBorders>
            <w:shd w:val="clear" w:color="auto" w:fill="auto"/>
            <w:noWrap/>
            <w:vAlign w:val="center"/>
          </w:tcPr>
          <w:p w14:paraId="68E2B82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6</w:t>
            </w:r>
          </w:p>
        </w:tc>
        <w:tc>
          <w:tcPr>
            <w:tcW w:w="1417" w:type="dxa"/>
            <w:tcBorders>
              <w:top w:val="nil"/>
              <w:left w:val="single" w:sz="4" w:space="0" w:color="auto"/>
              <w:bottom w:val="nil"/>
              <w:right w:val="single" w:sz="4" w:space="0" w:color="auto"/>
            </w:tcBorders>
            <w:vAlign w:val="center"/>
          </w:tcPr>
          <w:p w14:paraId="5CC00B1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r>
      <w:tr w:rsidR="00D215BD" w:rsidRPr="001314CA" w14:paraId="7BA880A6" w14:textId="77777777" w:rsidTr="00D215BD">
        <w:trPr>
          <w:trHeight w:val="300"/>
        </w:trPr>
        <w:tc>
          <w:tcPr>
            <w:tcW w:w="6516" w:type="dxa"/>
            <w:tcBorders>
              <w:top w:val="nil"/>
              <w:left w:val="single" w:sz="4" w:space="0" w:color="auto"/>
              <w:bottom w:val="nil"/>
              <w:right w:val="single" w:sz="4" w:space="0" w:color="auto"/>
            </w:tcBorders>
            <w:shd w:val="clear" w:color="auto" w:fill="auto"/>
            <w:noWrap/>
          </w:tcPr>
          <w:p w14:paraId="4684140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b/>
                <w:bCs/>
                <w:sz w:val="20"/>
              </w:rPr>
            </w:pPr>
            <w:r w:rsidRPr="001314CA">
              <w:rPr>
                <w:b/>
                <w:bCs/>
                <w:sz w:val="20"/>
              </w:rPr>
              <w:t>Total Passifs courants</w:t>
            </w:r>
          </w:p>
        </w:tc>
        <w:tc>
          <w:tcPr>
            <w:tcW w:w="1417" w:type="dxa"/>
            <w:tcBorders>
              <w:top w:val="nil"/>
              <w:left w:val="single" w:sz="4" w:space="0" w:color="auto"/>
              <w:bottom w:val="nil"/>
              <w:right w:val="single" w:sz="4" w:space="0" w:color="auto"/>
            </w:tcBorders>
            <w:shd w:val="clear" w:color="auto" w:fill="auto"/>
            <w:noWrap/>
            <w:vAlign w:val="center"/>
          </w:tcPr>
          <w:p w14:paraId="54024B0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1314CA">
              <w:rPr>
                <w:rFonts w:cs="Arial"/>
                <w:b/>
                <w:bCs/>
                <w:color w:val="000000"/>
                <w:sz w:val="20"/>
                <w:lang w:eastAsia="zh-CN"/>
              </w:rPr>
              <w:t>2 071</w:t>
            </w:r>
          </w:p>
        </w:tc>
        <w:tc>
          <w:tcPr>
            <w:tcW w:w="1417" w:type="dxa"/>
            <w:tcBorders>
              <w:top w:val="nil"/>
              <w:left w:val="single" w:sz="4" w:space="0" w:color="auto"/>
              <w:bottom w:val="nil"/>
              <w:right w:val="single" w:sz="4" w:space="0" w:color="auto"/>
            </w:tcBorders>
            <w:vAlign w:val="center"/>
          </w:tcPr>
          <w:p w14:paraId="7704511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1314CA">
              <w:rPr>
                <w:rFonts w:cs="Arial"/>
                <w:b/>
                <w:bCs/>
                <w:color w:val="000000"/>
                <w:sz w:val="20"/>
                <w:lang w:eastAsia="zh-CN"/>
              </w:rPr>
              <w:t>5 087</w:t>
            </w:r>
          </w:p>
        </w:tc>
      </w:tr>
      <w:tr w:rsidR="00D215BD" w:rsidRPr="001314CA" w14:paraId="5D17D8E0" w14:textId="77777777" w:rsidTr="00D215BD">
        <w:trPr>
          <w:trHeight w:val="300"/>
        </w:trPr>
        <w:tc>
          <w:tcPr>
            <w:tcW w:w="6516" w:type="dxa"/>
            <w:tcBorders>
              <w:top w:val="nil"/>
              <w:left w:val="single" w:sz="4" w:space="0" w:color="auto"/>
              <w:bottom w:val="nil"/>
              <w:right w:val="single" w:sz="4" w:space="0" w:color="auto"/>
            </w:tcBorders>
            <w:shd w:val="clear" w:color="auto" w:fill="auto"/>
            <w:noWrap/>
          </w:tcPr>
          <w:p w14:paraId="0A5C6CA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b/>
                <w:bCs/>
                <w:sz w:val="20"/>
              </w:rPr>
            </w:pPr>
          </w:p>
        </w:tc>
        <w:tc>
          <w:tcPr>
            <w:tcW w:w="1417" w:type="dxa"/>
            <w:tcBorders>
              <w:top w:val="nil"/>
              <w:left w:val="single" w:sz="4" w:space="0" w:color="auto"/>
              <w:bottom w:val="nil"/>
              <w:right w:val="single" w:sz="4" w:space="0" w:color="auto"/>
            </w:tcBorders>
            <w:shd w:val="clear" w:color="auto" w:fill="auto"/>
            <w:noWrap/>
            <w:vAlign w:val="center"/>
          </w:tcPr>
          <w:p w14:paraId="16C0D80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p>
        </w:tc>
        <w:tc>
          <w:tcPr>
            <w:tcW w:w="1417" w:type="dxa"/>
            <w:tcBorders>
              <w:top w:val="nil"/>
              <w:left w:val="single" w:sz="4" w:space="0" w:color="auto"/>
              <w:bottom w:val="nil"/>
              <w:right w:val="single" w:sz="4" w:space="0" w:color="auto"/>
            </w:tcBorders>
            <w:vAlign w:val="center"/>
          </w:tcPr>
          <w:p w14:paraId="7F2C2F1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p>
        </w:tc>
      </w:tr>
      <w:tr w:rsidR="00D215BD" w:rsidRPr="001314CA" w14:paraId="469E73B6" w14:textId="77777777" w:rsidTr="00D215BD">
        <w:trPr>
          <w:trHeight w:val="300"/>
        </w:trPr>
        <w:tc>
          <w:tcPr>
            <w:tcW w:w="6516" w:type="dxa"/>
            <w:tcBorders>
              <w:top w:val="nil"/>
              <w:left w:val="single" w:sz="4" w:space="0" w:color="auto"/>
              <w:bottom w:val="nil"/>
              <w:right w:val="single" w:sz="4" w:space="0" w:color="auto"/>
            </w:tcBorders>
            <w:shd w:val="clear" w:color="auto" w:fill="auto"/>
            <w:noWrap/>
          </w:tcPr>
          <w:p w14:paraId="76E800E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sz w:val="20"/>
              </w:rPr>
            </w:pPr>
            <w:r w:rsidRPr="001314CA">
              <w:rPr>
                <w:b/>
                <w:bCs/>
                <w:sz w:val="20"/>
              </w:rPr>
              <w:t>Passifs non courants</w:t>
            </w:r>
          </w:p>
        </w:tc>
        <w:tc>
          <w:tcPr>
            <w:tcW w:w="1417" w:type="dxa"/>
            <w:tcBorders>
              <w:top w:val="nil"/>
              <w:left w:val="single" w:sz="4" w:space="0" w:color="auto"/>
              <w:bottom w:val="nil"/>
              <w:right w:val="single" w:sz="4" w:space="0" w:color="auto"/>
            </w:tcBorders>
            <w:shd w:val="clear" w:color="auto" w:fill="auto"/>
            <w:noWrap/>
            <w:vAlign w:val="center"/>
          </w:tcPr>
          <w:p w14:paraId="3D76D37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c>
          <w:tcPr>
            <w:tcW w:w="1417" w:type="dxa"/>
            <w:tcBorders>
              <w:top w:val="nil"/>
              <w:left w:val="single" w:sz="4" w:space="0" w:color="auto"/>
              <w:bottom w:val="nil"/>
              <w:right w:val="single" w:sz="4" w:space="0" w:color="auto"/>
            </w:tcBorders>
            <w:vAlign w:val="center"/>
          </w:tcPr>
          <w:p w14:paraId="129A5AE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r>
      <w:tr w:rsidR="00D215BD" w:rsidRPr="001314CA" w14:paraId="419FCD48" w14:textId="77777777" w:rsidTr="00D215BD">
        <w:trPr>
          <w:trHeight w:val="300"/>
        </w:trPr>
        <w:tc>
          <w:tcPr>
            <w:tcW w:w="6516" w:type="dxa"/>
            <w:tcBorders>
              <w:top w:val="nil"/>
              <w:left w:val="single" w:sz="4" w:space="0" w:color="auto"/>
              <w:bottom w:val="nil"/>
              <w:right w:val="single" w:sz="4" w:space="0" w:color="auto"/>
            </w:tcBorders>
            <w:shd w:val="clear" w:color="auto" w:fill="auto"/>
            <w:noWrap/>
            <w:hideMark/>
          </w:tcPr>
          <w:p w14:paraId="47C9E98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1314CA">
              <w:rPr>
                <w:sz w:val="20"/>
              </w:rPr>
              <w:t xml:space="preserve">Emprunts </w:t>
            </w:r>
          </w:p>
        </w:tc>
        <w:tc>
          <w:tcPr>
            <w:tcW w:w="1417" w:type="dxa"/>
            <w:tcBorders>
              <w:top w:val="nil"/>
              <w:left w:val="single" w:sz="4" w:space="0" w:color="auto"/>
              <w:bottom w:val="nil"/>
              <w:right w:val="single" w:sz="4" w:space="0" w:color="auto"/>
            </w:tcBorders>
            <w:shd w:val="clear" w:color="auto" w:fill="auto"/>
            <w:noWrap/>
            <w:vAlign w:val="center"/>
          </w:tcPr>
          <w:p w14:paraId="280FD24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9 291</w:t>
            </w:r>
          </w:p>
        </w:tc>
        <w:tc>
          <w:tcPr>
            <w:tcW w:w="1417" w:type="dxa"/>
            <w:tcBorders>
              <w:top w:val="nil"/>
              <w:left w:val="single" w:sz="4" w:space="0" w:color="auto"/>
              <w:bottom w:val="nil"/>
              <w:right w:val="single" w:sz="4" w:space="0" w:color="auto"/>
            </w:tcBorders>
            <w:vAlign w:val="center"/>
          </w:tcPr>
          <w:p w14:paraId="0202D48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5 637</w:t>
            </w:r>
          </w:p>
        </w:tc>
      </w:tr>
      <w:tr w:rsidR="00D215BD" w:rsidRPr="001314CA" w14:paraId="79CBAE52" w14:textId="77777777" w:rsidTr="00D215BD">
        <w:trPr>
          <w:trHeight w:val="300"/>
        </w:trPr>
        <w:tc>
          <w:tcPr>
            <w:tcW w:w="6516" w:type="dxa"/>
            <w:tcBorders>
              <w:top w:val="nil"/>
              <w:left w:val="single" w:sz="4" w:space="0" w:color="auto"/>
              <w:bottom w:val="nil"/>
              <w:right w:val="single" w:sz="4" w:space="0" w:color="auto"/>
            </w:tcBorders>
            <w:shd w:val="clear" w:color="auto" w:fill="auto"/>
            <w:noWrap/>
          </w:tcPr>
          <w:p w14:paraId="2A930A4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eastAsia="zh-CN"/>
              </w:rPr>
            </w:pPr>
            <w:r w:rsidRPr="001314CA">
              <w:rPr>
                <w:sz w:val="20"/>
              </w:rPr>
              <w:t>Avantages du personnel</w:t>
            </w:r>
          </w:p>
        </w:tc>
        <w:tc>
          <w:tcPr>
            <w:tcW w:w="1417" w:type="dxa"/>
            <w:tcBorders>
              <w:top w:val="nil"/>
              <w:left w:val="single" w:sz="4" w:space="0" w:color="auto"/>
              <w:bottom w:val="nil"/>
              <w:right w:val="single" w:sz="4" w:space="0" w:color="auto"/>
            </w:tcBorders>
            <w:shd w:val="clear" w:color="auto" w:fill="auto"/>
            <w:noWrap/>
            <w:vAlign w:val="center"/>
          </w:tcPr>
          <w:p w14:paraId="65FDABA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8</w:t>
            </w:r>
          </w:p>
        </w:tc>
        <w:tc>
          <w:tcPr>
            <w:tcW w:w="1417" w:type="dxa"/>
            <w:tcBorders>
              <w:top w:val="nil"/>
              <w:left w:val="single" w:sz="4" w:space="0" w:color="auto"/>
              <w:bottom w:val="nil"/>
              <w:right w:val="single" w:sz="4" w:space="0" w:color="auto"/>
            </w:tcBorders>
            <w:vAlign w:val="center"/>
          </w:tcPr>
          <w:p w14:paraId="4FAEA3B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8</w:t>
            </w:r>
          </w:p>
        </w:tc>
      </w:tr>
      <w:tr w:rsidR="00D215BD" w:rsidRPr="001314CA" w14:paraId="6107CFF7" w14:textId="77777777" w:rsidTr="00D215BD">
        <w:trPr>
          <w:trHeight w:val="300"/>
        </w:trPr>
        <w:tc>
          <w:tcPr>
            <w:tcW w:w="6516" w:type="dxa"/>
            <w:tcBorders>
              <w:top w:val="nil"/>
              <w:left w:val="single" w:sz="4" w:space="0" w:color="auto"/>
              <w:bottom w:val="single" w:sz="4" w:space="0" w:color="auto"/>
              <w:right w:val="single" w:sz="4" w:space="0" w:color="auto"/>
            </w:tcBorders>
            <w:shd w:val="clear" w:color="auto" w:fill="auto"/>
            <w:noWrap/>
          </w:tcPr>
          <w:p w14:paraId="15EB6FE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eastAsia="zh-CN"/>
              </w:rPr>
            </w:pPr>
            <w:r w:rsidRPr="001314CA">
              <w:rPr>
                <w:b/>
                <w:bCs/>
                <w:sz w:val="20"/>
              </w:rPr>
              <w:t>Total Passifs non courants</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43000C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1314CA">
              <w:rPr>
                <w:rFonts w:cs="Arial"/>
                <w:b/>
                <w:bCs/>
                <w:color w:val="000000"/>
                <w:sz w:val="20"/>
                <w:lang w:eastAsia="zh-CN"/>
              </w:rPr>
              <w:t>9 299</w:t>
            </w:r>
          </w:p>
        </w:tc>
        <w:tc>
          <w:tcPr>
            <w:tcW w:w="1417" w:type="dxa"/>
            <w:tcBorders>
              <w:top w:val="nil"/>
              <w:left w:val="single" w:sz="4" w:space="0" w:color="auto"/>
              <w:bottom w:val="single" w:sz="4" w:space="0" w:color="auto"/>
              <w:right w:val="single" w:sz="4" w:space="0" w:color="auto"/>
            </w:tcBorders>
            <w:vAlign w:val="center"/>
          </w:tcPr>
          <w:p w14:paraId="4099A2D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1314CA">
              <w:rPr>
                <w:rFonts w:cs="Arial"/>
                <w:b/>
                <w:bCs/>
                <w:color w:val="000000"/>
                <w:sz w:val="20"/>
                <w:lang w:eastAsia="zh-CN"/>
              </w:rPr>
              <w:t>5 645</w:t>
            </w:r>
          </w:p>
        </w:tc>
      </w:tr>
      <w:tr w:rsidR="00D215BD" w:rsidRPr="001314CA" w14:paraId="7596D4C6" w14:textId="77777777" w:rsidTr="00D215BD">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03C21EBC" w14:textId="77777777" w:rsidR="00D215BD" w:rsidRPr="001314CA" w:rsidRDefault="00D215BD" w:rsidP="00D215BD">
            <w:pPr>
              <w:tabs>
                <w:tab w:val="clear" w:pos="567"/>
                <w:tab w:val="clear" w:pos="1134"/>
                <w:tab w:val="clear" w:pos="1701"/>
                <w:tab w:val="clear" w:pos="2268"/>
                <w:tab w:val="clear" w:pos="2835"/>
              </w:tabs>
              <w:spacing w:beforeLines="40" w:before="96"/>
              <w:rPr>
                <w:b/>
                <w:bCs/>
                <w:sz w:val="20"/>
              </w:rPr>
            </w:pPr>
            <w:r w:rsidRPr="001314CA">
              <w:rPr>
                <w:b/>
                <w:bCs/>
                <w:sz w:val="20"/>
              </w:rPr>
              <w:t>TOTAL DU PASSIF</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4921CA45" w14:textId="77777777" w:rsidR="00D215BD" w:rsidRPr="001314CA" w:rsidRDefault="00D215BD" w:rsidP="00D215BD">
            <w:pPr>
              <w:tabs>
                <w:tab w:val="clear" w:pos="567"/>
                <w:tab w:val="clear" w:pos="1134"/>
                <w:tab w:val="clear" w:pos="1701"/>
                <w:tab w:val="clear" w:pos="2268"/>
                <w:tab w:val="clear" w:pos="2835"/>
              </w:tabs>
              <w:spacing w:beforeLines="40" w:before="96"/>
              <w:jc w:val="right"/>
              <w:rPr>
                <w:b/>
                <w:bCs/>
                <w:sz w:val="20"/>
              </w:rPr>
            </w:pPr>
            <w:r w:rsidRPr="001314CA">
              <w:rPr>
                <w:b/>
                <w:bCs/>
                <w:sz w:val="20"/>
              </w:rPr>
              <w:t>11 370</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05986D8" w14:textId="77777777" w:rsidR="00D215BD" w:rsidRPr="001314CA" w:rsidRDefault="00D215BD" w:rsidP="00D215BD">
            <w:pPr>
              <w:tabs>
                <w:tab w:val="clear" w:pos="567"/>
                <w:tab w:val="clear" w:pos="1134"/>
                <w:tab w:val="clear" w:pos="1701"/>
                <w:tab w:val="clear" w:pos="2268"/>
                <w:tab w:val="clear" w:pos="2835"/>
              </w:tabs>
              <w:spacing w:beforeLines="40" w:before="96"/>
              <w:jc w:val="right"/>
              <w:rPr>
                <w:b/>
                <w:bCs/>
                <w:sz w:val="20"/>
              </w:rPr>
            </w:pPr>
            <w:r w:rsidRPr="001314CA">
              <w:rPr>
                <w:b/>
                <w:bCs/>
                <w:sz w:val="20"/>
              </w:rPr>
              <w:t>10 731</w:t>
            </w:r>
          </w:p>
        </w:tc>
      </w:tr>
      <w:tr w:rsidR="00D215BD" w:rsidRPr="001314CA" w14:paraId="218B41DA" w14:textId="77777777" w:rsidTr="00D215BD">
        <w:trPr>
          <w:trHeight w:val="300"/>
        </w:trPr>
        <w:tc>
          <w:tcPr>
            <w:tcW w:w="6516" w:type="dxa"/>
            <w:tcBorders>
              <w:top w:val="single" w:sz="4" w:space="0" w:color="auto"/>
              <w:left w:val="single" w:sz="4" w:space="0" w:color="auto"/>
              <w:bottom w:val="nil"/>
              <w:right w:val="single" w:sz="4" w:space="0" w:color="auto"/>
            </w:tcBorders>
            <w:shd w:val="clear" w:color="auto" w:fill="auto"/>
            <w:noWrap/>
          </w:tcPr>
          <w:p w14:paraId="366D94A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eastAsia="zh-CN"/>
              </w:rPr>
            </w:pPr>
            <w:r w:rsidRPr="001314CA">
              <w:rPr>
                <w:rFonts w:cs="Arial"/>
                <w:b/>
                <w:bCs/>
                <w:color w:val="000000"/>
                <w:sz w:val="20"/>
                <w:lang w:eastAsia="zh-CN"/>
              </w:rPr>
              <w:t>Actif net</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24EBE97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c>
          <w:tcPr>
            <w:tcW w:w="1417" w:type="dxa"/>
            <w:tcBorders>
              <w:top w:val="single" w:sz="4" w:space="0" w:color="auto"/>
              <w:left w:val="single" w:sz="4" w:space="0" w:color="auto"/>
              <w:bottom w:val="nil"/>
              <w:right w:val="single" w:sz="4" w:space="0" w:color="auto"/>
            </w:tcBorders>
            <w:vAlign w:val="center"/>
          </w:tcPr>
          <w:p w14:paraId="096923B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r>
      <w:tr w:rsidR="00D215BD" w:rsidRPr="001314CA" w14:paraId="11D4174A" w14:textId="77777777" w:rsidTr="00D215BD">
        <w:trPr>
          <w:trHeight w:val="300"/>
        </w:trPr>
        <w:tc>
          <w:tcPr>
            <w:tcW w:w="6516" w:type="dxa"/>
            <w:tcBorders>
              <w:top w:val="nil"/>
              <w:left w:val="single" w:sz="4" w:space="0" w:color="auto"/>
              <w:bottom w:val="nil"/>
              <w:right w:val="single" w:sz="4" w:space="0" w:color="auto"/>
            </w:tcBorders>
            <w:shd w:val="clear" w:color="auto" w:fill="auto"/>
            <w:noWrap/>
          </w:tcPr>
          <w:p w14:paraId="766A080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eastAsia="zh-CN"/>
              </w:rPr>
            </w:pPr>
            <w:r w:rsidRPr="001314CA">
              <w:rPr>
                <w:rFonts w:cs="Arial"/>
                <w:color w:val="000000"/>
                <w:sz w:val="20"/>
                <w:lang w:eastAsia="zh-CN"/>
              </w:rPr>
              <w:t>Fonds propres affectés</w:t>
            </w:r>
          </w:p>
        </w:tc>
        <w:tc>
          <w:tcPr>
            <w:tcW w:w="1417" w:type="dxa"/>
            <w:tcBorders>
              <w:top w:val="nil"/>
              <w:left w:val="single" w:sz="4" w:space="0" w:color="auto"/>
              <w:bottom w:val="nil"/>
              <w:right w:val="single" w:sz="4" w:space="0" w:color="auto"/>
            </w:tcBorders>
            <w:shd w:val="clear" w:color="auto" w:fill="auto"/>
            <w:noWrap/>
            <w:vAlign w:val="center"/>
          </w:tcPr>
          <w:p w14:paraId="5CC311D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12 528</w:t>
            </w:r>
          </w:p>
        </w:tc>
        <w:tc>
          <w:tcPr>
            <w:tcW w:w="1417" w:type="dxa"/>
            <w:tcBorders>
              <w:top w:val="nil"/>
              <w:left w:val="single" w:sz="4" w:space="0" w:color="auto"/>
              <w:bottom w:val="nil"/>
              <w:right w:val="single" w:sz="4" w:space="0" w:color="auto"/>
            </w:tcBorders>
            <w:vAlign w:val="center"/>
          </w:tcPr>
          <w:p w14:paraId="428F62F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rPr>
              <w:t>4 745</w:t>
            </w:r>
          </w:p>
        </w:tc>
      </w:tr>
      <w:tr w:rsidR="00D215BD" w:rsidRPr="001314CA" w14:paraId="50CC9DBC" w14:textId="77777777" w:rsidTr="00D215BD">
        <w:trPr>
          <w:trHeight w:val="300"/>
        </w:trPr>
        <w:tc>
          <w:tcPr>
            <w:tcW w:w="6516" w:type="dxa"/>
            <w:tcBorders>
              <w:top w:val="nil"/>
              <w:left w:val="single" w:sz="4" w:space="0" w:color="auto"/>
              <w:bottom w:val="nil"/>
              <w:right w:val="single" w:sz="4" w:space="0" w:color="auto"/>
            </w:tcBorders>
            <w:shd w:val="clear" w:color="auto" w:fill="auto"/>
            <w:noWrap/>
          </w:tcPr>
          <w:p w14:paraId="108E33E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eastAsia="zh-CN"/>
              </w:rPr>
            </w:pPr>
            <w:r w:rsidRPr="001314CA">
              <w:rPr>
                <w:rFonts w:cs="Arial"/>
                <w:color w:val="000000"/>
                <w:sz w:val="20"/>
                <w:lang w:eastAsia="zh-CN"/>
              </w:rPr>
              <w:t>Déficit cumulé IPSAS (statistique)</w:t>
            </w:r>
          </w:p>
        </w:tc>
        <w:tc>
          <w:tcPr>
            <w:tcW w:w="1417" w:type="dxa"/>
            <w:tcBorders>
              <w:top w:val="nil"/>
              <w:left w:val="single" w:sz="4" w:space="0" w:color="auto"/>
              <w:bottom w:val="nil"/>
              <w:right w:val="single" w:sz="4" w:space="0" w:color="auto"/>
            </w:tcBorders>
            <w:shd w:val="clear" w:color="auto" w:fill="auto"/>
            <w:noWrap/>
            <w:vAlign w:val="center"/>
          </w:tcPr>
          <w:p w14:paraId="3A69B30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lang w:eastAsia="zh-CN"/>
              </w:rPr>
              <w:t>7 835</w:t>
            </w:r>
          </w:p>
        </w:tc>
        <w:tc>
          <w:tcPr>
            <w:tcW w:w="1417" w:type="dxa"/>
            <w:tcBorders>
              <w:top w:val="nil"/>
              <w:left w:val="single" w:sz="4" w:space="0" w:color="auto"/>
              <w:bottom w:val="nil"/>
              <w:right w:val="single" w:sz="4" w:space="0" w:color="auto"/>
            </w:tcBorders>
            <w:vAlign w:val="center"/>
          </w:tcPr>
          <w:p w14:paraId="04050CE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1314CA">
              <w:rPr>
                <w:rFonts w:cs="Arial"/>
                <w:color w:val="000000"/>
                <w:sz w:val="20"/>
              </w:rPr>
              <w:t>3 948</w:t>
            </w:r>
          </w:p>
        </w:tc>
      </w:tr>
      <w:tr w:rsidR="00D215BD" w:rsidRPr="001314CA" w14:paraId="5F01AD08" w14:textId="77777777" w:rsidTr="00D215BD">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54CC0864" w14:textId="77777777" w:rsidR="00D215BD" w:rsidRPr="001314CA" w:rsidRDefault="00D215BD" w:rsidP="00D215BD">
            <w:pPr>
              <w:tabs>
                <w:tab w:val="clear" w:pos="567"/>
                <w:tab w:val="clear" w:pos="1134"/>
                <w:tab w:val="clear" w:pos="1701"/>
                <w:tab w:val="clear" w:pos="2268"/>
                <w:tab w:val="clear" w:pos="2835"/>
              </w:tabs>
              <w:spacing w:beforeLines="40" w:before="96"/>
              <w:rPr>
                <w:sz w:val="20"/>
                <w:u w:val="single"/>
              </w:rPr>
            </w:pPr>
            <w:r w:rsidRPr="001314CA">
              <w:rPr>
                <w:b/>
                <w:bCs/>
                <w:sz w:val="20"/>
              </w:rPr>
              <w:t>TOTAL DE L'ACTIF NET</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326ACF07" w14:textId="77777777" w:rsidR="00D215BD" w:rsidRPr="001314CA" w:rsidRDefault="00D215BD" w:rsidP="00D215BD">
            <w:pPr>
              <w:jc w:val="right"/>
              <w:rPr>
                <w:rFonts w:cs="Calibri"/>
                <w:b/>
                <w:bCs/>
                <w:sz w:val="20"/>
              </w:rPr>
            </w:pPr>
            <w:r w:rsidRPr="001314CA">
              <w:rPr>
                <w:rFonts w:cs="Calibri"/>
                <w:b/>
                <w:bCs/>
                <w:sz w:val="20"/>
              </w:rPr>
              <w:t>20 363</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6950C32" w14:textId="77777777" w:rsidR="00D215BD" w:rsidRPr="001314CA" w:rsidRDefault="00D215BD" w:rsidP="00D215BD">
            <w:pPr>
              <w:jc w:val="right"/>
              <w:rPr>
                <w:rFonts w:cs="Calibri"/>
                <w:b/>
                <w:bCs/>
                <w:sz w:val="20"/>
              </w:rPr>
            </w:pPr>
            <w:r w:rsidRPr="001314CA">
              <w:rPr>
                <w:rFonts w:cs="Calibri"/>
                <w:b/>
                <w:bCs/>
                <w:sz w:val="20"/>
              </w:rPr>
              <w:t>8 693</w:t>
            </w:r>
          </w:p>
        </w:tc>
      </w:tr>
    </w:tbl>
    <w:p w14:paraId="5E580810" w14:textId="77777777" w:rsidR="00D215BD" w:rsidRPr="001314CA" w:rsidRDefault="00D215BD" w:rsidP="00D215BD">
      <w:pPr>
        <w:pStyle w:val="AnnexNo"/>
      </w:pPr>
      <w:bookmarkStart w:id="3091" w:name="_Toc511736688"/>
      <w:bookmarkStart w:id="3092" w:name="_Toc10450816"/>
      <w:bookmarkStart w:id="3093" w:name="_Toc41815004"/>
      <w:bookmarkStart w:id="3094" w:name="_Toc357006008"/>
      <w:bookmarkStart w:id="3095" w:name="_Toc395260976"/>
      <w:bookmarkStart w:id="3096" w:name="_Toc395261111"/>
      <w:bookmarkStart w:id="3097" w:name="_Toc395511761"/>
      <w:bookmarkStart w:id="3098" w:name="_Toc452138674"/>
      <w:bookmarkStart w:id="3099" w:name="_Toc452139123"/>
      <w:bookmarkStart w:id="3100" w:name="_Toc482888052"/>
      <w:bookmarkStart w:id="3101" w:name="_Toc482888395"/>
      <w:r w:rsidRPr="001314CA">
        <w:br w:type="page"/>
      </w:r>
    </w:p>
    <w:p w14:paraId="723A26D3" w14:textId="77777777" w:rsidR="00D215BD" w:rsidRPr="001314CA" w:rsidRDefault="00D215BD" w:rsidP="00D215BD">
      <w:pPr>
        <w:pStyle w:val="AnnexNo"/>
      </w:pPr>
      <w:bookmarkStart w:id="3102" w:name="_Toc73354502"/>
      <w:bookmarkStart w:id="3103" w:name="_Toc73356485"/>
      <w:r w:rsidRPr="001314CA">
        <w:lastRenderedPageBreak/>
        <w:t>ANNEXE B3</w:t>
      </w:r>
      <w:bookmarkEnd w:id="3091"/>
      <w:bookmarkEnd w:id="3092"/>
      <w:bookmarkEnd w:id="3093"/>
      <w:bookmarkEnd w:id="3102"/>
      <w:bookmarkEnd w:id="3103"/>
    </w:p>
    <w:p w14:paraId="3BF064C3" w14:textId="77777777" w:rsidR="00D215BD" w:rsidRPr="001314CA" w:rsidRDefault="00D215BD" w:rsidP="00D215BD">
      <w:pPr>
        <w:keepNext/>
        <w:tabs>
          <w:tab w:val="clear" w:pos="567"/>
          <w:tab w:val="clear" w:pos="1134"/>
          <w:tab w:val="clear" w:pos="1701"/>
          <w:tab w:val="clear" w:pos="2268"/>
          <w:tab w:val="clear" w:pos="2835"/>
          <w:tab w:val="left" w:pos="2948"/>
          <w:tab w:val="left" w:pos="4082"/>
        </w:tabs>
        <w:spacing w:before="240" w:after="120"/>
        <w:jc w:val="center"/>
        <w:rPr>
          <w:b/>
        </w:rPr>
      </w:pPr>
      <w:r w:rsidRPr="001314CA">
        <w:rPr>
          <w:b/>
        </w:rPr>
        <w:t>Caisse d'assurance du personnel</w:t>
      </w:r>
      <w:r w:rsidRPr="001314CA" w:rsidDel="008336DC">
        <w:rPr>
          <w:b/>
        </w:rPr>
        <w:t xml:space="preserve"> </w:t>
      </w:r>
      <w:r w:rsidRPr="001314CA">
        <w:rPr>
          <w:b/>
        </w:rPr>
        <w:t>– Voir la Note 2</w:t>
      </w:r>
    </w:p>
    <w:tbl>
      <w:tblPr>
        <w:tblW w:w="9629" w:type="dxa"/>
        <w:tblLook w:val="04A0" w:firstRow="1" w:lastRow="0" w:firstColumn="1" w:lastColumn="0" w:noHBand="0" w:noVBand="1"/>
        <w:tblCaption w:val="CAISSE D'ASSURANCE – Voir la Note 4"/>
      </w:tblPr>
      <w:tblGrid>
        <w:gridCol w:w="4390"/>
        <w:gridCol w:w="1417"/>
        <w:gridCol w:w="1246"/>
        <w:gridCol w:w="1295"/>
        <w:gridCol w:w="1281"/>
      </w:tblGrid>
      <w:tr w:rsidR="00D215BD" w:rsidRPr="001314CA" w14:paraId="5EAAE780" w14:textId="77777777" w:rsidTr="00D215BD">
        <w:trPr>
          <w:trHeight w:val="321"/>
        </w:trPr>
        <w:tc>
          <w:tcPr>
            <w:tcW w:w="9629" w:type="dxa"/>
            <w:gridSpan w:val="5"/>
            <w:tcBorders>
              <w:top w:val="single" w:sz="4" w:space="0" w:color="auto"/>
              <w:left w:val="single" w:sz="4" w:space="0" w:color="auto"/>
              <w:bottom w:val="nil"/>
              <w:right w:val="single" w:sz="4" w:space="0" w:color="000000"/>
            </w:tcBorders>
            <w:shd w:val="clear" w:color="auto" w:fill="auto"/>
            <w:noWrap/>
            <w:vAlign w:val="center"/>
          </w:tcPr>
          <w:p w14:paraId="10566D47"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0"/>
                <w:szCs w:val="18"/>
              </w:rPr>
              <w:t>État de la performance financière pour l'exercice 2020 et comparatif avec l'exercice 2019</w:t>
            </w:r>
          </w:p>
        </w:tc>
      </w:tr>
      <w:tr w:rsidR="00D215BD" w:rsidRPr="001314CA" w14:paraId="4C2BCBDB" w14:textId="77777777" w:rsidTr="00D215BD">
        <w:trPr>
          <w:trHeight w:val="615"/>
        </w:trPr>
        <w:tc>
          <w:tcPr>
            <w:tcW w:w="4390" w:type="dxa"/>
            <w:tcBorders>
              <w:top w:val="single" w:sz="4" w:space="0" w:color="auto"/>
              <w:left w:val="single" w:sz="4" w:space="0" w:color="auto"/>
              <w:bottom w:val="nil"/>
              <w:right w:val="nil"/>
            </w:tcBorders>
            <w:shd w:val="clear" w:color="auto" w:fill="auto"/>
            <w:noWrap/>
            <w:vAlign w:val="center"/>
            <w:hideMark/>
          </w:tcPr>
          <w:p w14:paraId="5D8007DE" w14:textId="77777777" w:rsidR="00D215BD" w:rsidRPr="001314CA" w:rsidRDefault="00D215BD" w:rsidP="00D215BD">
            <w:pPr>
              <w:rPr>
                <w:rFonts w:cs="Calibri"/>
                <w:sz w:val="20"/>
              </w:rPr>
            </w:pPr>
            <w:r w:rsidRPr="001314CA">
              <w:rPr>
                <w:rFonts w:cs="Calibri"/>
                <w:sz w:val="20"/>
              </w:rPr>
              <w:t> </w:t>
            </w:r>
          </w:p>
        </w:tc>
        <w:tc>
          <w:tcPr>
            <w:tcW w:w="2663" w:type="dxa"/>
            <w:gridSpan w:val="2"/>
            <w:tcBorders>
              <w:top w:val="single" w:sz="4" w:space="0" w:color="auto"/>
              <w:left w:val="single" w:sz="4" w:space="0" w:color="auto"/>
              <w:bottom w:val="nil"/>
              <w:right w:val="single" w:sz="4" w:space="0" w:color="000000"/>
            </w:tcBorders>
            <w:shd w:val="clear" w:color="auto" w:fill="auto"/>
            <w:vAlign w:val="bottom"/>
            <w:hideMark/>
          </w:tcPr>
          <w:p w14:paraId="13BABED8" w14:textId="77777777" w:rsidR="00D215BD" w:rsidRPr="001314CA" w:rsidRDefault="00D215BD" w:rsidP="00D215BD">
            <w:pPr>
              <w:tabs>
                <w:tab w:val="clear" w:pos="567"/>
                <w:tab w:val="clear" w:pos="1134"/>
                <w:tab w:val="clear" w:pos="1701"/>
                <w:tab w:val="clear" w:pos="2268"/>
                <w:tab w:val="clear" w:pos="2835"/>
              </w:tabs>
              <w:spacing w:before="40"/>
              <w:jc w:val="center"/>
              <w:rPr>
                <w:b/>
                <w:sz w:val="20"/>
              </w:rPr>
            </w:pPr>
            <w:r w:rsidRPr="001314CA">
              <w:rPr>
                <w:b/>
                <w:sz w:val="20"/>
              </w:rPr>
              <w:t xml:space="preserve">Fonds de réserve </w:t>
            </w:r>
            <w:r w:rsidRPr="001314CA">
              <w:rPr>
                <w:b/>
                <w:sz w:val="20"/>
              </w:rPr>
              <w:br/>
              <w:t xml:space="preserve">et des compléments </w:t>
            </w:r>
          </w:p>
        </w:tc>
        <w:tc>
          <w:tcPr>
            <w:tcW w:w="257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7E382D38" w14:textId="77777777" w:rsidR="00D215BD" w:rsidRPr="001314CA" w:rsidRDefault="00D215BD" w:rsidP="00D215BD">
            <w:pPr>
              <w:tabs>
                <w:tab w:val="clear" w:pos="567"/>
                <w:tab w:val="clear" w:pos="1134"/>
                <w:tab w:val="clear" w:pos="1701"/>
                <w:tab w:val="clear" w:pos="2268"/>
                <w:tab w:val="clear" w:pos="2835"/>
              </w:tabs>
              <w:spacing w:before="40"/>
              <w:jc w:val="center"/>
              <w:rPr>
                <w:b/>
                <w:sz w:val="20"/>
              </w:rPr>
            </w:pPr>
            <w:r w:rsidRPr="001314CA">
              <w:rPr>
                <w:b/>
                <w:sz w:val="20"/>
              </w:rPr>
              <w:t>Fonds d'intervention</w:t>
            </w:r>
          </w:p>
        </w:tc>
      </w:tr>
      <w:tr w:rsidR="00D215BD" w:rsidRPr="001314CA" w14:paraId="7966B1E0" w14:textId="77777777" w:rsidTr="00D215BD">
        <w:trPr>
          <w:trHeight w:val="300"/>
        </w:trPr>
        <w:tc>
          <w:tcPr>
            <w:tcW w:w="4390" w:type="dxa"/>
            <w:tcBorders>
              <w:top w:val="nil"/>
              <w:left w:val="single" w:sz="4" w:space="0" w:color="auto"/>
              <w:bottom w:val="single" w:sz="4" w:space="0" w:color="auto"/>
              <w:right w:val="nil"/>
            </w:tcBorders>
            <w:shd w:val="clear" w:color="auto" w:fill="auto"/>
            <w:noWrap/>
            <w:vAlign w:val="center"/>
            <w:hideMark/>
          </w:tcPr>
          <w:p w14:paraId="47387CFB" w14:textId="77777777" w:rsidR="00D215BD" w:rsidRPr="001314CA" w:rsidRDefault="00D215BD" w:rsidP="00D215BD">
            <w:pPr>
              <w:rPr>
                <w:rFonts w:cs="Calibri"/>
                <w:sz w:val="20"/>
              </w:rPr>
            </w:pPr>
            <w:r w:rsidRPr="001314CA">
              <w:rPr>
                <w:rFonts w:cs="Calibri"/>
                <w:sz w:val="20"/>
              </w:rPr>
              <w:t> </w:t>
            </w:r>
          </w:p>
        </w:tc>
        <w:tc>
          <w:tcPr>
            <w:tcW w:w="2663" w:type="dxa"/>
            <w:gridSpan w:val="2"/>
            <w:tcBorders>
              <w:top w:val="nil"/>
              <w:left w:val="single" w:sz="4" w:space="0" w:color="auto"/>
              <w:bottom w:val="single" w:sz="4" w:space="0" w:color="auto"/>
              <w:right w:val="nil"/>
            </w:tcBorders>
            <w:shd w:val="clear" w:color="auto" w:fill="auto"/>
            <w:noWrap/>
            <w:vAlign w:val="center"/>
            <w:hideMark/>
          </w:tcPr>
          <w:p w14:paraId="5D1F7CA7" w14:textId="77777777" w:rsidR="00D215BD" w:rsidRPr="001314CA" w:rsidRDefault="00D215BD" w:rsidP="00D215BD">
            <w:pPr>
              <w:jc w:val="center"/>
              <w:rPr>
                <w:rFonts w:cs="Calibri"/>
                <w:sz w:val="20"/>
              </w:rPr>
            </w:pPr>
            <w:r w:rsidRPr="001314CA">
              <w:rPr>
                <w:rFonts w:cs="Calibri"/>
                <w:sz w:val="20"/>
              </w:rPr>
              <w:t>CHF</w:t>
            </w:r>
          </w:p>
        </w:tc>
        <w:tc>
          <w:tcPr>
            <w:tcW w:w="2576"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1BFDF9D9" w14:textId="77777777" w:rsidR="00D215BD" w:rsidRPr="001314CA" w:rsidRDefault="00D215BD" w:rsidP="00D215BD">
            <w:pPr>
              <w:jc w:val="center"/>
              <w:rPr>
                <w:rFonts w:cs="Calibri"/>
                <w:sz w:val="20"/>
              </w:rPr>
            </w:pPr>
            <w:r w:rsidRPr="001314CA">
              <w:rPr>
                <w:rFonts w:cs="Calibri"/>
                <w:sz w:val="20"/>
              </w:rPr>
              <w:t>CHF</w:t>
            </w:r>
          </w:p>
        </w:tc>
      </w:tr>
      <w:tr w:rsidR="00D215BD" w:rsidRPr="001314CA" w14:paraId="4F9415F4" w14:textId="77777777" w:rsidTr="00D215BD">
        <w:trPr>
          <w:trHeight w:val="300"/>
        </w:trPr>
        <w:tc>
          <w:tcPr>
            <w:tcW w:w="4390" w:type="dxa"/>
            <w:tcBorders>
              <w:top w:val="nil"/>
              <w:left w:val="single" w:sz="4" w:space="0" w:color="auto"/>
              <w:bottom w:val="nil"/>
              <w:right w:val="single" w:sz="4" w:space="0" w:color="auto"/>
            </w:tcBorders>
            <w:shd w:val="clear" w:color="auto" w:fill="auto"/>
            <w:noWrap/>
            <w:vAlign w:val="center"/>
            <w:hideMark/>
          </w:tcPr>
          <w:p w14:paraId="73C2D97B"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 </w:t>
            </w:r>
          </w:p>
        </w:tc>
        <w:tc>
          <w:tcPr>
            <w:tcW w:w="1417" w:type="dxa"/>
            <w:tcBorders>
              <w:top w:val="nil"/>
              <w:left w:val="nil"/>
              <w:bottom w:val="nil"/>
              <w:right w:val="single" w:sz="4" w:space="0" w:color="auto"/>
            </w:tcBorders>
            <w:shd w:val="clear" w:color="auto" w:fill="auto"/>
            <w:noWrap/>
            <w:vAlign w:val="center"/>
          </w:tcPr>
          <w:p w14:paraId="151E2E4F"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0"/>
              </w:rPr>
            </w:pPr>
            <w:r w:rsidRPr="001314CA">
              <w:rPr>
                <w:sz w:val="20"/>
              </w:rPr>
              <w:t>2020</w:t>
            </w:r>
          </w:p>
        </w:tc>
        <w:tc>
          <w:tcPr>
            <w:tcW w:w="1246" w:type="dxa"/>
            <w:tcBorders>
              <w:top w:val="nil"/>
              <w:left w:val="nil"/>
              <w:bottom w:val="nil"/>
              <w:right w:val="single" w:sz="4" w:space="0" w:color="auto"/>
            </w:tcBorders>
            <w:shd w:val="clear" w:color="auto" w:fill="auto"/>
            <w:noWrap/>
            <w:vAlign w:val="center"/>
          </w:tcPr>
          <w:p w14:paraId="41E35275"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0"/>
              </w:rPr>
            </w:pPr>
            <w:r w:rsidRPr="001314CA">
              <w:rPr>
                <w:sz w:val="20"/>
              </w:rPr>
              <w:t>2019</w:t>
            </w:r>
          </w:p>
        </w:tc>
        <w:tc>
          <w:tcPr>
            <w:tcW w:w="1295" w:type="dxa"/>
            <w:tcBorders>
              <w:top w:val="nil"/>
              <w:left w:val="nil"/>
              <w:bottom w:val="nil"/>
              <w:right w:val="single" w:sz="4" w:space="0" w:color="auto"/>
            </w:tcBorders>
            <w:shd w:val="clear" w:color="auto" w:fill="auto"/>
            <w:noWrap/>
            <w:vAlign w:val="center"/>
          </w:tcPr>
          <w:p w14:paraId="48DF3077"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0"/>
              </w:rPr>
            </w:pPr>
            <w:r w:rsidRPr="001314CA">
              <w:rPr>
                <w:sz w:val="20"/>
              </w:rPr>
              <w:t>2020</w:t>
            </w:r>
          </w:p>
        </w:tc>
        <w:tc>
          <w:tcPr>
            <w:tcW w:w="1281" w:type="dxa"/>
            <w:tcBorders>
              <w:top w:val="nil"/>
              <w:left w:val="nil"/>
              <w:bottom w:val="nil"/>
              <w:right w:val="single" w:sz="4" w:space="0" w:color="auto"/>
            </w:tcBorders>
            <w:shd w:val="clear" w:color="auto" w:fill="auto"/>
            <w:noWrap/>
            <w:vAlign w:val="center"/>
          </w:tcPr>
          <w:p w14:paraId="35531687"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0"/>
              </w:rPr>
            </w:pPr>
            <w:r w:rsidRPr="001314CA">
              <w:rPr>
                <w:sz w:val="20"/>
              </w:rPr>
              <w:t>2019</w:t>
            </w:r>
          </w:p>
        </w:tc>
      </w:tr>
      <w:tr w:rsidR="00D215BD" w:rsidRPr="001314CA" w14:paraId="64F5E70D" w14:textId="77777777" w:rsidTr="00D215BD">
        <w:trPr>
          <w:trHeight w:val="300"/>
        </w:trPr>
        <w:tc>
          <w:tcPr>
            <w:tcW w:w="4390" w:type="dxa"/>
            <w:tcBorders>
              <w:top w:val="nil"/>
              <w:left w:val="single" w:sz="4" w:space="0" w:color="auto"/>
              <w:bottom w:val="nil"/>
              <w:right w:val="single" w:sz="4" w:space="0" w:color="auto"/>
            </w:tcBorders>
            <w:shd w:val="clear" w:color="auto" w:fill="auto"/>
            <w:noWrap/>
            <w:hideMark/>
          </w:tcPr>
          <w:p w14:paraId="7F1B1478" w14:textId="77777777" w:rsidR="00D215BD" w:rsidRPr="001314CA" w:rsidRDefault="00D215BD" w:rsidP="00D215BD">
            <w:pPr>
              <w:tabs>
                <w:tab w:val="clear" w:pos="567"/>
                <w:tab w:val="clear" w:pos="1134"/>
                <w:tab w:val="clear" w:pos="1701"/>
                <w:tab w:val="clear" w:pos="2268"/>
                <w:tab w:val="clear" w:pos="2835"/>
              </w:tabs>
              <w:spacing w:before="60" w:after="60"/>
              <w:rPr>
                <w:sz w:val="20"/>
                <w:u w:val="single"/>
              </w:rPr>
            </w:pPr>
            <w:r w:rsidRPr="001314CA">
              <w:rPr>
                <w:sz w:val="20"/>
                <w:u w:val="single"/>
              </w:rPr>
              <w:t>CHARGES</w:t>
            </w:r>
          </w:p>
        </w:tc>
        <w:tc>
          <w:tcPr>
            <w:tcW w:w="1417" w:type="dxa"/>
            <w:tcBorders>
              <w:top w:val="nil"/>
              <w:left w:val="nil"/>
              <w:bottom w:val="nil"/>
              <w:right w:val="nil"/>
            </w:tcBorders>
            <w:shd w:val="clear" w:color="auto" w:fill="auto"/>
            <w:noWrap/>
            <w:vAlign w:val="center"/>
          </w:tcPr>
          <w:p w14:paraId="4CED2FD6" w14:textId="77777777" w:rsidR="00D215BD" w:rsidRPr="001314CA" w:rsidRDefault="00D215BD" w:rsidP="00D215BD">
            <w:pPr>
              <w:tabs>
                <w:tab w:val="clear" w:pos="567"/>
                <w:tab w:val="clear" w:pos="1134"/>
                <w:tab w:val="clear" w:pos="1701"/>
                <w:tab w:val="clear" w:pos="2268"/>
                <w:tab w:val="clear" w:pos="2835"/>
              </w:tabs>
              <w:spacing w:before="60" w:after="60"/>
              <w:jc w:val="right"/>
              <w:rPr>
                <w:rFonts w:ascii="CG Times" w:hAnsi="CG Times"/>
                <w:sz w:val="20"/>
              </w:rPr>
            </w:pPr>
          </w:p>
        </w:tc>
        <w:tc>
          <w:tcPr>
            <w:tcW w:w="1246" w:type="dxa"/>
            <w:tcBorders>
              <w:top w:val="nil"/>
              <w:left w:val="single" w:sz="4" w:space="0" w:color="auto"/>
              <w:bottom w:val="nil"/>
              <w:right w:val="single" w:sz="4" w:space="0" w:color="auto"/>
            </w:tcBorders>
            <w:shd w:val="clear" w:color="auto" w:fill="auto"/>
            <w:noWrap/>
            <w:vAlign w:val="center"/>
          </w:tcPr>
          <w:p w14:paraId="4251027A" w14:textId="77777777" w:rsidR="00D215BD" w:rsidRPr="001314CA" w:rsidRDefault="00D215BD" w:rsidP="00D215BD">
            <w:pPr>
              <w:tabs>
                <w:tab w:val="clear" w:pos="567"/>
                <w:tab w:val="clear" w:pos="1134"/>
                <w:tab w:val="clear" w:pos="1701"/>
                <w:tab w:val="clear" w:pos="2268"/>
                <w:tab w:val="clear" w:pos="2835"/>
              </w:tabs>
              <w:spacing w:before="60" w:after="60"/>
              <w:jc w:val="right"/>
              <w:rPr>
                <w:rFonts w:ascii="CG Times" w:hAnsi="CG Times"/>
                <w:sz w:val="20"/>
              </w:rPr>
            </w:pPr>
          </w:p>
        </w:tc>
        <w:tc>
          <w:tcPr>
            <w:tcW w:w="1295" w:type="dxa"/>
            <w:tcBorders>
              <w:top w:val="nil"/>
              <w:left w:val="nil"/>
              <w:bottom w:val="nil"/>
              <w:right w:val="nil"/>
            </w:tcBorders>
            <w:shd w:val="clear" w:color="auto" w:fill="auto"/>
            <w:noWrap/>
            <w:vAlign w:val="center"/>
          </w:tcPr>
          <w:p w14:paraId="38D8E514" w14:textId="77777777" w:rsidR="00D215BD" w:rsidRPr="001314CA" w:rsidRDefault="00D215BD" w:rsidP="00D215BD">
            <w:pPr>
              <w:tabs>
                <w:tab w:val="clear" w:pos="567"/>
                <w:tab w:val="clear" w:pos="1134"/>
                <w:tab w:val="clear" w:pos="1701"/>
                <w:tab w:val="clear" w:pos="2268"/>
                <w:tab w:val="clear" w:pos="2835"/>
              </w:tabs>
              <w:spacing w:before="60" w:after="60"/>
              <w:jc w:val="right"/>
              <w:rPr>
                <w:rFonts w:ascii="CG Times" w:hAnsi="CG Times"/>
                <w:sz w:val="20"/>
              </w:rPr>
            </w:pPr>
          </w:p>
        </w:tc>
        <w:tc>
          <w:tcPr>
            <w:tcW w:w="1281" w:type="dxa"/>
            <w:tcBorders>
              <w:top w:val="nil"/>
              <w:left w:val="single" w:sz="4" w:space="0" w:color="auto"/>
              <w:bottom w:val="nil"/>
              <w:right w:val="single" w:sz="4" w:space="0" w:color="auto"/>
            </w:tcBorders>
            <w:shd w:val="clear" w:color="auto" w:fill="auto"/>
            <w:noWrap/>
            <w:vAlign w:val="center"/>
          </w:tcPr>
          <w:p w14:paraId="73D8F32C" w14:textId="77777777" w:rsidR="00D215BD" w:rsidRPr="001314CA" w:rsidRDefault="00D215BD" w:rsidP="00D215BD">
            <w:pPr>
              <w:tabs>
                <w:tab w:val="clear" w:pos="567"/>
                <w:tab w:val="clear" w:pos="1134"/>
                <w:tab w:val="clear" w:pos="1701"/>
                <w:tab w:val="clear" w:pos="2268"/>
                <w:tab w:val="clear" w:pos="2835"/>
              </w:tabs>
              <w:spacing w:before="60" w:after="60"/>
              <w:jc w:val="right"/>
              <w:rPr>
                <w:rFonts w:ascii="CG Times" w:hAnsi="CG Times"/>
                <w:sz w:val="20"/>
              </w:rPr>
            </w:pPr>
          </w:p>
        </w:tc>
      </w:tr>
      <w:tr w:rsidR="00D215BD" w:rsidRPr="001314CA" w14:paraId="7C9FA426" w14:textId="77777777" w:rsidTr="00D215BD">
        <w:trPr>
          <w:trHeight w:val="300"/>
        </w:trPr>
        <w:tc>
          <w:tcPr>
            <w:tcW w:w="4390" w:type="dxa"/>
            <w:tcBorders>
              <w:top w:val="nil"/>
              <w:left w:val="single" w:sz="4" w:space="0" w:color="auto"/>
              <w:bottom w:val="nil"/>
              <w:right w:val="single" w:sz="4" w:space="0" w:color="auto"/>
            </w:tcBorders>
            <w:shd w:val="clear" w:color="auto" w:fill="auto"/>
            <w:noWrap/>
          </w:tcPr>
          <w:p w14:paraId="48ADD888" w14:textId="77777777" w:rsidR="00D215BD" w:rsidRPr="001314CA" w:rsidRDefault="00D215BD" w:rsidP="00D215BD">
            <w:pPr>
              <w:tabs>
                <w:tab w:val="clear" w:pos="567"/>
                <w:tab w:val="clear" w:pos="1134"/>
                <w:tab w:val="clear" w:pos="1701"/>
                <w:tab w:val="clear" w:pos="2268"/>
                <w:tab w:val="clear" w:pos="2835"/>
              </w:tabs>
              <w:spacing w:before="60" w:after="60"/>
              <w:rPr>
                <w:sz w:val="20"/>
                <w:u w:val="single"/>
              </w:rPr>
            </w:pPr>
          </w:p>
        </w:tc>
        <w:tc>
          <w:tcPr>
            <w:tcW w:w="1417" w:type="dxa"/>
            <w:tcBorders>
              <w:top w:val="nil"/>
              <w:left w:val="nil"/>
              <w:bottom w:val="nil"/>
              <w:right w:val="nil"/>
            </w:tcBorders>
            <w:shd w:val="clear" w:color="auto" w:fill="auto"/>
            <w:noWrap/>
            <w:vAlign w:val="center"/>
          </w:tcPr>
          <w:p w14:paraId="5058A815" w14:textId="77777777" w:rsidR="00D215BD" w:rsidRPr="001314CA" w:rsidRDefault="00D215BD" w:rsidP="00D215BD">
            <w:pPr>
              <w:tabs>
                <w:tab w:val="clear" w:pos="567"/>
                <w:tab w:val="clear" w:pos="1134"/>
                <w:tab w:val="clear" w:pos="1701"/>
                <w:tab w:val="clear" w:pos="2268"/>
                <w:tab w:val="clear" w:pos="2835"/>
              </w:tabs>
              <w:spacing w:before="60" w:after="60"/>
              <w:jc w:val="right"/>
              <w:rPr>
                <w:rFonts w:ascii="CG Times" w:hAnsi="CG Times"/>
                <w:sz w:val="20"/>
              </w:rPr>
            </w:pPr>
          </w:p>
        </w:tc>
        <w:tc>
          <w:tcPr>
            <w:tcW w:w="1246" w:type="dxa"/>
            <w:tcBorders>
              <w:top w:val="nil"/>
              <w:left w:val="single" w:sz="4" w:space="0" w:color="auto"/>
              <w:bottom w:val="nil"/>
              <w:right w:val="single" w:sz="4" w:space="0" w:color="auto"/>
            </w:tcBorders>
            <w:shd w:val="clear" w:color="auto" w:fill="auto"/>
            <w:noWrap/>
            <w:vAlign w:val="center"/>
          </w:tcPr>
          <w:p w14:paraId="7434FCD3" w14:textId="77777777" w:rsidR="00D215BD" w:rsidRPr="001314CA" w:rsidRDefault="00D215BD" w:rsidP="00D215BD">
            <w:pPr>
              <w:tabs>
                <w:tab w:val="clear" w:pos="567"/>
                <w:tab w:val="clear" w:pos="1134"/>
                <w:tab w:val="clear" w:pos="1701"/>
                <w:tab w:val="clear" w:pos="2268"/>
                <w:tab w:val="clear" w:pos="2835"/>
              </w:tabs>
              <w:spacing w:before="60" w:after="60"/>
              <w:jc w:val="right"/>
              <w:rPr>
                <w:rFonts w:ascii="CG Times" w:hAnsi="CG Times"/>
                <w:sz w:val="20"/>
              </w:rPr>
            </w:pPr>
          </w:p>
        </w:tc>
        <w:tc>
          <w:tcPr>
            <w:tcW w:w="1295" w:type="dxa"/>
            <w:tcBorders>
              <w:top w:val="nil"/>
              <w:left w:val="nil"/>
              <w:bottom w:val="nil"/>
              <w:right w:val="nil"/>
            </w:tcBorders>
            <w:shd w:val="clear" w:color="auto" w:fill="auto"/>
            <w:noWrap/>
            <w:vAlign w:val="center"/>
          </w:tcPr>
          <w:p w14:paraId="2FD42AA2" w14:textId="77777777" w:rsidR="00D215BD" w:rsidRPr="001314CA" w:rsidRDefault="00D215BD" w:rsidP="00D215BD">
            <w:pPr>
              <w:tabs>
                <w:tab w:val="clear" w:pos="567"/>
                <w:tab w:val="clear" w:pos="1134"/>
                <w:tab w:val="clear" w:pos="1701"/>
                <w:tab w:val="clear" w:pos="2268"/>
                <w:tab w:val="clear" w:pos="2835"/>
              </w:tabs>
              <w:spacing w:before="60" w:after="60"/>
              <w:jc w:val="right"/>
              <w:rPr>
                <w:rFonts w:ascii="CG Times" w:hAnsi="CG Times"/>
                <w:sz w:val="20"/>
              </w:rPr>
            </w:pPr>
          </w:p>
        </w:tc>
        <w:tc>
          <w:tcPr>
            <w:tcW w:w="1281" w:type="dxa"/>
            <w:tcBorders>
              <w:top w:val="nil"/>
              <w:left w:val="single" w:sz="4" w:space="0" w:color="auto"/>
              <w:bottom w:val="nil"/>
              <w:right w:val="single" w:sz="4" w:space="0" w:color="auto"/>
            </w:tcBorders>
            <w:shd w:val="clear" w:color="auto" w:fill="auto"/>
            <w:noWrap/>
            <w:vAlign w:val="center"/>
          </w:tcPr>
          <w:p w14:paraId="7974459D" w14:textId="77777777" w:rsidR="00D215BD" w:rsidRPr="001314CA" w:rsidRDefault="00D215BD" w:rsidP="00D215BD">
            <w:pPr>
              <w:tabs>
                <w:tab w:val="clear" w:pos="567"/>
                <w:tab w:val="clear" w:pos="1134"/>
                <w:tab w:val="clear" w:pos="1701"/>
                <w:tab w:val="clear" w:pos="2268"/>
                <w:tab w:val="clear" w:pos="2835"/>
              </w:tabs>
              <w:spacing w:before="60" w:after="60"/>
              <w:jc w:val="right"/>
              <w:rPr>
                <w:rFonts w:ascii="CG Times" w:hAnsi="CG Times"/>
                <w:sz w:val="20"/>
              </w:rPr>
            </w:pPr>
          </w:p>
        </w:tc>
      </w:tr>
      <w:tr w:rsidR="00D215BD" w:rsidRPr="001314CA" w14:paraId="401C2BF2" w14:textId="77777777" w:rsidTr="00D215BD">
        <w:trPr>
          <w:trHeight w:val="300"/>
        </w:trPr>
        <w:tc>
          <w:tcPr>
            <w:tcW w:w="4390" w:type="dxa"/>
            <w:tcBorders>
              <w:top w:val="nil"/>
              <w:left w:val="single" w:sz="4" w:space="0" w:color="auto"/>
              <w:bottom w:val="nil"/>
              <w:right w:val="single" w:sz="4" w:space="0" w:color="auto"/>
            </w:tcBorders>
            <w:shd w:val="clear" w:color="auto" w:fill="auto"/>
            <w:noWrap/>
            <w:hideMark/>
          </w:tcPr>
          <w:p w14:paraId="1369396C"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 xml:space="preserve">Rentes </w:t>
            </w:r>
          </w:p>
        </w:tc>
        <w:tc>
          <w:tcPr>
            <w:tcW w:w="1417" w:type="dxa"/>
            <w:tcBorders>
              <w:top w:val="nil"/>
              <w:left w:val="nil"/>
              <w:bottom w:val="nil"/>
              <w:right w:val="single" w:sz="4" w:space="0" w:color="auto"/>
            </w:tcBorders>
            <w:shd w:val="clear" w:color="auto" w:fill="auto"/>
            <w:noWrap/>
            <w:vAlign w:val="center"/>
          </w:tcPr>
          <w:p w14:paraId="46CCA23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16 864,80</w:t>
            </w:r>
          </w:p>
        </w:tc>
        <w:tc>
          <w:tcPr>
            <w:tcW w:w="1246" w:type="dxa"/>
            <w:tcBorders>
              <w:top w:val="nil"/>
              <w:left w:val="nil"/>
              <w:bottom w:val="nil"/>
              <w:right w:val="single" w:sz="4" w:space="0" w:color="auto"/>
            </w:tcBorders>
            <w:shd w:val="clear" w:color="auto" w:fill="auto"/>
            <w:noWrap/>
            <w:vAlign w:val="center"/>
          </w:tcPr>
          <w:p w14:paraId="337760AF"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16 864,80</w:t>
            </w:r>
          </w:p>
        </w:tc>
        <w:tc>
          <w:tcPr>
            <w:tcW w:w="1295" w:type="dxa"/>
            <w:tcBorders>
              <w:top w:val="nil"/>
              <w:left w:val="nil"/>
              <w:bottom w:val="nil"/>
              <w:right w:val="nil"/>
            </w:tcBorders>
            <w:shd w:val="clear" w:color="auto" w:fill="auto"/>
            <w:noWrap/>
            <w:vAlign w:val="center"/>
          </w:tcPr>
          <w:p w14:paraId="05C4F17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81" w:type="dxa"/>
            <w:tcBorders>
              <w:top w:val="nil"/>
              <w:left w:val="single" w:sz="4" w:space="0" w:color="auto"/>
              <w:bottom w:val="nil"/>
              <w:right w:val="single" w:sz="4" w:space="0" w:color="auto"/>
            </w:tcBorders>
            <w:shd w:val="clear" w:color="auto" w:fill="auto"/>
            <w:noWrap/>
            <w:vAlign w:val="center"/>
          </w:tcPr>
          <w:p w14:paraId="6F703E8A"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r>
      <w:tr w:rsidR="00D215BD" w:rsidRPr="001314CA" w14:paraId="6F60A024" w14:textId="77777777" w:rsidTr="00D215BD">
        <w:trPr>
          <w:trHeight w:val="300"/>
        </w:trPr>
        <w:tc>
          <w:tcPr>
            <w:tcW w:w="4390" w:type="dxa"/>
            <w:tcBorders>
              <w:top w:val="nil"/>
              <w:left w:val="single" w:sz="4" w:space="0" w:color="auto"/>
              <w:bottom w:val="nil"/>
              <w:right w:val="single" w:sz="4" w:space="0" w:color="auto"/>
            </w:tcBorders>
            <w:shd w:val="clear" w:color="auto" w:fill="auto"/>
            <w:noWrap/>
            <w:hideMark/>
          </w:tcPr>
          <w:p w14:paraId="13CEA77A"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Dons</w:t>
            </w:r>
          </w:p>
        </w:tc>
        <w:tc>
          <w:tcPr>
            <w:tcW w:w="1417" w:type="dxa"/>
            <w:tcBorders>
              <w:top w:val="nil"/>
              <w:left w:val="nil"/>
              <w:bottom w:val="nil"/>
              <w:right w:val="single" w:sz="4" w:space="0" w:color="auto"/>
            </w:tcBorders>
            <w:shd w:val="clear" w:color="auto" w:fill="auto"/>
            <w:noWrap/>
            <w:vAlign w:val="center"/>
          </w:tcPr>
          <w:p w14:paraId="79FBAE8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46" w:type="dxa"/>
            <w:tcBorders>
              <w:top w:val="nil"/>
              <w:left w:val="nil"/>
              <w:bottom w:val="nil"/>
              <w:right w:val="single" w:sz="4" w:space="0" w:color="auto"/>
            </w:tcBorders>
            <w:shd w:val="clear" w:color="auto" w:fill="auto"/>
            <w:noWrap/>
            <w:vAlign w:val="center"/>
          </w:tcPr>
          <w:p w14:paraId="4762C476"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95" w:type="dxa"/>
            <w:tcBorders>
              <w:top w:val="nil"/>
              <w:left w:val="nil"/>
              <w:bottom w:val="nil"/>
              <w:right w:val="single" w:sz="4" w:space="0" w:color="auto"/>
            </w:tcBorders>
            <w:shd w:val="clear" w:color="auto" w:fill="auto"/>
            <w:noWrap/>
            <w:vAlign w:val="center"/>
          </w:tcPr>
          <w:p w14:paraId="3317B9D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81" w:type="dxa"/>
            <w:tcBorders>
              <w:top w:val="nil"/>
              <w:left w:val="nil"/>
              <w:bottom w:val="nil"/>
              <w:right w:val="single" w:sz="4" w:space="0" w:color="auto"/>
            </w:tcBorders>
            <w:shd w:val="clear" w:color="auto" w:fill="auto"/>
            <w:noWrap/>
            <w:vAlign w:val="center"/>
          </w:tcPr>
          <w:p w14:paraId="30420257"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r>
      <w:tr w:rsidR="00D215BD" w:rsidRPr="001314CA" w14:paraId="0C95BCAE" w14:textId="77777777" w:rsidTr="00D215BD">
        <w:trPr>
          <w:trHeight w:val="300"/>
        </w:trPr>
        <w:tc>
          <w:tcPr>
            <w:tcW w:w="4390" w:type="dxa"/>
            <w:tcBorders>
              <w:top w:val="nil"/>
              <w:left w:val="single" w:sz="4" w:space="0" w:color="auto"/>
              <w:bottom w:val="nil"/>
              <w:right w:val="single" w:sz="4" w:space="0" w:color="auto"/>
            </w:tcBorders>
            <w:shd w:val="clear" w:color="auto" w:fill="auto"/>
            <w:noWrap/>
            <w:vAlign w:val="center"/>
          </w:tcPr>
          <w:p w14:paraId="68EC6B6E"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rFonts w:asciiTheme="minorHAnsi" w:hAnsiTheme="minorHAnsi"/>
                <w:sz w:val="20"/>
                <w:lang w:eastAsia="zh-CN"/>
              </w:rPr>
              <w:t xml:space="preserve">Charges financières </w:t>
            </w:r>
          </w:p>
        </w:tc>
        <w:tc>
          <w:tcPr>
            <w:tcW w:w="1417" w:type="dxa"/>
            <w:tcBorders>
              <w:top w:val="nil"/>
              <w:left w:val="nil"/>
              <w:bottom w:val="nil"/>
              <w:right w:val="single" w:sz="4" w:space="0" w:color="auto"/>
            </w:tcBorders>
            <w:shd w:val="clear" w:color="auto" w:fill="auto"/>
            <w:noWrap/>
            <w:vAlign w:val="center"/>
          </w:tcPr>
          <w:p w14:paraId="50E2399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143,17</w:t>
            </w:r>
          </w:p>
        </w:tc>
        <w:tc>
          <w:tcPr>
            <w:tcW w:w="1246" w:type="dxa"/>
            <w:tcBorders>
              <w:top w:val="nil"/>
              <w:left w:val="nil"/>
              <w:bottom w:val="nil"/>
              <w:right w:val="single" w:sz="4" w:space="0" w:color="auto"/>
            </w:tcBorders>
            <w:shd w:val="clear" w:color="auto" w:fill="auto"/>
            <w:noWrap/>
            <w:vAlign w:val="center"/>
          </w:tcPr>
          <w:p w14:paraId="11C865DF"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95" w:type="dxa"/>
            <w:tcBorders>
              <w:top w:val="nil"/>
              <w:left w:val="nil"/>
              <w:bottom w:val="nil"/>
              <w:right w:val="single" w:sz="4" w:space="0" w:color="auto"/>
            </w:tcBorders>
            <w:shd w:val="clear" w:color="auto" w:fill="auto"/>
            <w:noWrap/>
            <w:vAlign w:val="center"/>
          </w:tcPr>
          <w:p w14:paraId="4FF8D3D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329,86</w:t>
            </w:r>
          </w:p>
        </w:tc>
        <w:tc>
          <w:tcPr>
            <w:tcW w:w="1281" w:type="dxa"/>
            <w:tcBorders>
              <w:top w:val="nil"/>
              <w:left w:val="nil"/>
              <w:bottom w:val="nil"/>
              <w:right w:val="single" w:sz="4" w:space="0" w:color="auto"/>
            </w:tcBorders>
            <w:shd w:val="clear" w:color="auto" w:fill="auto"/>
            <w:noWrap/>
            <w:vAlign w:val="center"/>
          </w:tcPr>
          <w:p w14:paraId="17E3789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r>
      <w:tr w:rsidR="00D215BD" w:rsidRPr="001314CA" w14:paraId="7317CA75" w14:textId="77777777" w:rsidTr="00D215BD">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7741CCD"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rFonts w:asciiTheme="minorHAnsi" w:hAnsiTheme="minorHAnsi"/>
                <w:sz w:val="20"/>
                <w:lang w:eastAsia="zh-CN"/>
              </w:rPr>
              <w:t>Autres charges financières</w:t>
            </w:r>
          </w:p>
        </w:tc>
        <w:tc>
          <w:tcPr>
            <w:tcW w:w="1417" w:type="dxa"/>
            <w:tcBorders>
              <w:top w:val="nil"/>
              <w:left w:val="nil"/>
              <w:bottom w:val="single" w:sz="4" w:space="0" w:color="auto"/>
              <w:right w:val="single" w:sz="4" w:space="0" w:color="auto"/>
            </w:tcBorders>
            <w:shd w:val="clear" w:color="auto" w:fill="auto"/>
            <w:noWrap/>
            <w:vAlign w:val="center"/>
          </w:tcPr>
          <w:p w14:paraId="6C81CA26"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413 434,15</w:t>
            </w:r>
          </w:p>
        </w:tc>
        <w:tc>
          <w:tcPr>
            <w:tcW w:w="1246" w:type="dxa"/>
            <w:tcBorders>
              <w:top w:val="nil"/>
              <w:left w:val="nil"/>
              <w:bottom w:val="single" w:sz="4" w:space="0" w:color="auto"/>
              <w:right w:val="single" w:sz="4" w:space="0" w:color="auto"/>
            </w:tcBorders>
            <w:shd w:val="clear" w:color="auto" w:fill="auto"/>
            <w:noWrap/>
            <w:vAlign w:val="center"/>
          </w:tcPr>
          <w:p w14:paraId="4A35004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16 864,80</w:t>
            </w:r>
          </w:p>
        </w:tc>
        <w:tc>
          <w:tcPr>
            <w:tcW w:w="1295" w:type="dxa"/>
            <w:tcBorders>
              <w:top w:val="nil"/>
              <w:left w:val="nil"/>
              <w:bottom w:val="single" w:sz="4" w:space="0" w:color="auto"/>
              <w:right w:val="single" w:sz="4" w:space="0" w:color="auto"/>
            </w:tcBorders>
            <w:shd w:val="clear" w:color="auto" w:fill="auto"/>
            <w:noWrap/>
            <w:vAlign w:val="center"/>
          </w:tcPr>
          <w:p w14:paraId="6E59646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81" w:type="dxa"/>
            <w:tcBorders>
              <w:top w:val="nil"/>
              <w:left w:val="nil"/>
              <w:bottom w:val="single" w:sz="4" w:space="0" w:color="auto"/>
              <w:right w:val="single" w:sz="4" w:space="0" w:color="auto"/>
            </w:tcBorders>
            <w:shd w:val="clear" w:color="auto" w:fill="auto"/>
            <w:noWrap/>
            <w:vAlign w:val="center"/>
          </w:tcPr>
          <w:p w14:paraId="766DF33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r>
      <w:tr w:rsidR="00D215BD" w:rsidRPr="001314CA" w14:paraId="2F2E2368" w14:textId="77777777" w:rsidTr="00D215BD">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F019" w14:textId="77777777" w:rsidR="00D215BD" w:rsidRPr="001314CA" w:rsidRDefault="00D215BD" w:rsidP="00D215BD">
            <w:pPr>
              <w:tabs>
                <w:tab w:val="clear" w:pos="567"/>
                <w:tab w:val="clear" w:pos="1134"/>
                <w:tab w:val="clear" w:pos="1701"/>
                <w:tab w:val="clear" w:pos="2268"/>
                <w:tab w:val="clear" w:pos="2835"/>
              </w:tabs>
              <w:spacing w:before="60" w:after="60"/>
              <w:rPr>
                <w:b/>
                <w:bCs/>
                <w:sz w:val="20"/>
              </w:rPr>
            </w:pPr>
            <w:r w:rsidRPr="001314CA">
              <w:rPr>
                <w:b/>
                <w:bCs/>
                <w:sz w:val="20"/>
              </w:rPr>
              <w:t>TOTAL DES CHARGES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20DEA31"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430 442,12</w:t>
            </w:r>
          </w:p>
        </w:tc>
        <w:tc>
          <w:tcPr>
            <w:tcW w:w="1246" w:type="dxa"/>
            <w:tcBorders>
              <w:top w:val="single" w:sz="4" w:space="0" w:color="auto"/>
              <w:left w:val="nil"/>
              <w:bottom w:val="single" w:sz="4" w:space="0" w:color="auto"/>
              <w:right w:val="single" w:sz="4" w:space="0" w:color="auto"/>
            </w:tcBorders>
            <w:shd w:val="clear" w:color="auto" w:fill="auto"/>
            <w:noWrap/>
            <w:vAlign w:val="center"/>
          </w:tcPr>
          <w:p w14:paraId="0ADE1E10"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16 864,80</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06341180" w14:textId="77777777" w:rsidR="00D215BD" w:rsidRPr="001314CA" w:rsidRDefault="00D215BD" w:rsidP="00D215BD">
            <w:pPr>
              <w:tabs>
                <w:tab w:val="clear" w:pos="567"/>
                <w:tab w:val="clear" w:pos="1134"/>
                <w:tab w:val="clear" w:pos="1701"/>
                <w:tab w:val="clear" w:pos="2268"/>
                <w:tab w:val="clear" w:pos="2835"/>
              </w:tabs>
              <w:spacing w:before="60" w:after="60"/>
              <w:jc w:val="right"/>
              <w:rPr>
                <w:b/>
                <w:sz w:val="20"/>
              </w:rPr>
            </w:pPr>
            <w:r w:rsidRPr="001314CA">
              <w:rPr>
                <w:b/>
                <w:sz w:val="20"/>
              </w:rPr>
              <w:t>329,86</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16900C22" w14:textId="77777777" w:rsidR="00D215BD" w:rsidRPr="001314CA" w:rsidRDefault="00D215BD" w:rsidP="00D215BD">
            <w:pPr>
              <w:tabs>
                <w:tab w:val="clear" w:pos="567"/>
                <w:tab w:val="clear" w:pos="1134"/>
                <w:tab w:val="clear" w:pos="1701"/>
                <w:tab w:val="clear" w:pos="2268"/>
                <w:tab w:val="clear" w:pos="2835"/>
              </w:tabs>
              <w:spacing w:before="60" w:after="60"/>
              <w:jc w:val="right"/>
              <w:rPr>
                <w:b/>
                <w:sz w:val="20"/>
              </w:rPr>
            </w:pPr>
            <w:r w:rsidRPr="001314CA">
              <w:rPr>
                <w:b/>
                <w:sz w:val="20"/>
              </w:rPr>
              <w:t>–</w:t>
            </w:r>
          </w:p>
        </w:tc>
      </w:tr>
      <w:tr w:rsidR="00D215BD" w:rsidRPr="001314CA" w14:paraId="0B0CE2EA" w14:textId="77777777" w:rsidTr="00D215BD">
        <w:trPr>
          <w:trHeight w:val="300"/>
        </w:trPr>
        <w:tc>
          <w:tcPr>
            <w:tcW w:w="4390" w:type="dxa"/>
            <w:tcBorders>
              <w:top w:val="single" w:sz="4" w:space="0" w:color="auto"/>
              <w:left w:val="single" w:sz="4" w:space="0" w:color="auto"/>
              <w:bottom w:val="nil"/>
              <w:right w:val="single" w:sz="4" w:space="0" w:color="auto"/>
            </w:tcBorders>
            <w:shd w:val="clear" w:color="auto" w:fill="auto"/>
            <w:noWrap/>
          </w:tcPr>
          <w:p w14:paraId="18112952" w14:textId="77777777" w:rsidR="00D215BD" w:rsidRPr="001314CA" w:rsidRDefault="00D215BD" w:rsidP="00D215BD">
            <w:pPr>
              <w:tabs>
                <w:tab w:val="clear" w:pos="567"/>
                <w:tab w:val="clear" w:pos="1134"/>
                <w:tab w:val="clear" w:pos="1701"/>
                <w:tab w:val="clear" w:pos="2268"/>
                <w:tab w:val="clear" w:pos="2835"/>
              </w:tabs>
              <w:spacing w:before="0"/>
              <w:rPr>
                <w:sz w:val="20"/>
                <w:u w:val="single"/>
              </w:rPr>
            </w:pPr>
          </w:p>
        </w:tc>
        <w:tc>
          <w:tcPr>
            <w:tcW w:w="1417" w:type="dxa"/>
            <w:tcBorders>
              <w:top w:val="single" w:sz="4" w:space="0" w:color="auto"/>
              <w:left w:val="nil"/>
              <w:bottom w:val="nil"/>
              <w:right w:val="single" w:sz="4" w:space="0" w:color="auto"/>
            </w:tcBorders>
            <w:shd w:val="clear" w:color="auto" w:fill="auto"/>
            <w:noWrap/>
            <w:vAlign w:val="center"/>
          </w:tcPr>
          <w:p w14:paraId="656AEEC7" w14:textId="77777777" w:rsidR="00D215BD" w:rsidRPr="001314CA" w:rsidRDefault="00D215BD" w:rsidP="00D215BD">
            <w:pPr>
              <w:tabs>
                <w:tab w:val="clear" w:pos="567"/>
                <w:tab w:val="clear" w:pos="1134"/>
                <w:tab w:val="clear" w:pos="1701"/>
                <w:tab w:val="clear" w:pos="2268"/>
                <w:tab w:val="clear" w:pos="2835"/>
              </w:tabs>
              <w:spacing w:before="0"/>
              <w:jc w:val="right"/>
              <w:rPr>
                <w:sz w:val="20"/>
              </w:rPr>
            </w:pPr>
          </w:p>
        </w:tc>
        <w:tc>
          <w:tcPr>
            <w:tcW w:w="1246" w:type="dxa"/>
            <w:tcBorders>
              <w:top w:val="single" w:sz="4" w:space="0" w:color="auto"/>
              <w:left w:val="nil"/>
              <w:bottom w:val="nil"/>
              <w:right w:val="single" w:sz="4" w:space="0" w:color="auto"/>
            </w:tcBorders>
            <w:shd w:val="clear" w:color="auto" w:fill="auto"/>
            <w:noWrap/>
            <w:vAlign w:val="center"/>
          </w:tcPr>
          <w:p w14:paraId="525726C7" w14:textId="77777777" w:rsidR="00D215BD" w:rsidRPr="001314CA" w:rsidRDefault="00D215BD" w:rsidP="00D215BD">
            <w:pPr>
              <w:tabs>
                <w:tab w:val="clear" w:pos="567"/>
                <w:tab w:val="clear" w:pos="1134"/>
                <w:tab w:val="clear" w:pos="1701"/>
                <w:tab w:val="clear" w:pos="2268"/>
                <w:tab w:val="clear" w:pos="2835"/>
              </w:tabs>
              <w:spacing w:before="0"/>
              <w:jc w:val="right"/>
              <w:rPr>
                <w:sz w:val="20"/>
              </w:rPr>
            </w:pPr>
          </w:p>
        </w:tc>
        <w:tc>
          <w:tcPr>
            <w:tcW w:w="1295" w:type="dxa"/>
            <w:tcBorders>
              <w:top w:val="single" w:sz="4" w:space="0" w:color="auto"/>
              <w:left w:val="nil"/>
              <w:bottom w:val="nil"/>
              <w:right w:val="single" w:sz="4" w:space="0" w:color="auto"/>
            </w:tcBorders>
            <w:shd w:val="clear" w:color="auto" w:fill="auto"/>
            <w:noWrap/>
            <w:vAlign w:val="center"/>
          </w:tcPr>
          <w:p w14:paraId="74777C01" w14:textId="77777777" w:rsidR="00D215BD" w:rsidRPr="001314CA" w:rsidRDefault="00D215BD" w:rsidP="00D215BD">
            <w:pPr>
              <w:tabs>
                <w:tab w:val="clear" w:pos="567"/>
                <w:tab w:val="clear" w:pos="1134"/>
                <w:tab w:val="clear" w:pos="1701"/>
                <w:tab w:val="clear" w:pos="2268"/>
                <w:tab w:val="clear" w:pos="2835"/>
              </w:tabs>
              <w:spacing w:before="0"/>
              <w:jc w:val="right"/>
              <w:rPr>
                <w:sz w:val="20"/>
              </w:rPr>
            </w:pPr>
          </w:p>
        </w:tc>
        <w:tc>
          <w:tcPr>
            <w:tcW w:w="1281" w:type="dxa"/>
            <w:tcBorders>
              <w:top w:val="single" w:sz="4" w:space="0" w:color="auto"/>
              <w:left w:val="nil"/>
              <w:bottom w:val="nil"/>
              <w:right w:val="single" w:sz="4" w:space="0" w:color="auto"/>
            </w:tcBorders>
            <w:shd w:val="clear" w:color="auto" w:fill="auto"/>
            <w:noWrap/>
            <w:vAlign w:val="center"/>
          </w:tcPr>
          <w:p w14:paraId="26DD18CB" w14:textId="77777777" w:rsidR="00D215BD" w:rsidRPr="001314CA" w:rsidRDefault="00D215BD" w:rsidP="00D215BD">
            <w:pPr>
              <w:tabs>
                <w:tab w:val="clear" w:pos="567"/>
                <w:tab w:val="clear" w:pos="1134"/>
                <w:tab w:val="clear" w:pos="1701"/>
                <w:tab w:val="clear" w:pos="2268"/>
                <w:tab w:val="clear" w:pos="2835"/>
              </w:tabs>
              <w:spacing w:before="0"/>
              <w:jc w:val="right"/>
              <w:rPr>
                <w:sz w:val="20"/>
              </w:rPr>
            </w:pPr>
          </w:p>
        </w:tc>
      </w:tr>
      <w:tr w:rsidR="00D215BD" w:rsidRPr="001314CA" w14:paraId="6C3474E8" w14:textId="77777777" w:rsidTr="00D215BD">
        <w:trPr>
          <w:trHeight w:val="300"/>
        </w:trPr>
        <w:tc>
          <w:tcPr>
            <w:tcW w:w="4390" w:type="dxa"/>
            <w:tcBorders>
              <w:top w:val="nil"/>
              <w:left w:val="single" w:sz="4" w:space="0" w:color="auto"/>
              <w:bottom w:val="nil"/>
              <w:right w:val="single" w:sz="4" w:space="0" w:color="auto"/>
            </w:tcBorders>
            <w:shd w:val="clear" w:color="auto" w:fill="auto"/>
            <w:noWrap/>
            <w:hideMark/>
          </w:tcPr>
          <w:p w14:paraId="0869E335" w14:textId="77777777" w:rsidR="00D215BD" w:rsidRPr="001314CA" w:rsidRDefault="00D215BD" w:rsidP="00D215BD">
            <w:pPr>
              <w:tabs>
                <w:tab w:val="clear" w:pos="567"/>
                <w:tab w:val="clear" w:pos="1134"/>
                <w:tab w:val="clear" w:pos="1701"/>
                <w:tab w:val="clear" w:pos="2268"/>
                <w:tab w:val="clear" w:pos="2835"/>
              </w:tabs>
              <w:spacing w:before="60" w:after="60"/>
              <w:rPr>
                <w:sz w:val="20"/>
                <w:u w:val="single"/>
              </w:rPr>
            </w:pPr>
            <w:r w:rsidRPr="001314CA">
              <w:rPr>
                <w:sz w:val="20"/>
                <w:u w:val="single"/>
              </w:rPr>
              <w:t>PRODUITS</w:t>
            </w:r>
          </w:p>
        </w:tc>
        <w:tc>
          <w:tcPr>
            <w:tcW w:w="1417" w:type="dxa"/>
            <w:tcBorders>
              <w:top w:val="nil"/>
              <w:left w:val="nil"/>
              <w:bottom w:val="nil"/>
              <w:right w:val="single" w:sz="4" w:space="0" w:color="auto"/>
            </w:tcBorders>
            <w:shd w:val="clear" w:color="auto" w:fill="auto"/>
            <w:noWrap/>
            <w:vAlign w:val="center"/>
          </w:tcPr>
          <w:p w14:paraId="613E249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46" w:type="dxa"/>
            <w:tcBorders>
              <w:top w:val="nil"/>
              <w:left w:val="nil"/>
              <w:bottom w:val="nil"/>
              <w:right w:val="single" w:sz="4" w:space="0" w:color="auto"/>
            </w:tcBorders>
            <w:shd w:val="clear" w:color="auto" w:fill="auto"/>
            <w:noWrap/>
            <w:vAlign w:val="center"/>
          </w:tcPr>
          <w:p w14:paraId="280DD75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95" w:type="dxa"/>
            <w:tcBorders>
              <w:top w:val="nil"/>
              <w:left w:val="nil"/>
              <w:bottom w:val="nil"/>
              <w:right w:val="single" w:sz="4" w:space="0" w:color="auto"/>
            </w:tcBorders>
            <w:shd w:val="clear" w:color="auto" w:fill="auto"/>
            <w:noWrap/>
            <w:vAlign w:val="center"/>
          </w:tcPr>
          <w:p w14:paraId="360B30C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81" w:type="dxa"/>
            <w:tcBorders>
              <w:top w:val="nil"/>
              <w:left w:val="nil"/>
              <w:bottom w:val="nil"/>
              <w:right w:val="single" w:sz="4" w:space="0" w:color="auto"/>
            </w:tcBorders>
            <w:shd w:val="clear" w:color="auto" w:fill="auto"/>
            <w:noWrap/>
            <w:vAlign w:val="center"/>
          </w:tcPr>
          <w:p w14:paraId="665BD62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r>
      <w:tr w:rsidR="00D215BD" w:rsidRPr="001314CA" w14:paraId="69223242" w14:textId="77777777" w:rsidTr="00D215BD">
        <w:trPr>
          <w:trHeight w:val="300"/>
        </w:trPr>
        <w:tc>
          <w:tcPr>
            <w:tcW w:w="4390" w:type="dxa"/>
            <w:tcBorders>
              <w:top w:val="nil"/>
              <w:left w:val="single" w:sz="4" w:space="0" w:color="auto"/>
              <w:bottom w:val="nil"/>
              <w:right w:val="single" w:sz="4" w:space="0" w:color="auto"/>
            </w:tcBorders>
            <w:shd w:val="clear" w:color="auto" w:fill="auto"/>
            <w:noWrap/>
          </w:tcPr>
          <w:p w14:paraId="3375CC16" w14:textId="77777777" w:rsidR="00D215BD" w:rsidRPr="001314CA" w:rsidRDefault="00D215BD" w:rsidP="00D215BD">
            <w:pPr>
              <w:tabs>
                <w:tab w:val="clear" w:pos="567"/>
                <w:tab w:val="clear" w:pos="1134"/>
                <w:tab w:val="clear" w:pos="1701"/>
                <w:tab w:val="clear" w:pos="2268"/>
                <w:tab w:val="clear" w:pos="2835"/>
              </w:tabs>
              <w:spacing w:before="60" w:after="60"/>
              <w:rPr>
                <w:sz w:val="20"/>
                <w:u w:val="single"/>
              </w:rPr>
            </w:pPr>
          </w:p>
        </w:tc>
        <w:tc>
          <w:tcPr>
            <w:tcW w:w="1417" w:type="dxa"/>
            <w:tcBorders>
              <w:top w:val="nil"/>
              <w:left w:val="nil"/>
              <w:bottom w:val="nil"/>
              <w:right w:val="single" w:sz="4" w:space="0" w:color="auto"/>
            </w:tcBorders>
            <w:shd w:val="clear" w:color="auto" w:fill="auto"/>
            <w:noWrap/>
            <w:vAlign w:val="center"/>
          </w:tcPr>
          <w:p w14:paraId="49233FB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46" w:type="dxa"/>
            <w:tcBorders>
              <w:top w:val="nil"/>
              <w:left w:val="nil"/>
              <w:bottom w:val="nil"/>
              <w:right w:val="single" w:sz="4" w:space="0" w:color="auto"/>
            </w:tcBorders>
            <w:shd w:val="clear" w:color="auto" w:fill="auto"/>
            <w:noWrap/>
            <w:vAlign w:val="center"/>
          </w:tcPr>
          <w:p w14:paraId="6850DDA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95" w:type="dxa"/>
            <w:tcBorders>
              <w:top w:val="nil"/>
              <w:left w:val="nil"/>
              <w:bottom w:val="nil"/>
              <w:right w:val="single" w:sz="4" w:space="0" w:color="auto"/>
            </w:tcBorders>
            <w:shd w:val="clear" w:color="auto" w:fill="auto"/>
            <w:noWrap/>
            <w:vAlign w:val="center"/>
          </w:tcPr>
          <w:p w14:paraId="0154E92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81" w:type="dxa"/>
            <w:tcBorders>
              <w:top w:val="nil"/>
              <w:left w:val="nil"/>
              <w:bottom w:val="nil"/>
              <w:right w:val="single" w:sz="4" w:space="0" w:color="auto"/>
            </w:tcBorders>
            <w:shd w:val="clear" w:color="auto" w:fill="auto"/>
            <w:noWrap/>
            <w:vAlign w:val="center"/>
          </w:tcPr>
          <w:p w14:paraId="31822716"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r>
      <w:tr w:rsidR="00D215BD" w:rsidRPr="001314CA" w14:paraId="37B7DA60" w14:textId="77777777" w:rsidTr="00D215BD">
        <w:trPr>
          <w:trHeight w:val="300"/>
        </w:trPr>
        <w:tc>
          <w:tcPr>
            <w:tcW w:w="4390" w:type="dxa"/>
            <w:tcBorders>
              <w:top w:val="nil"/>
              <w:left w:val="single" w:sz="4" w:space="0" w:color="auto"/>
              <w:bottom w:val="nil"/>
              <w:right w:val="single" w:sz="4" w:space="0" w:color="auto"/>
            </w:tcBorders>
            <w:shd w:val="clear" w:color="auto" w:fill="auto"/>
            <w:noWrap/>
            <w:hideMark/>
          </w:tcPr>
          <w:p w14:paraId="5FEF0D51"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Intérêts sur placement</w:t>
            </w:r>
          </w:p>
        </w:tc>
        <w:tc>
          <w:tcPr>
            <w:tcW w:w="1417" w:type="dxa"/>
            <w:tcBorders>
              <w:top w:val="nil"/>
              <w:left w:val="nil"/>
              <w:bottom w:val="nil"/>
              <w:right w:val="single" w:sz="4" w:space="0" w:color="auto"/>
            </w:tcBorders>
            <w:shd w:val="clear" w:color="auto" w:fill="auto"/>
            <w:noWrap/>
            <w:vAlign w:val="center"/>
          </w:tcPr>
          <w:p w14:paraId="70DEBDD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24 992,39</w:t>
            </w:r>
          </w:p>
        </w:tc>
        <w:tc>
          <w:tcPr>
            <w:tcW w:w="1246" w:type="dxa"/>
            <w:tcBorders>
              <w:top w:val="nil"/>
              <w:left w:val="nil"/>
              <w:bottom w:val="nil"/>
              <w:right w:val="single" w:sz="4" w:space="0" w:color="auto"/>
            </w:tcBorders>
            <w:shd w:val="clear" w:color="auto" w:fill="auto"/>
            <w:noWrap/>
            <w:vAlign w:val="center"/>
          </w:tcPr>
          <w:p w14:paraId="2C257351"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95" w:type="dxa"/>
            <w:tcBorders>
              <w:top w:val="nil"/>
              <w:left w:val="nil"/>
              <w:bottom w:val="nil"/>
              <w:right w:val="single" w:sz="4" w:space="0" w:color="auto"/>
            </w:tcBorders>
            <w:shd w:val="clear" w:color="auto" w:fill="auto"/>
            <w:noWrap/>
            <w:vAlign w:val="center"/>
          </w:tcPr>
          <w:p w14:paraId="33C5A34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81" w:type="dxa"/>
            <w:tcBorders>
              <w:top w:val="nil"/>
              <w:left w:val="nil"/>
              <w:bottom w:val="nil"/>
              <w:right w:val="single" w:sz="4" w:space="0" w:color="auto"/>
            </w:tcBorders>
            <w:shd w:val="clear" w:color="auto" w:fill="auto"/>
            <w:noWrap/>
            <w:vAlign w:val="center"/>
          </w:tcPr>
          <w:p w14:paraId="40166F47"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r>
      <w:tr w:rsidR="00D215BD" w:rsidRPr="001314CA" w14:paraId="72FD9C24" w14:textId="77777777" w:rsidTr="00D215BD">
        <w:trPr>
          <w:trHeight w:val="300"/>
        </w:trPr>
        <w:tc>
          <w:tcPr>
            <w:tcW w:w="4390" w:type="dxa"/>
            <w:tcBorders>
              <w:top w:val="nil"/>
              <w:left w:val="single" w:sz="4" w:space="0" w:color="auto"/>
              <w:right w:val="single" w:sz="4" w:space="0" w:color="auto"/>
            </w:tcBorders>
            <w:shd w:val="clear" w:color="auto" w:fill="auto"/>
            <w:noWrap/>
            <w:hideMark/>
          </w:tcPr>
          <w:p w14:paraId="234157B7"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Autres produits financiers</w:t>
            </w:r>
          </w:p>
        </w:tc>
        <w:tc>
          <w:tcPr>
            <w:tcW w:w="1417" w:type="dxa"/>
            <w:tcBorders>
              <w:top w:val="nil"/>
              <w:left w:val="nil"/>
              <w:right w:val="single" w:sz="4" w:space="0" w:color="auto"/>
            </w:tcBorders>
            <w:shd w:val="clear" w:color="auto" w:fill="auto"/>
            <w:noWrap/>
            <w:vAlign w:val="center"/>
          </w:tcPr>
          <w:p w14:paraId="1CCEBBD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4 315,15</w:t>
            </w:r>
          </w:p>
        </w:tc>
        <w:tc>
          <w:tcPr>
            <w:tcW w:w="1246" w:type="dxa"/>
            <w:tcBorders>
              <w:top w:val="nil"/>
              <w:left w:val="nil"/>
              <w:right w:val="single" w:sz="4" w:space="0" w:color="auto"/>
            </w:tcBorders>
            <w:shd w:val="clear" w:color="auto" w:fill="auto"/>
            <w:noWrap/>
            <w:vAlign w:val="center"/>
          </w:tcPr>
          <w:p w14:paraId="42099920"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95" w:type="dxa"/>
            <w:tcBorders>
              <w:top w:val="nil"/>
              <w:left w:val="nil"/>
              <w:right w:val="single" w:sz="4" w:space="0" w:color="auto"/>
            </w:tcBorders>
            <w:shd w:val="clear" w:color="auto" w:fill="auto"/>
            <w:noWrap/>
            <w:vAlign w:val="center"/>
          </w:tcPr>
          <w:p w14:paraId="05442EEE"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81" w:type="dxa"/>
            <w:tcBorders>
              <w:top w:val="nil"/>
              <w:left w:val="nil"/>
              <w:right w:val="single" w:sz="4" w:space="0" w:color="auto"/>
            </w:tcBorders>
            <w:shd w:val="clear" w:color="auto" w:fill="auto"/>
            <w:noWrap/>
            <w:vAlign w:val="center"/>
          </w:tcPr>
          <w:p w14:paraId="23C90CD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r>
      <w:tr w:rsidR="00D215BD" w:rsidRPr="001314CA" w14:paraId="71066322" w14:textId="77777777" w:rsidTr="00D215BD">
        <w:trPr>
          <w:trHeight w:val="300"/>
        </w:trPr>
        <w:tc>
          <w:tcPr>
            <w:tcW w:w="4390" w:type="dxa"/>
            <w:tcBorders>
              <w:top w:val="nil"/>
              <w:left w:val="single" w:sz="4" w:space="0" w:color="auto"/>
              <w:bottom w:val="single" w:sz="4" w:space="0" w:color="auto"/>
              <w:right w:val="single" w:sz="4" w:space="0" w:color="auto"/>
            </w:tcBorders>
            <w:shd w:val="clear" w:color="auto" w:fill="auto"/>
            <w:noWrap/>
          </w:tcPr>
          <w:p w14:paraId="065C18B4" w14:textId="77777777" w:rsidR="00D215BD" w:rsidRPr="001314CA" w:rsidRDefault="00D215BD" w:rsidP="00D215BD">
            <w:pPr>
              <w:tabs>
                <w:tab w:val="clear" w:pos="567"/>
                <w:tab w:val="clear" w:pos="1134"/>
                <w:tab w:val="clear" w:pos="1701"/>
                <w:tab w:val="clear" w:pos="2268"/>
                <w:tab w:val="clear" w:pos="2835"/>
              </w:tabs>
              <w:spacing w:before="60" w:after="60"/>
              <w:rPr>
                <w:sz w:val="20"/>
              </w:rPr>
            </w:pPr>
          </w:p>
        </w:tc>
        <w:tc>
          <w:tcPr>
            <w:tcW w:w="1417" w:type="dxa"/>
            <w:tcBorders>
              <w:top w:val="nil"/>
              <w:left w:val="nil"/>
              <w:bottom w:val="single" w:sz="4" w:space="0" w:color="auto"/>
              <w:right w:val="single" w:sz="4" w:space="0" w:color="auto"/>
            </w:tcBorders>
            <w:shd w:val="clear" w:color="auto" w:fill="auto"/>
            <w:noWrap/>
            <w:vAlign w:val="center"/>
          </w:tcPr>
          <w:p w14:paraId="162C5C2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46" w:type="dxa"/>
            <w:tcBorders>
              <w:top w:val="nil"/>
              <w:left w:val="nil"/>
              <w:bottom w:val="single" w:sz="4" w:space="0" w:color="auto"/>
              <w:right w:val="single" w:sz="4" w:space="0" w:color="auto"/>
            </w:tcBorders>
            <w:shd w:val="clear" w:color="auto" w:fill="auto"/>
            <w:noWrap/>
            <w:vAlign w:val="center"/>
          </w:tcPr>
          <w:p w14:paraId="3ED8F95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95" w:type="dxa"/>
            <w:tcBorders>
              <w:top w:val="nil"/>
              <w:left w:val="nil"/>
              <w:bottom w:val="single" w:sz="4" w:space="0" w:color="auto"/>
              <w:right w:val="single" w:sz="4" w:space="0" w:color="auto"/>
            </w:tcBorders>
            <w:shd w:val="clear" w:color="auto" w:fill="auto"/>
            <w:noWrap/>
            <w:vAlign w:val="center"/>
          </w:tcPr>
          <w:p w14:paraId="24E1A9D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81" w:type="dxa"/>
            <w:tcBorders>
              <w:top w:val="nil"/>
              <w:left w:val="nil"/>
              <w:bottom w:val="single" w:sz="4" w:space="0" w:color="auto"/>
              <w:right w:val="single" w:sz="4" w:space="0" w:color="auto"/>
            </w:tcBorders>
            <w:shd w:val="clear" w:color="auto" w:fill="auto"/>
            <w:noWrap/>
            <w:vAlign w:val="center"/>
          </w:tcPr>
          <w:p w14:paraId="003E4C6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r>
      <w:tr w:rsidR="00D215BD" w:rsidRPr="001314CA" w14:paraId="63C4962D" w14:textId="77777777" w:rsidTr="00D215BD">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60D63" w14:textId="77777777" w:rsidR="00D215BD" w:rsidRPr="001314CA" w:rsidRDefault="00D215BD" w:rsidP="00D215BD">
            <w:pPr>
              <w:tabs>
                <w:tab w:val="clear" w:pos="567"/>
                <w:tab w:val="clear" w:pos="1134"/>
                <w:tab w:val="clear" w:pos="1701"/>
                <w:tab w:val="clear" w:pos="2268"/>
                <w:tab w:val="clear" w:pos="2835"/>
              </w:tabs>
              <w:spacing w:before="60" w:after="60"/>
              <w:rPr>
                <w:b/>
                <w:bCs/>
                <w:sz w:val="20"/>
              </w:rPr>
            </w:pPr>
            <w:r w:rsidRPr="001314CA">
              <w:rPr>
                <w:b/>
                <w:bCs/>
                <w:sz w:val="20"/>
              </w:rPr>
              <w:t>TOTAL DES PRODUITS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20C3E64"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16 864,80</w:t>
            </w:r>
          </w:p>
        </w:tc>
        <w:tc>
          <w:tcPr>
            <w:tcW w:w="1246" w:type="dxa"/>
            <w:tcBorders>
              <w:top w:val="single" w:sz="4" w:space="0" w:color="auto"/>
              <w:left w:val="nil"/>
              <w:bottom w:val="single" w:sz="4" w:space="0" w:color="auto"/>
              <w:right w:val="single" w:sz="4" w:space="0" w:color="auto"/>
            </w:tcBorders>
            <w:shd w:val="clear" w:color="auto" w:fill="auto"/>
            <w:noWrap/>
            <w:vAlign w:val="center"/>
          </w:tcPr>
          <w:p w14:paraId="5AC281B4"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16 864,80</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72F6CE7F"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015CE4DD"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w:t>
            </w:r>
          </w:p>
        </w:tc>
      </w:tr>
      <w:tr w:rsidR="00D215BD" w:rsidRPr="001314CA" w14:paraId="2849569F" w14:textId="77777777" w:rsidTr="00D215BD">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2166B" w14:textId="77777777" w:rsidR="00D215BD" w:rsidRPr="001314CA" w:rsidRDefault="00D215BD" w:rsidP="00D215BD">
            <w:pPr>
              <w:tabs>
                <w:tab w:val="clear" w:pos="567"/>
                <w:tab w:val="clear" w:pos="1134"/>
                <w:tab w:val="clear" w:pos="1701"/>
                <w:tab w:val="clear" w:pos="2268"/>
                <w:tab w:val="clear" w:pos="2835"/>
              </w:tabs>
              <w:spacing w:before="60" w:after="60"/>
              <w:rPr>
                <w:b/>
                <w:bCs/>
                <w:sz w:val="20"/>
              </w:rPr>
            </w:pPr>
            <w:r w:rsidRPr="001314CA">
              <w:rPr>
                <w:b/>
                <w:bCs/>
                <w:sz w:val="20"/>
              </w:rPr>
              <w:t>Excédent/déficit pour la période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BE2AC30"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–401 134,58</w:t>
            </w:r>
          </w:p>
        </w:tc>
        <w:tc>
          <w:tcPr>
            <w:tcW w:w="1246" w:type="dxa"/>
            <w:tcBorders>
              <w:top w:val="single" w:sz="4" w:space="0" w:color="auto"/>
              <w:left w:val="nil"/>
              <w:bottom w:val="single" w:sz="4" w:space="0" w:color="auto"/>
              <w:right w:val="single" w:sz="4" w:space="0" w:color="auto"/>
            </w:tcBorders>
            <w:shd w:val="clear" w:color="auto" w:fill="auto"/>
            <w:noWrap/>
            <w:vAlign w:val="center"/>
          </w:tcPr>
          <w:p w14:paraId="01F47273"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–16 864,80</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19D7646C"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–329,86</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77343104"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p>
        </w:tc>
      </w:tr>
    </w:tbl>
    <w:p w14:paraId="208CE875" w14:textId="77777777" w:rsidR="00D215BD" w:rsidRPr="001314CA" w:rsidRDefault="00D215BD" w:rsidP="00D215BD"/>
    <w:tbl>
      <w:tblPr>
        <w:tblW w:w="9639" w:type="dxa"/>
        <w:tblInd w:w="-5" w:type="dxa"/>
        <w:tblLook w:val="04A0" w:firstRow="1" w:lastRow="0" w:firstColumn="1" w:lastColumn="0" w:noHBand="0" w:noVBand="1"/>
        <w:tblCaption w:val="E"/>
      </w:tblPr>
      <w:tblGrid>
        <w:gridCol w:w="4395"/>
        <w:gridCol w:w="1417"/>
        <w:gridCol w:w="1276"/>
        <w:gridCol w:w="1276"/>
        <w:gridCol w:w="1275"/>
      </w:tblGrid>
      <w:tr w:rsidR="00D215BD" w:rsidRPr="001314CA" w14:paraId="20C2DB62" w14:textId="77777777" w:rsidTr="00D215BD">
        <w:trPr>
          <w:trHeight w:val="367"/>
        </w:trPr>
        <w:tc>
          <w:tcPr>
            <w:tcW w:w="9639" w:type="dxa"/>
            <w:gridSpan w:val="5"/>
            <w:tcBorders>
              <w:top w:val="single" w:sz="4" w:space="0" w:color="auto"/>
              <w:left w:val="single" w:sz="4" w:space="0" w:color="auto"/>
              <w:bottom w:val="nil"/>
              <w:right w:val="single" w:sz="4" w:space="0" w:color="000000"/>
            </w:tcBorders>
            <w:shd w:val="clear" w:color="auto" w:fill="auto"/>
            <w:noWrap/>
            <w:vAlign w:val="center"/>
          </w:tcPr>
          <w:p w14:paraId="58BE8A0C" w14:textId="77777777" w:rsidR="00D215BD" w:rsidRPr="001314CA" w:rsidRDefault="00D215BD" w:rsidP="00D215BD">
            <w:pPr>
              <w:tabs>
                <w:tab w:val="clear" w:pos="567"/>
                <w:tab w:val="clear" w:pos="1134"/>
                <w:tab w:val="clear" w:pos="1701"/>
                <w:tab w:val="clear" w:pos="2268"/>
                <w:tab w:val="clear" w:pos="2835"/>
              </w:tabs>
              <w:spacing w:before="40"/>
              <w:jc w:val="center"/>
              <w:rPr>
                <w:b/>
                <w:sz w:val="20"/>
              </w:rPr>
            </w:pPr>
            <w:r w:rsidRPr="001314CA">
              <w:rPr>
                <w:rFonts w:cs="Calibri"/>
                <w:b/>
                <w:bCs/>
                <w:sz w:val="20"/>
              </w:rPr>
              <w:t>État de la situation financière au 31 décembre 2020 et comparatif avec les chiffres au 31 décembre 2019</w:t>
            </w:r>
          </w:p>
        </w:tc>
      </w:tr>
      <w:tr w:rsidR="00D215BD" w:rsidRPr="001314CA" w14:paraId="46A083AB" w14:textId="77777777" w:rsidTr="00D215BD">
        <w:trPr>
          <w:trHeight w:val="615"/>
        </w:trPr>
        <w:tc>
          <w:tcPr>
            <w:tcW w:w="4395" w:type="dxa"/>
            <w:tcBorders>
              <w:top w:val="single" w:sz="4" w:space="0" w:color="auto"/>
              <w:left w:val="single" w:sz="4" w:space="0" w:color="auto"/>
              <w:bottom w:val="nil"/>
              <w:right w:val="single" w:sz="4" w:space="0" w:color="auto"/>
            </w:tcBorders>
            <w:shd w:val="clear" w:color="auto" w:fill="auto"/>
            <w:noWrap/>
            <w:vAlign w:val="center"/>
            <w:hideMark/>
          </w:tcPr>
          <w:p w14:paraId="6E66FD17" w14:textId="77777777" w:rsidR="00D215BD" w:rsidRPr="001314CA" w:rsidRDefault="00D215BD" w:rsidP="00D215BD">
            <w:pPr>
              <w:rPr>
                <w:rFonts w:cs="Calibri"/>
                <w:sz w:val="20"/>
              </w:rPr>
            </w:pPr>
            <w:r w:rsidRPr="001314CA">
              <w:rPr>
                <w:rFonts w:cs="Calibri"/>
                <w:sz w:val="20"/>
              </w:rPr>
              <w:t> </w:t>
            </w:r>
          </w:p>
        </w:tc>
        <w:tc>
          <w:tcPr>
            <w:tcW w:w="2693" w:type="dxa"/>
            <w:gridSpan w:val="2"/>
            <w:tcBorders>
              <w:top w:val="single" w:sz="4" w:space="0" w:color="auto"/>
              <w:left w:val="nil"/>
              <w:bottom w:val="nil"/>
              <w:right w:val="single" w:sz="4" w:space="0" w:color="000000"/>
            </w:tcBorders>
            <w:shd w:val="clear" w:color="auto" w:fill="auto"/>
            <w:vAlign w:val="bottom"/>
            <w:hideMark/>
          </w:tcPr>
          <w:p w14:paraId="000847EE" w14:textId="77777777" w:rsidR="00D215BD" w:rsidRPr="001314CA" w:rsidRDefault="00D215BD" w:rsidP="00D215BD">
            <w:pPr>
              <w:tabs>
                <w:tab w:val="clear" w:pos="567"/>
                <w:tab w:val="clear" w:pos="1134"/>
                <w:tab w:val="clear" w:pos="1701"/>
                <w:tab w:val="clear" w:pos="2268"/>
                <w:tab w:val="clear" w:pos="2835"/>
              </w:tabs>
              <w:spacing w:before="40"/>
              <w:jc w:val="center"/>
              <w:rPr>
                <w:b/>
                <w:sz w:val="20"/>
              </w:rPr>
            </w:pPr>
            <w:r w:rsidRPr="001314CA">
              <w:rPr>
                <w:b/>
                <w:sz w:val="20"/>
              </w:rPr>
              <w:t xml:space="preserve">Fonds de réserve </w:t>
            </w:r>
            <w:r w:rsidRPr="001314CA">
              <w:rPr>
                <w:b/>
                <w:sz w:val="20"/>
              </w:rPr>
              <w:br/>
              <w:t xml:space="preserve">et des compléments </w:t>
            </w:r>
          </w:p>
        </w:tc>
        <w:tc>
          <w:tcPr>
            <w:tcW w:w="2551"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58BC3094" w14:textId="77777777" w:rsidR="00D215BD" w:rsidRPr="001314CA" w:rsidRDefault="00D215BD" w:rsidP="00D215BD">
            <w:pPr>
              <w:tabs>
                <w:tab w:val="clear" w:pos="567"/>
                <w:tab w:val="clear" w:pos="1134"/>
                <w:tab w:val="clear" w:pos="1701"/>
                <w:tab w:val="clear" w:pos="2268"/>
                <w:tab w:val="clear" w:pos="2835"/>
              </w:tabs>
              <w:spacing w:before="40"/>
              <w:jc w:val="center"/>
              <w:rPr>
                <w:b/>
                <w:sz w:val="20"/>
              </w:rPr>
            </w:pPr>
            <w:r w:rsidRPr="001314CA">
              <w:rPr>
                <w:b/>
                <w:sz w:val="20"/>
              </w:rPr>
              <w:t>Fonds d'intervention</w:t>
            </w:r>
          </w:p>
        </w:tc>
      </w:tr>
      <w:tr w:rsidR="00D215BD" w:rsidRPr="001314CA" w14:paraId="25BDC88E" w14:textId="77777777" w:rsidTr="00D215BD">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16E81FCC" w14:textId="77777777" w:rsidR="00D215BD" w:rsidRPr="001314CA" w:rsidRDefault="00D215BD" w:rsidP="00D215BD">
            <w:pPr>
              <w:rPr>
                <w:rFonts w:cs="Calibri"/>
                <w:sz w:val="20"/>
              </w:rPr>
            </w:pPr>
            <w:r w:rsidRPr="001314CA">
              <w:rPr>
                <w:rFonts w:cs="Calibri"/>
                <w:sz w:val="20"/>
              </w:rPr>
              <w:t> </w:t>
            </w:r>
          </w:p>
        </w:tc>
        <w:tc>
          <w:tcPr>
            <w:tcW w:w="2693" w:type="dxa"/>
            <w:gridSpan w:val="2"/>
            <w:tcBorders>
              <w:top w:val="nil"/>
              <w:left w:val="nil"/>
              <w:bottom w:val="single" w:sz="4" w:space="0" w:color="auto"/>
              <w:right w:val="nil"/>
            </w:tcBorders>
            <w:shd w:val="clear" w:color="auto" w:fill="auto"/>
            <w:noWrap/>
            <w:vAlign w:val="center"/>
            <w:hideMark/>
          </w:tcPr>
          <w:p w14:paraId="6218A56E" w14:textId="77777777" w:rsidR="00D215BD" w:rsidRPr="001314CA" w:rsidRDefault="00D215BD" w:rsidP="00D215BD">
            <w:pPr>
              <w:jc w:val="center"/>
              <w:rPr>
                <w:rFonts w:cs="Calibri"/>
                <w:sz w:val="20"/>
              </w:rPr>
            </w:pPr>
            <w:r w:rsidRPr="001314CA">
              <w:rPr>
                <w:rFonts w:cs="Calibri"/>
                <w:sz w:val="20"/>
              </w:rPr>
              <w:t>CHF</w:t>
            </w:r>
          </w:p>
        </w:tc>
        <w:tc>
          <w:tcPr>
            <w:tcW w:w="2551"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668F625F" w14:textId="77777777" w:rsidR="00D215BD" w:rsidRPr="001314CA" w:rsidRDefault="00D215BD" w:rsidP="00D215BD">
            <w:pPr>
              <w:jc w:val="center"/>
              <w:rPr>
                <w:rFonts w:cs="Calibri"/>
                <w:sz w:val="20"/>
              </w:rPr>
            </w:pPr>
            <w:r w:rsidRPr="001314CA">
              <w:rPr>
                <w:rFonts w:cs="Calibri"/>
                <w:sz w:val="20"/>
              </w:rPr>
              <w:t>CHF</w:t>
            </w:r>
          </w:p>
        </w:tc>
      </w:tr>
      <w:tr w:rsidR="00D215BD" w:rsidRPr="001314CA" w14:paraId="0AD94B34" w14:textId="77777777" w:rsidTr="00D215BD">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7CC3B497"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 </w:t>
            </w:r>
          </w:p>
        </w:tc>
        <w:tc>
          <w:tcPr>
            <w:tcW w:w="1417" w:type="dxa"/>
            <w:tcBorders>
              <w:top w:val="nil"/>
              <w:left w:val="nil"/>
              <w:bottom w:val="nil"/>
              <w:right w:val="single" w:sz="4" w:space="0" w:color="auto"/>
            </w:tcBorders>
            <w:shd w:val="clear" w:color="auto" w:fill="auto"/>
            <w:noWrap/>
            <w:vAlign w:val="center"/>
          </w:tcPr>
          <w:p w14:paraId="7AF41038"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0"/>
              </w:rPr>
            </w:pPr>
            <w:r w:rsidRPr="001314CA">
              <w:rPr>
                <w:sz w:val="20"/>
              </w:rPr>
              <w:t>2020</w:t>
            </w:r>
          </w:p>
        </w:tc>
        <w:tc>
          <w:tcPr>
            <w:tcW w:w="1276" w:type="dxa"/>
            <w:tcBorders>
              <w:top w:val="nil"/>
              <w:left w:val="nil"/>
              <w:bottom w:val="nil"/>
              <w:right w:val="single" w:sz="4" w:space="0" w:color="auto"/>
            </w:tcBorders>
            <w:shd w:val="clear" w:color="auto" w:fill="auto"/>
            <w:noWrap/>
            <w:vAlign w:val="center"/>
          </w:tcPr>
          <w:p w14:paraId="001F2EDB"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0"/>
              </w:rPr>
            </w:pPr>
            <w:r w:rsidRPr="001314CA">
              <w:rPr>
                <w:sz w:val="20"/>
              </w:rPr>
              <w:t>2019</w:t>
            </w:r>
          </w:p>
        </w:tc>
        <w:tc>
          <w:tcPr>
            <w:tcW w:w="1276" w:type="dxa"/>
            <w:tcBorders>
              <w:top w:val="nil"/>
              <w:left w:val="nil"/>
              <w:bottom w:val="nil"/>
              <w:right w:val="single" w:sz="4" w:space="0" w:color="auto"/>
            </w:tcBorders>
            <w:shd w:val="clear" w:color="auto" w:fill="auto"/>
            <w:noWrap/>
            <w:vAlign w:val="center"/>
          </w:tcPr>
          <w:p w14:paraId="47553A6F"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0"/>
              </w:rPr>
            </w:pPr>
            <w:r w:rsidRPr="001314CA">
              <w:rPr>
                <w:sz w:val="20"/>
              </w:rPr>
              <w:t>2020</w:t>
            </w:r>
          </w:p>
        </w:tc>
        <w:tc>
          <w:tcPr>
            <w:tcW w:w="1275" w:type="dxa"/>
            <w:tcBorders>
              <w:top w:val="nil"/>
              <w:left w:val="nil"/>
              <w:bottom w:val="nil"/>
              <w:right w:val="single" w:sz="4" w:space="0" w:color="auto"/>
            </w:tcBorders>
            <w:shd w:val="clear" w:color="auto" w:fill="auto"/>
            <w:noWrap/>
            <w:vAlign w:val="center"/>
          </w:tcPr>
          <w:p w14:paraId="2BAF9AFB"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0"/>
              </w:rPr>
            </w:pPr>
            <w:r w:rsidRPr="001314CA">
              <w:rPr>
                <w:sz w:val="20"/>
              </w:rPr>
              <w:t>2019</w:t>
            </w:r>
          </w:p>
        </w:tc>
      </w:tr>
      <w:tr w:rsidR="00D215BD" w:rsidRPr="001314CA" w14:paraId="5E3E6C5B" w14:textId="77777777" w:rsidTr="00D215BD">
        <w:trPr>
          <w:trHeight w:val="300"/>
        </w:trPr>
        <w:tc>
          <w:tcPr>
            <w:tcW w:w="4395" w:type="dxa"/>
            <w:tcBorders>
              <w:top w:val="nil"/>
              <w:left w:val="single" w:sz="4" w:space="0" w:color="auto"/>
              <w:bottom w:val="nil"/>
              <w:right w:val="single" w:sz="4" w:space="0" w:color="auto"/>
            </w:tcBorders>
            <w:shd w:val="clear" w:color="auto" w:fill="auto"/>
            <w:noWrap/>
            <w:hideMark/>
          </w:tcPr>
          <w:p w14:paraId="4D26D053" w14:textId="77777777" w:rsidR="00D215BD" w:rsidRPr="001314CA" w:rsidRDefault="00D215BD" w:rsidP="00D215BD">
            <w:pPr>
              <w:tabs>
                <w:tab w:val="clear" w:pos="567"/>
                <w:tab w:val="clear" w:pos="1134"/>
                <w:tab w:val="clear" w:pos="1701"/>
                <w:tab w:val="clear" w:pos="2268"/>
                <w:tab w:val="clear" w:pos="2835"/>
              </w:tabs>
              <w:spacing w:before="60" w:after="60"/>
              <w:rPr>
                <w:sz w:val="20"/>
                <w:u w:val="single"/>
              </w:rPr>
            </w:pPr>
            <w:r w:rsidRPr="001314CA">
              <w:rPr>
                <w:sz w:val="20"/>
                <w:u w:val="single"/>
              </w:rPr>
              <w:t>ACTIF</w:t>
            </w:r>
          </w:p>
        </w:tc>
        <w:tc>
          <w:tcPr>
            <w:tcW w:w="1417" w:type="dxa"/>
            <w:tcBorders>
              <w:top w:val="nil"/>
              <w:left w:val="nil"/>
              <w:bottom w:val="nil"/>
              <w:right w:val="single" w:sz="4" w:space="0" w:color="auto"/>
            </w:tcBorders>
            <w:shd w:val="clear" w:color="auto" w:fill="auto"/>
            <w:noWrap/>
            <w:vAlign w:val="center"/>
          </w:tcPr>
          <w:p w14:paraId="6512D01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6" w:type="dxa"/>
            <w:tcBorders>
              <w:top w:val="nil"/>
              <w:left w:val="nil"/>
              <w:bottom w:val="nil"/>
              <w:right w:val="single" w:sz="4" w:space="0" w:color="auto"/>
            </w:tcBorders>
            <w:shd w:val="clear" w:color="auto" w:fill="auto"/>
            <w:noWrap/>
            <w:vAlign w:val="center"/>
          </w:tcPr>
          <w:p w14:paraId="1DC6480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6" w:type="dxa"/>
            <w:tcBorders>
              <w:top w:val="nil"/>
              <w:left w:val="nil"/>
              <w:bottom w:val="nil"/>
              <w:right w:val="single" w:sz="4" w:space="0" w:color="auto"/>
            </w:tcBorders>
            <w:shd w:val="clear" w:color="auto" w:fill="auto"/>
            <w:noWrap/>
            <w:vAlign w:val="center"/>
          </w:tcPr>
          <w:p w14:paraId="5AC5A1B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5" w:type="dxa"/>
            <w:tcBorders>
              <w:top w:val="nil"/>
              <w:left w:val="nil"/>
              <w:bottom w:val="nil"/>
              <w:right w:val="single" w:sz="4" w:space="0" w:color="auto"/>
            </w:tcBorders>
            <w:shd w:val="clear" w:color="auto" w:fill="auto"/>
            <w:noWrap/>
            <w:vAlign w:val="center"/>
          </w:tcPr>
          <w:p w14:paraId="6ADA92C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r>
      <w:tr w:rsidR="00D215BD" w:rsidRPr="001314CA" w14:paraId="49072C1D" w14:textId="77777777" w:rsidTr="00D215BD">
        <w:trPr>
          <w:trHeight w:val="300"/>
        </w:trPr>
        <w:tc>
          <w:tcPr>
            <w:tcW w:w="4395" w:type="dxa"/>
            <w:tcBorders>
              <w:top w:val="nil"/>
              <w:left w:val="single" w:sz="4" w:space="0" w:color="auto"/>
              <w:bottom w:val="nil"/>
              <w:right w:val="single" w:sz="4" w:space="0" w:color="auto"/>
            </w:tcBorders>
            <w:shd w:val="clear" w:color="auto" w:fill="auto"/>
            <w:noWrap/>
            <w:hideMark/>
          </w:tcPr>
          <w:p w14:paraId="1BCFCD95"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Trésorerie et équivalents de trésorerie</w:t>
            </w:r>
          </w:p>
        </w:tc>
        <w:tc>
          <w:tcPr>
            <w:tcW w:w="1417" w:type="dxa"/>
            <w:tcBorders>
              <w:top w:val="nil"/>
              <w:left w:val="nil"/>
              <w:bottom w:val="nil"/>
              <w:right w:val="single" w:sz="4" w:space="0" w:color="auto"/>
            </w:tcBorders>
            <w:shd w:val="clear" w:color="auto" w:fill="auto"/>
            <w:noWrap/>
            <w:vAlign w:val="center"/>
          </w:tcPr>
          <w:p w14:paraId="0E0E7D8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357 712,96</w:t>
            </w:r>
          </w:p>
        </w:tc>
        <w:tc>
          <w:tcPr>
            <w:tcW w:w="1276" w:type="dxa"/>
            <w:tcBorders>
              <w:top w:val="nil"/>
              <w:left w:val="nil"/>
              <w:bottom w:val="nil"/>
              <w:right w:val="single" w:sz="4" w:space="0" w:color="auto"/>
            </w:tcBorders>
            <w:shd w:val="clear" w:color="auto" w:fill="auto"/>
            <w:noWrap/>
            <w:vAlign w:val="center"/>
          </w:tcPr>
          <w:p w14:paraId="5CF2B14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6 236 867,40</w:t>
            </w:r>
          </w:p>
        </w:tc>
        <w:tc>
          <w:tcPr>
            <w:tcW w:w="1276" w:type="dxa"/>
            <w:tcBorders>
              <w:top w:val="nil"/>
              <w:left w:val="nil"/>
              <w:bottom w:val="nil"/>
              <w:right w:val="single" w:sz="4" w:space="0" w:color="auto"/>
            </w:tcBorders>
            <w:shd w:val="clear" w:color="auto" w:fill="auto"/>
            <w:noWrap/>
            <w:vAlign w:val="center"/>
          </w:tcPr>
          <w:p w14:paraId="6588000E"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277 580,84</w:t>
            </w:r>
          </w:p>
        </w:tc>
        <w:tc>
          <w:tcPr>
            <w:tcW w:w="1275" w:type="dxa"/>
            <w:tcBorders>
              <w:top w:val="nil"/>
              <w:left w:val="nil"/>
              <w:bottom w:val="nil"/>
              <w:right w:val="single" w:sz="4" w:space="0" w:color="auto"/>
            </w:tcBorders>
            <w:shd w:val="clear" w:color="auto" w:fill="auto"/>
            <w:noWrap/>
            <w:vAlign w:val="center"/>
          </w:tcPr>
          <w:p w14:paraId="2D76FE51"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277 580,84</w:t>
            </w:r>
          </w:p>
        </w:tc>
      </w:tr>
      <w:tr w:rsidR="00D215BD" w:rsidRPr="001314CA" w14:paraId="34BE540D" w14:textId="77777777" w:rsidTr="00D215BD">
        <w:trPr>
          <w:trHeight w:val="300"/>
        </w:trPr>
        <w:tc>
          <w:tcPr>
            <w:tcW w:w="4395" w:type="dxa"/>
            <w:tcBorders>
              <w:top w:val="nil"/>
              <w:left w:val="single" w:sz="4" w:space="0" w:color="auto"/>
              <w:bottom w:val="nil"/>
              <w:right w:val="single" w:sz="4" w:space="0" w:color="auto"/>
            </w:tcBorders>
            <w:shd w:val="clear" w:color="auto" w:fill="auto"/>
            <w:noWrap/>
          </w:tcPr>
          <w:p w14:paraId="33342156"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Fonds à recevoir</w:t>
            </w:r>
          </w:p>
        </w:tc>
        <w:tc>
          <w:tcPr>
            <w:tcW w:w="1417" w:type="dxa"/>
            <w:tcBorders>
              <w:top w:val="nil"/>
              <w:left w:val="nil"/>
              <w:bottom w:val="nil"/>
              <w:right w:val="single" w:sz="4" w:space="0" w:color="auto"/>
            </w:tcBorders>
            <w:shd w:val="clear" w:color="auto" w:fill="auto"/>
            <w:noWrap/>
            <w:vAlign w:val="center"/>
          </w:tcPr>
          <w:p w14:paraId="71EFC10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76" w:type="dxa"/>
            <w:tcBorders>
              <w:top w:val="nil"/>
              <w:left w:val="nil"/>
              <w:bottom w:val="nil"/>
              <w:right w:val="single" w:sz="4" w:space="0" w:color="auto"/>
            </w:tcBorders>
            <w:shd w:val="clear" w:color="auto" w:fill="auto"/>
            <w:noWrap/>
            <w:vAlign w:val="center"/>
          </w:tcPr>
          <w:p w14:paraId="15CDDD47"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−16 864,80</w:t>
            </w:r>
          </w:p>
        </w:tc>
        <w:tc>
          <w:tcPr>
            <w:tcW w:w="1276" w:type="dxa"/>
            <w:tcBorders>
              <w:top w:val="nil"/>
              <w:left w:val="nil"/>
              <w:bottom w:val="nil"/>
              <w:right w:val="single" w:sz="4" w:space="0" w:color="auto"/>
            </w:tcBorders>
            <w:shd w:val="clear" w:color="auto" w:fill="auto"/>
            <w:noWrap/>
            <w:vAlign w:val="center"/>
          </w:tcPr>
          <w:p w14:paraId="15AEA046"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5" w:type="dxa"/>
            <w:tcBorders>
              <w:top w:val="nil"/>
              <w:left w:val="nil"/>
              <w:bottom w:val="nil"/>
              <w:right w:val="single" w:sz="4" w:space="0" w:color="auto"/>
            </w:tcBorders>
            <w:shd w:val="clear" w:color="auto" w:fill="auto"/>
            <w:noWrap/>
            <w:vAlign w:val="center"/>
          </w:tcPr>
          <w:p w14:paraId="674748B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r>
      <w:tr w:rsidR="00D215BD" w:rsidRPr="001314CA" w14:paraId="7B14C7D1" w14:textId="77777777" w:rsidTr="00D215BD">
        <w:trPr>
          <w:trHeight w:val="300"/>
        </w:trPr>
        <w:tc>
          <w:tcPr>
            <w:tcW w:w="4395" w:type="dxa"/>
            <w:tcBorders>
              <w:top w:val="nil"/>
              <w:left w:val="single" w:sz="4" w:space="0" w:color="auto"/>
              <w:bottom w:val="nil"/>
              <w:right w:val="single" w:sz="4" w:space="0" w:color="auto"/>
            </w:tcBorders>
            <w:shd w:val="clear" w:color="auto" w:fill="auto"/>
            <w:noWrap/>
            <w:hideMark/>
          </w:tcPr>
          <w:p w14:paraId="04AB44F4"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Placements</w:t>
            </w:r>
          </w:p>
        </w:tc>
        <w:tc>
          <w:tcPr>
            <w:tcW w:w="1417" w:type="dxa"/>
            <w:tcBorders>
              <w:top w:val="nil"/>
              <w:left w:val="nil"/>
              <w:bottom w:val="nil"/>
              <w:right w:val="single" w:sz="4" w:space="0" w:color="auto"/>
            </w:tcBorders>
            <w:shd w:val="clear" w:color="auto" w:fill="auto"/>
            <w:noWrap/>
            <w:vAlign w:val="center"/>
          </w:tcPr>
          <w:p w14:paraId="3980EA0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5 436 013,59</w:t>
            </w:r>
          </w:p>
        </w:tc>
        <w:tc>
          <w:tcPr>
            <w:tcW w:w="1276" w:type="dxa"/>
            <w:tcBorders>
              <w:top w:val="nil"/>
              <w:left w:val="nil"/>
              <w:bottom w:val="nil"/>
              <w:right w:val="single" w:sz="4" w:space="0" w:color="auto"/>
            </w:tcBorders>
            <w:shd w:val="clear" w:color="auto" w:fill="auto"/>
            <w:noWrap/>
            <w:vAlign w:val="center"/>
          </w:tcPr>
          <w:p w14:paraId="219F00E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76" w:type="dxa"/>
            <w:tcBorders>
              <w:top w:val="nil"/>
              <w:left w:val="nil"/>
              <w:bottom w:val="nil"/>
              <w:right w:val="single" w:sz="4" w:space="0" w:color="auto"/>
            </w:tcBorders>
            <w:shd w:val="clear" w:color="auto" w:fill="auto"/>
            <w:noWrap/>
            <w:vAlign w:val="center"/>
          </w:tcPr>
          <w:p w14:paraId="6BF1BEF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5" w:type="dxa"/>
            <w:tcBorders>
              <w:top w:val="nil"/>
              <w:left w:val="nil"/>
              <w:bottom w:val="nil"/>
              <w:right w:val="single" w:sz="4" w:space="0" w:color="auto"/>
            </w:tcBorders>
            <w:shd w:val="clear" w:color="auto" w:fill="auto"/>
            <w:noWrap/>
            <w:vAlign w:val="center"/>
          </w:tcPr>
          <w:p w14:paraId="34389E11"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r>
      <w:tr w:rsidR="00D215BD" w:rsidRPr="001314CA" w14:paraId="41F6AE82" w14:textId="77777777" w:rsidTr="00D215BD">
        <w:trPr>
          <w:trHeight w:val="300"/>
        </w:trPr>
        <w:tc>
          <w:tcPr>
            <w:tcW w:w="4395" w:type="dxa"/>
            <w:tcBorders>
              <w:top w:val="nil"/>
              <w:left w:val="single" w:sz="4" w:space="0" w:color="auto"/>
              <w:bottom w:val="single" w:sz="4" w:space="0" w:color="auto"/>
              <w:right w:val="single" w:sz="4" w:space="0" w:color="auto"/>
            </w:tcBorders>
            <w:shd w:val="clear" w:color="auto" w:fill="auto"/>
            <w:noWrap/>
            <w:hideMark/>
          </w:tcPr>
          <w:p w14:paraId="67428E5D"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Actifs transitoires</w:t>
            </w:r>
          </w:p>
        </w:tc>
        <w:tc>
          <w:tcPr>
            <w:tcW w:w="1417" w:type="dxa"/>
            <w:tcBorders>
              <w:top w:val="nil"/>
              <w:left w:val="nil"/>
              <w:bottom w:val="single" w:sz="4" w:space="0" w:color="auto"/>
              <w:right w:val="single" w:sz="4" w:space="0" w:color="auto"/>
            </w:tcBorders>
            <w:shd w:val="clear" w:color="auto" w:fill="auto"/>
            <w:noWrap/>
            <w:vAlign w:val="center"/>
          </w:tcPr>
          <w:p w14:paraId="7F5C864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25 254,81</w:t>
            </w:r>
          </w:p>
        </w:tc>
        <w:tc>
          <w:tcPr>
            <w:tcW w:w="1276" w:type="dxa"/>
            <w:tcBorders>
              <w:top w:val="nil"/>
              <w:left w:val="nil"/>
              <w:bottom w:val="single" w:sz="4" w:space="0" w:color="auto"/>
              <w:right w:val="single" w:sz="4" w:space="0" w:color="auto"/>
            </w:tcBorders>
            <w:shd w:val="clear" w:color="auto" w:fill="auto"/>
            <w:noWrap/>
            <w:vAlign w:val="center"/>
          </w:tcPr>
          <w:p w14:paraId="1B988C11"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76" w:type="dxa"/>
            <w:tcBorders>
              <w:top w:val="nil"/>
              <w:left w:val="nil"/>
              <w:bottom w:val="single" w:sz="4" w:space="0" w:color="auto"/>
              <w:right w:val="single" w:sz="4" w:space="0" w:color="auto"/>
            </w:tcBorders>
            <w:shd w:val="clear" w:color="auto" w:fill="auto"/>
            <w:noWrap/>
            <w:vAlign w:val="center"/>
          </w:tcPr>
          <w:p w14:paraId="4642313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c>
          <w:tcPr>
            <w:tcW w:w="1275" w:type="dxa"/>
            <w:tcBorders>
              <w:top w:val="nil"/>
              <w:left w:val="nil"/>
              <w:bottom w:val="single" w:sz="4" w:space="0" w:color="auto"/>
              <w:right w:val="single" w:sz="4" w:space="0" w:color="auto"/>
            </w:tcBorders>
            <w:shd w:val="clear" w:color="auto" w:fill="auto"/>
            <w:noWrap/>
            <w:vAlign w:val="center"/>
          </w:tcPr>
          <w:p w14:paraId="74678217"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r>
      <w:tr w:rsidR="00D215BD" w:rsidRPr="001314CA" w14:paraId="5A314306" w14:textId="77777777" w:rsidTr="00D215B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17856" w14:textId="77777777" w:rsidR="00D215BD" w:rsidRPr="001314CA" w:rsidRDefault="00D215BD" w:rsidP="00D215BD">
            <w:pPr>
              <w:tabs>
                <w:tab w:val="clear" w:pos="567"/>
                <w:tab w:val="clear" w:pos="1134"/>
                <w:tab w:val="clear" w:pos="1701"/>
                <w:tab w:val="clear" w:pos="2268"/>
                <w:tab w:val="clear" w:pos="2835"/>
              </w:tabs>
              <w:spacing w:before="60" w:after="60"/>
              <w:rPr>
                <w:b/>
                <w:bCs/>
                <w:sz w:val="20"/>
              </w:rPr>
            </w:pPr>
            <w:r w:rsidRPr="001314CA">
              <w:rPr>
                <w:b/>
                <w:bCs/>
                <w:sz w:val="20"/>
              </w:rPr>
              <w:t>TOTAL DES ACTIFS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AC23D2D"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5 818 981,36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B1E18F"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6 220 002,60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26E851"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277 580,84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EAB3C34"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277 580,84</w:t>
            </w:r>
          </w:p>
        </w:tc>
      </w:tr>
      <w:tr w:rsidR="00D215BD" w:rsidRPr="001314CA" w14:paraId="73F41C49" w14:textId="77777777" w:rsidTr="00D215BD">
        <w:trPr>
          <w:trHeight w:val="300"/>
        </w:trPr>
        <w:tc>
          <w:tcPr>
            <w:tcW w:w="4395" w:type="dxa"/>
            <w:tcBorders>
              <w:top w:val="single" w:sz="4" w:space="0" w:color="auto"/>
              <w:left w:val="single" w:sz="4" w:space="0" w:color="auto"/>
              <w:bottom w:val="nil"/>
              <w:right w:val="single" w:sz="4" w:space="0" w:color="auto"/>
            </w:tcBorders>
            <w:shd w:val="clear" w:color="auto" w:fill="auto"/>
            <w:noWrap/>
            <w:vAlign w:val="center"/>
            <w:hideMark/>
          </w:tcPr>
          <w:p w14:paraId="2EE5167F" w14:textId="77777777" w:rsidR="00D215BD" w:rsidRPr="001314CA" w:rsidRDefault="00D215BD" w:rsidP="00D215BD">
            <w:pPr>
              <w:tabs>
                <w:tab w:val="clear" w:pos="567"/>
                <w:tab w:val="clear" w:pos="1134"/>
                <w:tab w:val="clear" w:pos="1701"/>
                <w:tab w:val="clear" w:pos="2268"/>
                <w:tab w:val="clear" w:pos="2835"/>
              </w:tabs>
              <w:spacing w:before="60" w:after="60"/>
              <w:rPr>
                <w:sz w:val="20"/>
                <w:u w:val="single"/>
              </w:rPr>
            </w:pPr>
            <w:r w:rsidRPr="001314CA">
              <w:rPr>
                <w:sz w:val="20"/>
                <w:u w:val="single"/>
              </w:rPr>
              <w:t>PASSIF</w:t>
            </w:r>
          </w:p>
        </w:tc>
        <w:tc>
          <w:tcPr>
            <w:tcW w:w="1417" w:type="dxa"/>
            <w:tcBorders>
              <w:top w:val="single" w:sz="4" w:space="0" w:color="auto"/>
              <w:left w:val="nil"/>
              <w:bottom w:val="nil"/>
              <w:right w:val="single" w:sz="4" w:space="0" w:color="auto"/>
            </w:tcBorders>
            <w:shd w:val="clear" w:color="auto" w:fill="auto"/>
            <w:noWrap/>
            <w:vAlign w:val="center"/>
          </w:tcPr>
          <w:p w14:paraId="259CCD6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6" w:type="dxa"/>
            <w:tcBorders>
              <w:top w:val="single" w:sz="4" w:space="0" w:color="auto"/>
              <w:left w:val="nil"/>
              <w:bottom w:val="nil"/>
              <w:right w:val="single" w:sz="4" w:space="0" w:color="auto"/>
            </w:tcBorders>
            <w:shd w:val="clear" w:color="auto" w:fill="auto"/>
            <w:noWrap/>
            <w:vAlign w:val="center"/>
          </w:tcPr>
          <w:p w14:paraId="0B806B9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6" w:type="dxa"/>
            <w:tcBorders>
              <w:top w:val="single" w:sz="4" w:space="0" w:color="auto"/>
              <w:left w:val="nil"/>
              <w:bottom w:val="nil"/>
              <w:right w:val="single" w:sz="4" w:space="0" w:color="auto"/>
            </w:tcBorders>
            <w:shd w:val="clear" w:color="auto" w:fill="auto"/>
            <w:noWrap/>
            <w:vAlign w:val="center"/>
          </w:tcPr>
          <w:p w14:paraId="58AB6547"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5" w:type="dxa"/>
            <w:tcBorders>
              <w:top w:val="single" w:sz="4" w:space="0" w:color="auto"/>
              <w:left w:val="nil"/>
              <w:bottom w:val="nil"/>
              <w:right w:val="single" w:sz="4" w:space="0" w:color="auto"/>
            </w:tcBorders>
            <w:shd w:val="clear" w:color="auto" w:fill="auto"/>
            <w:noWrap/>
            <w:vAlign w:val="center"/>
          </w:tcPr>
          <w:p w14:paraId="4259393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r>
      <w:tr w:rsidR="00D215BD" w:rsidRPr="001314CA" w14:paraId="7BD53BCA" w14:textId="77777777" w:rsidTr="00D215BD">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76EE16A6"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Avantages du personnel</w:t>
            </w:r>
          </w:p>
        </w:tc>
        <w:tc>
          <w:tcPr>
            <w:tcW w:w="1417" w:type="dxa"/>
            <w:tcBorders>
              <w:top w:val="nil"/>
              <w:left w:val="nil"/>
              <w:bottom w:val="nil"/>
              <w:right w:val="single" w:sz="4" w:space="0" w:color="auto"/>
            </w:tcBorders>
            <w:shd w:val="clear" w:color="auto" w:fill="auto"/>
            <w:noWrap/>
            <w:vAlign w:val="center"/>
          </w:tcPr>
          <w:p w14:paraId="26E7E18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54 000,00</w:t>
            </w:r>
          </w:p>
        </w:tc>
        <w:tc>
          <w:tcPr>
            <w:tcW w:w="1276" w:type="dxa"/>
            <w:tcBorders>
              <w:top w:val="nil"/>
              <w:left w:val="nil"/>
              <w:right w:val="single" w:sz="4" w:space="0" w:color="auto"/>
            </w:tcBorders>
            <w:shd w:val="clear" w:color="auto" w:fill="auto"/>
            <w:noWrap/>
            <w:vAlign w:val="center"/>
          </w:tcPr>
          <w:p w14:paraId="28C2EDC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54 000,00</w:t>
            </w:r>
          </w:p>
        </w:tc>
        <w:tc>
          <w:tcPr>
            <w:tcW w:w="1276" w:type="dxa"/>
            <w:tcBorders>
              <w:top w:val="nil"/>
              <w:left w:val="nil"/>
              <w:bottom w:val="nil"/>
              <w:right w:val="single" w:sz="4" w:space="0" w:color="auto"/>
            </w:tcBorders>
            <w:shd w:val="clear" w:color="auto" w:fill="auto"/>
            <w:noWrap/>
            <w:vAlign w:val="center"/>
          </w:tcPr>
          <w:p w14:paraId="5929A671"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5" w:type="dxa"/>
            <w:tcBorders>
              <w:top w:val="nil"/>
              <w:left w:val="nil"/>
              <w:bottom w:val="nil"/>
              <w:right w:val="single" w:sz="4" w:space="0" w:color="auto"/>
            </w:tcBorders>
            <w:shd w:val="clear" w:color="auto" w:fill="auto"/>
            <w:noWrap/>
            <w:vAlign w:val="center"/>
          </w:tcPr>
          <w:p w14:paraId="2DE3162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w:t>
            </w:r>
          </w:p>
        </w:tc>
      </w:tr>
      <w:tr w:rsidR="00D215BD" w:rsidRPr="001314CA" w14:paraId="3FA5803F" w14:textId="77777777" w:rsidTr="00D215BD">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3E63B6FC"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rFonts w:asciiTheme="minorHAnsi" w:hAnsiTheme="minorHAnsi"/>
                <w:sz w:val="20"/>
                <w:lang w:eastAsia="zh-CN"/>
              </w:rPr>
              <w:t>Passifs transitoires</w:t>
            </w:r>
          </w:p>
        </w:tc>
        <w:tc>
          <w:tcPr>
            <w:tcW w:w="1417" w:type="dxa"/>
            <w:tcBorders>
              <w:top w:val="nil"/>
              <w:left w:val="nil"/>
              <w:bottom w:val="single" w:sz="4" w:space="0" w:color="auto"/>
              <w:right w:val="single" w:sz="4" w:space="0" w:color="auto"/>
            </w:tcBorders>
            <w:shd w:val="clear" w:color="auto" w:fill="auto"/>
            <w:noWrap/>
            <w:vAlign w:val="center"/>
          </w:tcPr>
          <w:p w14:paraId="126FAC1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rFonts w:asciiTheme="minorHAnsi" w:hAnsiTheme="minorHAnsi"/>
                <w:sz w:val="20"/>
                <w:lang w:eastAsia="zh-CN"/>
              </w:rPr>
              <w:t>113,34</w:t>
            </w:r>
          </w:p>
        </w:tc>
        <w:tc>
          <w:tcPr>
            <w:tcW w:w="1276" w:type="dxa"/>
            <w:tcBorders>
              <w:top w:val="nil"/>
              <w:left w:val="nil"/>
              <w:bottom w:val="single" w:sz="4" w:space="0" w:color="auto"/>
              <w:right w:val="single" w:sz="4" w:space="0" w:color="auto"/>
            </w:tcBorders>
            <w:shd w:val="clear" w:color="auto" w:fill="auto"/>
            <w:noWrap/>
            <w:vAlign w:val="center"/>
          </w:tcPr>
          <w:p w14:paraId="612A310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6" w:type="dxa"/>
            <w:tcBorders>
              <w:top w:val="nil"/>
              <w:left w:val="nil"/>
              <w:bottom w:val="single" w:sz="4" w:space="0" w:color="auto"/>
              <w:right w:val="single" w:sz="4" w:space="0" w:color="auto"/>
            </w:tcBorders>
            <w:shd w:val="clear" w:color="auto" w:fill="auto"/>
            <w:noWrap/>
            <w:vAlign w:val="center"/>
          </w:tcPr>
          <w:p w14:paraId="2AA762E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rFonts w:asciiTheme="minorHAnsi" w:hAnsiTheme="minorHAnsi"/>
                <w:sz w:val="20"/>
                <w:lang w:eastAsia="zh-CN"/>
              </w:rPr>
              <w:t>141,77</w:t>
            </w:r>
          </w:p>
        </w:tc>
        <w:tc>
          <w:tcPr>
            <w:tcW w:w="1275" w:type="dxa"/>
            <w:tcBorders>
              <w:top w:val="nil"/>
              <w:left w:val="nil"/>
              <w:bottom w:val="single" w:sz="4" w:space="0" w:color="auto"/>
              <w:right w:val="single" w:sz="4" w:space="0" w:color="auto"/>
            </w:tcBorders>
            <w:shd w:val="clear" w:color="auto" w:fill="auto"/>
            <w:noWrap/>
            <w:vAlign w:val="center"/>
          </w:tcPr>
          <w:p w14:paraId="728A532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r>
      <w:tr w:rsidR="00D215BD" w:rsidRPr="001314CA" w14:paraId="7CDFF5FA" w14:textId="77777777" w:rsidTr="00D215B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5D2D1"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rFonts w:asciiTheme="minorHAnsi" w:hAnsiTheme="minorHAnsi"/>
                <w:b/>
                <w:bCs/>
                <w:sz w:val="20"/>
                <w:lang w:eastAsia="zh-CN"/>
              </w:rPr>
              <w:lastRenderedPageBreak/>
              <w:t>TOTAL DU PASSIF</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AE58546"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rFonts w:asciiTheme="minorHAnsi" w:hAnsiTheme="minorHAnsi"/>
                <w:sz w:val="20"/>
                <w:lang w:eastAsia="zh-CN"/>
              </w:rPr>
              <w:t>54 113,34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36B71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rFonts w:asciiTheme="minorHAnsi" w:hAnsiTheme="minorHAnsi"/>
                <w:sz w:val="20"/>
                <w:lang w:eastAsia="zh-CN"/>
              </w:rPr>
              <w:t>54 000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1B5736"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rFonts w:asciiTheme="minorHAnsi" w:hAnsiTheme="minorHAnsi"/>
                <w:sz w:val="20"/>
                <w:lang w:eastAsia="zh-CN"/>
              </w:rPr>
              <w:t>141,77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ED6247"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rFonts w:asciiTheme="minorHAnsi" w:hAnsiTheme="minorHAnsi"/>
                <w:sz w:val="20"/>
                <w:lang w:eastAsia="zh-CN"/>
              </w:rPr>
              <w:t>-</w:t>
            </w:r>
          </w:p>
        </w:tc>
      </w:tr>
      <w:tr w:rsidR="00D215BD" w:rsidRPr="001314CA" w14:paraId="4DA88DBE" w14:textId="77777777" w:rsidTr="00D215BD">
        <w:trPr>
          <w:trHeight w:val="300"/>
        </w:trPr>
        <w:tc>
          <w:tcPr>
            <w:tcW w:w="4395" w:type="dxa"/>
            <w:tcBorders>
              <w:top w:val="single" w:sz="4" w:space="0" w:color="auto"/>
              <w:left w:val="single" w:sz="4" w:space="0" w:color="auto"/>
              <w:bottom w:val="nil"/>
              <w:right w:val="single" w:sz="4" w:space="0" w:color="auto"/>
            </w:tcBorders>
            <w:shd w:val="clear" w:color="auto" w:fill="auto"/>
            <w:noWrap/>
            <w:vAlign w:val="center"/>
          </w:tcPr>
          <w:p w14:paraId="36EC719E"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rFonts w:asciiTheme="minorHAnsi" w:hAnsiTheme="minorHAnsi"/>
                <w:b/>
                <w:bCs/>
                <w:sz w:val="20"/>
                <w:lang w:eastAsia="zh-CN"/>
              </w:rPr>
              <w:t>ACTIF NET</w:t>
            </w:r>
          </w:p>
        </w:tc>
        <w:tc>
          <w:tcPr>
            <w:tcW w:w="1417" w:type="dxa"/>
            <w:tcBorders>
              <w:top w:val="single" w:sz="4" w:space="0" w:color="auto"/>
              <w:left w:val="nil"/>
              <w:bottom w:val="nil"/>
              <w:right w:val="single" w:sz="4" w:space="0" w:color="auto"/>
            </w:tcBorders>
            <w:shd w:val="clear" w:color="auto" w:fill="auto"/>
            <w:noWrap/>
            <w:vAlign w:val="center"/>
          </w:tcPr>
          <w:p w14:paraId="27CF8AF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6" w:type="dxa"/>
            <w:tcBorders>
              <w:top w:val="single" w:sz="4" w:space="0" w:color="auto"/>
              <w:left w:val="nil"/>
              <w:right w:val="single" w:sz="4" w:space="0" w:color="auto"/>
            </w:tcBorders>
            <w:shd w:val="clear" w:color="auto" w:fill="auto"/>
            <w:noWrap/>
            <w:vAlign w:val="center"/>
          </w:tcPr>
          <w:p w14:paraId="601249DE"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6" w:type="dxa"/>
            <w:tcBorders>
              <w:top w:val="single" w:sz="4" w:space="0" w:color="auto"/>
              <w:left w:val="nil"/>
              <w:bottom w:val="nil"/>
              <w:right w:val="single" w:sz="4" w:space="0" w:color="auto"/>
            </w:tcBorders>
            <w:shd w:val="clear" w:color="auto" w:fill="auto"/>
            <w:noWrap/>
            <w:vAlign w:val="center"/>
          </w:tcPr>
          <w:p w14:paraId="38A8AF5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c>
          <w:tcPr>
            <w:tcW w:w="1275" w:type="dxa"/>
            <w:tcBorders>
              <w:top w:val="single" w:sz="4" w:space="0" w:color="auto"/>
              <w:left w:val="nil"/>
              <w:bottom w:val="nil"/>
              <w:right w:val="single" w:sz="4" w:space="0" w:color="auto"/>
            </w:tcBorders>
            <w:shd w:val="clear" w:color="auto" w:fill="auto"/>
            <w:noWrap/>
            <w:vAlign w:val="center"/>
          </w:tcPr>
          <w:p w14:paraId="3A5AEFA6"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p>
        </w:tc>
      </w:tr>
      <w:tr w:rsidR="00D215BD" w:rsidRPr="001314CA" w14:paraId="5CD5E218" w14:textId="77777777" w:rsidTr="00D215BD">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56529514"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sz w:val="20"/>
              </w:rPr>
              <w:t>Fonds propres affectés</w:t>
            </w:r>
          </w:p>
        </w:tc>
        <w:tc>
          <w:tcPr>
            <w:tcW w:w="1417" w:type="dxa"/>
            <w:tcBorders>
              <w:top w:val="nil"/>
              <w:left w:val="nil"/>
              <w:bottom w:val="nil"/>
              <w:right w:val="single" w:sz="4" w:space="0" w:color="auto"/>
            </w:tcBorders>
            <w:shd w:val="clear" w:color="auto" w:fill="auto"/>
            <w:noWrap/>
            <w:vAlign w:val="center"/>
          </w:tcPr>
          <w:p w14:paraId="392DFF0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6 166 002,60</w:t>
            </w:r>
          </w:p>
        </w:tc>
        <w:tc>
          <w:tcPr>
            <w:tcW w:w="1276" w:type="dxa"/>
            <w:tcBorders>
              <w:top w:val="nil"/>
              <w:left w:val="nil"/>
              <w:bottom w:val="nil"/>
              <w:right w:val="single" w:sz="4" w:space="0" w:color="auto"/>
            </w:tcBorders>
            <w:shd w:val="clear" w:color="auto" w:fill="auto"/>
            <w:noWrap/>
            <w:vAlign w:val="center"/>
          </w:tcPr>
          <w:p w14:paraId="349E66F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6 166 002,60</w:t>
            </w:r>
          </w:p>
        </w:tc>
        <w:tc>
          <w:tcPr>
            <w:tcW w:w="1276" w:type="dxa"/>
            <w:tcBorders>
              <w:top w:val="nil"/>
              <w:left w:val="single" w:sz="4" w:space="0" w:color="auto"/>
              <w:bottom w:val="nil"/>
              <w:right w:val="single" w:sz="4" w:space="0" w:color="auto"/>
            </w:tcBorders>
            <w:shd w:val="clear" w:color="auto" w:fill="auto"/>
            <w:noWrap/>
            <w:vAlign w:val="center"/>
          </w:tcPr>
          <w:p w14:paraId="3BE027D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277 580,84</w:t>
            </w:r>
          </w:p>
        </w:tc>
        <w:tc>
          <w:tcPr>
            <w:tcW w:w="1275" w:type="dxa"/>
            <w:tcBorders>
              <w:top w:val="nil"/>
              <w:left w:val="nil"/>
              <w:bottom w:val="nil"/>
              <w:right w:val="single" w:sz="4" w:space="0" w:color="auto"/>
            </w:tcBorders>
            <w:shd w:val="clear" w:color="auto" w:fill="auto"/>
            <w:noWrap/>
            <w:vAlign w:val="center"/>
          </w:tcPr>
          <w:p w14:paraId="2165E38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sz w:val="20"/>
              </w:rPr>
              <w:t>277 580,84</w:t>
            </w:r>
          </w:p>
        </w:tc>
      </w:tr>
      <w:tr w:rsidR="00D215BD" w:rsidRPr="001314CA" w14:paraId="5D2E532F" w14:textId="77777777" w:rsidTr="00D215BD">
        <w:trPr>
          <w:trHeight w:val="300"/>
        </w:trPr>
        <w:tc>
          <w:tcPr>
            <w:tcW w:w="4395" w:type="dxa"/>
            <w:tcBorders>
              <w:top w:val="nil"/>
              <w:left w:val="single" w:sz="4" w:space="0" w:color="auto"/>
              <w:bottom w:val="nil"/>
              <w:right w:val="single" w:sz="4" w:space="0" w:color="auto"/>
            </w:tcBorders>
            <w:shd w:val="clear" w:color="auto" w:fill="auto"/>
            <w:noWrap/>
            <w:vAlign w:val="center"/>
          </w:tcPr>
          <w:p w14:paraId="144F93D4" w14:textId="77777777" w:rsidR="00D215BD" w:rsidRPr="001314CA" w:rsidRDefault="00D215BD" w:rsidP="00D215BD">
            <w:pPr>
              <w:tabs>
                <w:tab w:val="clear" w:pos="567"/>
                <w:tab w:val="clear" w:pos="1134"/>
                <w:tab w:val="clear" w:pos="1701"/>
                <w:tab w:val="clear" w:pos="2268"/>
                <w:tab w:val="clear" w:pos="2835"/>
              </w:tabs>
              <w:spacing w:before="60" w:after="60"/>
              <w:rPr>
                <w:sz w:val="20"/>
              </w:rPr>
            </w:pPr>
            <w:r w:rsidRPr="001314CA">
              <w:rPr>
                <w:rFonts w:asciiTheme="minorHAnsi" w:hAnsiTheme="minorHAnsi"/>
                <w:sz w:val="20"/>
                <w:lang w:eastAsia="zh-CN"/>
              </w:rPr>
              <w:t>Excédent/déficit pour la période</w:t>
            </w:r>
          </w:p>
        </w:tc>
        <w:tc>
          <w:tcPr>
            <w:tcW w:w="1417" w:type="dxa"/>
            <w:tcBorders>
              <w:top w:val="nil"/>
              <w:left w:val="nil"/>
              <w:bottom w:val="nil"/>
              <w:right w:val="single" w:sz="4" w:space="0" w:color="auto"/>
            </w:tcBorders>
            <w:shd w:val="clear" w:color="auto" w:fill="auto"/>
            <w:noWrap/>
            <w:vAlign w:val="center"/>
          </w:tcPr>
          <w:p w14:paraId="4BE6EF1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rFonts w:asciiTheme="minorHAnsi" w:hAnsiTheme="minorHAnsi"/>
                <w:sz w:val="20"/>
                <w:lang w:eastAsia="zh-CN"/>
              </w:rPr>
              <w:t>7 984,42</w:t>
            </w:r>
          </w:p>
        </w:tc>
        <w:tc>
          <w:tcPr>
            <w:tcW w:w="1276" w:type="dxa"/>
            <w:tcBorders>
              <w:top w:val="nil"/>
              <w:left w:val="nil"/>
              <w:bottom w:val="nil"/>
              <w:right w:val="single" w:sz="4" w:space="0" w:color="auto"/>
            </w:tcBorders>
            <w:shd w:val="clear" w:color="auto" w:fill="auto"/>
            <w:noWrap/>
            <w:vAlign w:val="center"/>
          </w:tcPr>
          <w:p w14:paraId="756E9B8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rFonts w:asciiTheme="minorHAnsi" w:hAnsiTheme="minorHAnsi"/>
                <w:sz w:val="20"/>
                <w:lang w:eastAsia="zh-CN"/>
              </w:rPr>
              <w:t> </w:t>
            </w:r>
          </w:p>
        </w:tc>
        <w:tc>
          <w:tcPr>
            <w:tcW w:w="1276" w:type="dxa"/>
            <w:tcBorders>
              <w:top w:val="nil"/>
              <w:left w:val="single" w:sz="4" w:space="0" w:color="auto"/>
              <w:bottom w:val="nil"/>
              <w:right w:val="single" w:sz="4" w:space="0" w:color="auto"/>
            </w:tcBorders>
            <w:shd w:val="clear" w:color="auto" w:fill="auto"/>
            <w:noWrap/>
            <w:vAlign w:val="center"/>
          </w:tcPr>
          <w:p w14:paraId="2F521610"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rFonts w:asciiTheme="minorHAnsi" w:hAnsiTheme="minorHAnsi"/>
                <w:sz w:val="20"/>
                <w:lang w:eastAsia="zh-CN"/>
              </w:rPr>
              <w:t>–329,86</w:t>
            </w:r>
          </w:p>
        </w:tc>
        <w:tc>
          <w:tcPr>
            <w:tcW w:w="1275" w:type="dxa"/>
            <w:tcBorders>
              <w:top w:val="nil"/>
              <w:left w:val="nil"/>
              <w:bottom w:val="nil"/>
              <w:right w:val="single" w:sz="4" w:space="0" w:color="auto"/>
            </w:tcBorders>
            <w:shd w:val="clear" w:color="auto" w:fill="auto"/>
            <w:noWrap/>
            <w:vAlign w:val="center"/>
          </w:tcPr>
          <w:p w14:paraId="7B25334F"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0"/>
              </w:rPr>
            </w:pPr>
            <w:r w:rsidRPr="001314CA">
              <w:rPr>
                <w:rFonts w:asciiTheme="minorHAnsi" w:hAnsiTheme="minorHAnsi"/>
                <w:sz w:val="20"/>
                <w:lang w:eastAsia="zh-CN"/>
              </w:rPr>
              <w:t> </w:t>
            </w:r>
          </w:p>
        </w:tc>
      </w:tr>
      <w:tr w:rsidR="00D215BD" w:rsidRPr="001314CA" w14:paraId="0E118DCC" w14:textId="77777777" w:rsidTr="00D215BD">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53A2B15" w14:textId="77777777" w:rsidR="00D215BD" w:rsidRPr="001314CA" w:rsidRDefault="00D215BD" w:rsidP="00D215BD">
            <w:pPr>
              <w:tabs>
                <w:tab w:val="clear" w:pos="567"/>
                <w:tab w:val="clear" w:pos="1134"/>
                <w:tab w:val="clear" w:pos="1701"/>
                <w:tab w:val="clear" w:pos="2268"/>
                <w:tab w:val="clear" w:pos="2835"/>
              </w:tabs>
              <w:spacing w:before="0"/>
              <w:rPr>
                <w:sz w:val="20"/>
              </w:rPr>
            </w:pPr>
            <w:r w:rsidRPr="001314CA">
              <w:rPr>
                <w:rFonts w:asciiTheme="minorHAnsi" w:hAnsiTheme="minorHAnsi"/>
                <w:sz w:val="20"/>
                <w:lang w:eastAsia="zh-CN"/>
              </w:rPr>
              <w:t>Résultat cumulé IPSAS</w:t>
            </w:r>
          </w:p>
        </w:tc>
        <w:tc>
          <w:tcPr>
            <w:tcW w:w="1417" w:type="dxa"/>
            <w:tcBorders>
              <w:top w:val="nil"/>
              <w:left w:val="nil"/>
              <w:bottom w:val="single" w:sz="4" w:space="0" w:color="auto"/>
              <w:right w:val="single" w:sz="4" w:space="0" w:color="auto"/>
            </w:tcBorders>
            <w:shd w:val="clear" w:color="auto" w:fill="auto"/>
            <w:noWrap/>
            <w:vAlign w:val="center"/>
          </w:tcPr>
          <w:p w14:paraId="3393ABE2" w14:textId="77777777" w:rsidR="00D215BD" w:rsidRPr="001314CA" w:rsidRDefault="00D215BD" w:rsidP="00D215BD">
            <w:pPr>
              <w:tabs>
                <w:tab w:val="clear" w:pos="567"/>
                <w:tab w:val="clear" w:pos="1134"/>
                <w:tab w:val="clear" w:pos="1701"/>
                <w:tab w:val="clear" w:pos="2268"/>
                <w:tab w:val="clear" w:pos="2835"/>
              </w:tabs>
              <w:spacing w:before="0"/>
              <w:jc w:val="right"/>
              <w:rPr>
                <w:sz w:val="20"/>
              </w:rPr>
            </w:pPr>
            <w:r w:rsidRPr="001314CA">
              <w:rPr>
                <w:rFonts w:asciiTheme="minorHAnsi" w:hAnsiTheme="minorHAnsi"/>
                <w:sz w:val="20"/>
                <w:lang w:eastAsia="zh-CN"/>
              </w:rPr>
              <w:t>–409 119</w:t>
            </w:r>
          </w:p>
        </w:tc>
        <w:tc>
          <w:tcPr>
            <w:tcW w:w="1276" w:type="dxa"/>
            <w:tcBorders>
              <w:top w:val="nil"/>
              <w:left w:val="nil"/>
              <w:bottom w:val="single" w:sz="4" w:space="0" w:color="auto"/>
              <w:right w:val="single" w:sz="4" w:space="0" w:color="auto"/>
            </w:tcBorders>
            <w:shd w:val="clear" w:color="auto" w:fill="auto"/>
            <w:noWrap/>
            <w:vAlign w:val="center"/>
          </w:tcPr>
          <w:p w14:paraId="4335BC1E" w14:textId="77777777" w:rsidR="00D215BD" w:rsidRPr="001314CA" w:rsidRDefault="00D215BD" w:rsidP="00D215BD">
            <w:pPr>
              <w:tabs>
                <w:tab w:val="clear" w:pos="567"/>
                <w:tab w:val="clear" w:pos="1134"/>
                <w:tab w:val="clear" w:pos="1701"/>
                <w:tab w:val="clear" w:pos="2268"/>
                <w:tab w:val="clear" w:pos="2835"/>
              </w:tabs>
              <w:spacing w:before="0"/>
              <w:jc w:val="right"/>
              <w:rPr>
                <w:sz w:val="20"/>
              </w:rPr>
            </w:pPr>
            <w:r w:rsidRPr="001314CA">
              <w:rPr>
                <w:sz w:val="20"/>
              </w:rPr>
              <w:t>–</w:t>
            </w:r>
          </w:p>
        </w:tc>
        <w:tc>
          <w:tcPr>
            <w:tcW w:w="1276" w:type="dxa"/>
            <w:tcBorders>
              <w:top w:val="nil"/>
              <w:left w:val="nil"/>
              <w:bottom w:val="single" w:sz="4" w:space="0" w:color="auto"/>
              <w:right w:val="nil"/>
            </w:tcBorders>
            <w:shd w:val="clear" w:color="auto" w:fill="auto"/>
            <w:noWrap/>
            <w:vAlign w:val="center"/>
          </w:tcPr>
          <w:p w14:paraId="7F7E9B85" w14:textId="77777777" w:rsidR="00D215BD" w:rsidRPr="001314CA" w:rsidRDefault="00D215BD" w:rsidP="00D215BD">
            <w:pPr>
              <w:tabs>
                <w:tab w:val="clear" w:pos="567"/>
                <w:tab w:val="clear" w:pos="1134"/>
                <w:tab w:val="clear" w:pos="1701"/>
                <w:tab w:val="clear" w:pos="2268"/>
                <w:tab w:val="clear" w:pos="2835"/>
              </w:tabs>
              <w:spacing w:before="0"/>
              <w:jc w:val="right"/>
              <w:rPr>
                <w:sz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721283D" w14:textId="77777777" w:rsidR="00D215BD" w:rsidRPr="001314CA" w:rsidRDefault="00D215BD" w:rsidP="00D215BD">
            <w:pPr>
              <w:tabs>
                <w:tab w:val="clear" w:pos="567"/>
                <w:tab w:val="clear" w:pos="1134"/>
                <w:tab w:val="clear" w:pos="1701"/>
                <w:tab w:val="clear" w:pos="2268"/>
                <w:tab w:val="clear" w:pos="2835"/>
              </w:tabs>
              <w:spacing w:before="0"/>
              <w:jc w:val="right"/>
              <w:rPr>
                <w:sz w:val="20"/>
              </w:rPr>
            </w:pPr>
          </w:p>
        </w:tc>
      </w:tr>
      <w:tr w:rsidR="00D215BD" w:rsidRPr="001314CA" w14:paraId="66D72E4F" w14:textId="77777777" w:rsidTr="00D215B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97239" w14:textId="77777777" w:rsidR="00D215BD" w:rsidRPr="001314CA" w:rsidRDefault="00D215BD" w:rsidP="00D215BD">
            <w:pPr>
              <w:tabs>
                <w:tab w:val="clear" w:pos="567"/>
                <w:tab w:val="clear" w:pos="1134"/>
                <w:tab w:val="clear" w:pos="1701"/>
                <w:tab w:val="clear" w:pos="2268"/>
                <w:tab w:val="clear" w:pos="2835"/>
              </w:tabs>
              <w:spacing w:before="60" w:after="60"/>
              <w:rPr>
                <w:b/>
                <w:bCs/>
                <w:sz w:val="20"/>
              </w:rPr>
            </w:pPr>
            <w:r w:rsidRPr="001314CA">
              <w:rPr>
                <w:b/>
                <w:bCs/>
                <w:sz w:val="20"/>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1FC781"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5 764 868,02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356EB1"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6 220 002,60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E43313"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277 250,98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883146"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rPr>
            </w:pPr>
            <w:r w:rsidRPr="001314CA">
              <w:rPr>
                <w:b/>
                <w:bCs/>
                <w:sz w:val="20"/>
              </w:rPr>
              <w:t>277 580,84</w:t>
            </w:r>
          </w:p>
        </w:tc>
      </w:tr>
      <w:bookmarkEnd w:id="3094"/>
      <w:bookmarkEnd w:id="3095"/>
      <w:bookmarkEnd w:id="3096"/>
      <w:bookmarkEnd w:id="3097"/>
      <w:bookmarkEnd w:id="3098"/>
      <w:bookmarkEnd w:id="3099"/>
      <w:bookmarkEnd w:id="3100"/>
      <w:bookmarkEnd w:id="3101"/>
    </w:tbl>
    <w:p w14:paraId="68186B68" w14:textId="77777777" w:rsidR="00D215BD" w:rsidRPr="001314CA" w:rsidRDefault="00D215BD" w:rsidP="00D215BD">
      <w:pPr>
        <w:sectPr w:rsidR="00D215BD" w:rsidRPr="001314CA" w:rsidSect="00D215BD">
          <w:headerReference w:type="default" r:id="rId66"/>
          <w:footerReference w:type="default" r:id="rId67"/>
          <w:pgSz w:w="11907" w:h="16840" w:code="9"/>
          <w:pgMar w:top="1418" w:right="1134" w:bottom="1418" w:left="1134" w:header="720" w:footer="720" w:gutter="0"/>
          <w:cols w:space="708"/>
          <w:docGrid w:linePitch="360"/>
        </w:sectPr>
      </w:pPr>
    </w:p>
    <w:p w14:paraId="0BDD6567" w14:textId="77777777" w:rsidR="00D215BD" w:rsidRPr="001314CA" w:rsidRDefault="00D215BD" w:rsidP="00D215BD">
      <w:pPr>
        <w:pStyle w:val="AnnexNo"/>
        <w:spacing w:before="240"/>
      </w:pPr>
      <w:bookmarkStart w:id="3104" w:name="_Toc358379356"/>
      <w:bookmarkStart w:id="3105" w:name="_Toc358379973"/>
      <w:bookmarkStart w:id="3106" w:name="_Toc395260977"/>
      <w:bookmarkStart w:id="3107" w:name="_Toc395261112"/>
      <w:bookmarkStart w:id="3108" w:name="_Toc395511762"/>
      <w:bookmarkStart w:id="3109" w:name="_Toc452138675"/>
      <w:bookmarkStart w:id="3110" w:name="_Toc452139124"/>
      <w:bookmarkStart w:id="3111" w:name="_Toc482888053"/>
      <w:bookmarkStart w:id="3112" w:name="_Toc482888396"/>
      <w:bookmarkStart w:id="3113" w:name="_Toc511736690"/>
      <w:bookmarkStart w:id="3114" w:name="_Toc10450818"/>
      <w:bookmarkStart w:id="3115" w:name="_Toc41815005"/>
      <w:bookmarkStart w:id="3116" w:name="_Toc73354503"/>
      <w:bookmarkStart w:id="3117" w:name="_Toc73356486"/>
      <w:r w:rsidRPr="001314CA">
        <w:lastRenderedPageBreak/>
        <w:t xml:space="preserve">ANNEXE </w:t>
      </w:r>
      <w:bookmarkEnd w:id="3104"/>
      <w:bookmarkEnd w:id="3105"/>
      <w:bookmarkEnd w:id="3106"/>
      <w:bookmarkEnd w:id="3107"/>
      <w:bookmarkEnd w:id="3108"/>
      <w:bookmarkEnd w:id="3109"/>
      <w:bookmarkEnd w:id="3110"/>
      <w:bookmarkEnd w:id="3111"/>
      <w:bookmarkEnd w:id="3112"/>
      <w:r w:rsidRPr="001314CA">
        <w:t>B</w:t>
      </w:r>
      <w:bookmarkEnd w:id="3113"/>
      <w:bookmarkEnd w:id="3114"/>
      <w:r w:rsidRPr="001314CA">
        <w:t>4</w:t>
      </w:r>
      <w:bookmarkEnd w:id="3115"/>
      <w:bookmarkEnd w:id="3116"/>
      <w:bookmarkEnd w:id="3117"/>
    </w:p>
    <w:p w14:paraId="4787D41E" w14:textId="77777777" w:rsidR="00D215BD" w:rsidRPr="001314CA" w:rsidRDefault="00D215BD" w:rsidP="00D215BD">
      <w:pPr>
        <w:pStyle w:val="Annextitle"/>
      </w:pPr>
      <w:bookmarkStart w:id="3118" w:name="_Toc73354504"/>
      <w:bookmarkStart w:id="3119" w:name="_Toc73356487"/>
      <w:r w:rsidRPr="001314CA">
        <w:t>Fonds d'affectation spéciale (crédits non utilisés) – Voir la Note 20</w:t>
      </w:r>
      <w:bookmarkEnd w:id="3118"/>
      <w:bookmarkEnd w:id="3119"/>
    </w:p>
    <w:p w14:paraId="40E1697A" w14:textId="774DA2FE" w:rsidR="00D215BD" w:rsidRDefault="00B774B6" w:rsidP="00B774B6">
      <w:pPr>
        <w:ind w:left="-567"/>
        <w:jc w:val="center"/>
        <w:rPr>
          <w:b/>
          <w:sz w:val="28"/>
        </w:rPr>
      </w:pPr>
      <w:r w:rsidRPr="00B774B6">
        <w:drawing>
          <wp:inline distT="0" distB="0" distL="0" distR="0" wp14:anchorId="20289870" wp14:editId="78046172">
            <wp:extent cx="9607495" cy="253674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619594" cy="2539936"/>
                    </a:xfrm>
                    <a:prstGeom prst="rect">
                      <a:avLst/>
                    </a:prstGeom>
                    <a:noFill/>
                    <a:ln>
                      <a:noFill/>
                    </a:ln>
                  </pic:spPr>
                </pic:pic>
              </a:graphicData>
            </a:graphic>
          </wp:inline>
        </w:drawing>
      </w:r>
    </w:p>
    <w:p w14:paraId="7872D831" w14:textId="213B1F68" w:rsidR="00B774B6" w:rsidRPr="001314CA" w:rsidRDefault="00B774B6" w:rsidP="00B774B6">
      <w:pPr>
        <w:ind w:left="-567"/>
        <w:jc w:val="center"/>
        <w:rPr>
          <w:b/>
          <w:sz w:val="28"/>
        </w:rPr>
      </w:pPr>
      <w:r w:rsidRPr="00B774B6">
        <w:drawing>
          <wp:inline distT="0" distB="0" distL="0" distR="0" wp14:anchorId="366BD52E" wp14:editId="1E6B2021">
            <wp:extent cx="9585028" cy="2639683"/>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615758" cy="2648146"/>
                    </a:xfrm>
                    <a:prstGeom prst="rect">
                      <a:avLst/>
                    </a:prstGeom>
                    <a:noFill/>
                    <a:ln>
                      <a:noFill/>
                    </a:ln>
                  </pic:spPr>
                </pic:pic>
              </a:graphicData>
            </a:graphic>
          </wp:inline>
        </w:drawing>
      </w:r>
    </w:p>
    <w:p w14:paraId="450337AE" w14:textId="77777777" w:rsidR="00D215BD" w:rsidRPr="001314CA" w:rsidRDefault="00D215BD" w:rsidP="00D215BD">
      <w:pPr>
        <w:pStyle w:val="Annextitle"/>
        <w:rPr>
          <w:i/>
          <w:iCs/>
        </w:rPr>
      </w:pPr>
      <w:bookmarkStart w:id="3120" w:name="_Toc73354505"/>
      <w:bookmarkStart w:id="3121" w:name="_Toc73356488"/>
      <w:r w:rsidRPr="001314CA">
        <w:lastRenderedPageBreak/>
        <w:t xml:space="preserve">Fonds d'affectation spéciale (crédits non utilisés) </w:t>
      </w:r>
      <w:r w:rsidRPr="001314CA">
        <w:rPr>
          <w:i/>
          <w:iCs/>
        </w:rPr>
        <w:t>(suite)</w:t>
      </w:r>
      <w:bookmarkEnd w:id="3120"/>
      <w:bookmarkEnd w:id="3121"/>
    </w:p>
    <w:p w14:paraId="277BF5C3" w14:textId="1AF901D5" w:rsidR="00D215BD" w:rsidRPr="001314CA" w:rsidRDefault="00B774B6" w:rsidP="00B774B6">
      <w:pPr>
        <w:ind w:left="-567"/>
        <w:jc w:val="center"/>
      </w:pPr>
      <w:r w:rsidRPr="00B774B6">
        <w:drawing>
          <wp:inline distT="0" distB="0" distL="0" distR="0" wp14:anchorId="02516E97" wp14:editId="36049632">
            <wp:extent cx="9808234" cy="2835685"/>
            <wp:effectExtent l="0" t="0" r="254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839832" cy="2844820"/>
                    </a:xfrm>
                    <a:prstGeom prst="rect">
                      <a:avLst/>
                    </a:prstGeom>
                    <a:noFill/>
                    <a:ln>
                      <a:noFill/>
                    </a:ln>
                  </pic:spPr>
                </pic:pic>
              </a:graphicData>
            </a:graphic>
          </wp:inline>
        </w:drawing>
      </w:r>
    </w:p>
    <w:p w14:paraId="07780A1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r w:rsidRPr="001314CA">
        <w:br w:type="page"/>
      </w:r>
    </w:p>
    <w:p w14:paraId="232740F6" w14:textId="77777777" w:rsidR="00D215BD" w:rsidRPr="001314CA" w:rsidRDefault="00D215BD" w:rsidP="00D215BD">
      <w:pPr>
        <w:pStyle w:val="Annextitle"/>
        <w:rPr>
          <w:i/>
          <w:iCs/>
        </w:rPr>
      </w:pPr>
      <w:bookmarkStart w:id="3122" w:name="_Toc73354506"/>
      <w:bookmarkStart w:id="3123" w:name="_Toc73356489"/>
      <w:r w:rsidRPr="001314CA">
        <w:lastRenderedPageBreak/>
        <w:t xml:space="preserve">Fonds d'affectation spéciale (crédits non utilisés) </w:t>
      </w:r>
      <w:r w:rsidRPr="001314CA">
        <w:rPr>
          <w:i/>
          <w:iCs/>
        </w:rPr>
        <w:t>(suite)</w:t>
      </w:r>
      <w:bookmarkEnd w:id="3122"/>
      <w:bookmarkEnd w:id="3123"/>
    </w:p>
    <w:p w14:paraId="33F3F0D7" w14:textId="4A0B4AC0" w:rsidR="00D215BD" w:rsidRPr="001314CA" w:rsidRDefault="00B774B6" w:rsidP="00B774B6">
      <w:pPr>
        <w:ind w:left="-993"/>
        <w:jc w:val="center"/>
      </w:pPr>
      <w:r w:rsidRPr="00B774B6">
        <w:drawing>
          <wp:inline distT="0" distB="0" distL="0" distR="0" wp14:anchorId="434E7B19" wp14:editId="0DD7B540">
            <wp:extent cx="9230405" cy="5572664"/>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237122" cy="5576719"/>
                    </a:xfrm>
                    <a:prstGeom prst="rect">
                      <a:avLst/>
                    </a:prstGeom>
                    <a:noFill/>
                    <a:ln>
                      <a:noFill/>
                    </a:ln>
                  </pic:spPr>
                </pic:pic>
              </a:graphicData>
            </a:graphic>
          </wp:inline>
        </w:drawing>
      </w:r>
    </w:p>
    <w:p w14:paraId="306B28EB" w14:textId="77777777" w:rsidR="00D215BD" w:rsidRPr="001314CA" w:rsidRDefault="00D215BD" w:rsidP="00D215BD">
      <w:r w:rsidRPr="001314CA">
        <w:br w:type="page"/>
      </w:r>
    </w:p>
    <w:p w14:paraId="1A0D9DC9" w14:textId="77777777" w:rsidR="00D215BD" w:rsidRPr="001314CA" w:rsidRDefault="00D215BD" w:rsidP="00D215BD">
      <w:pPr>
        <w:pStyle w:val="Annextitle"/>
        <w:rPr>
          <w:i/>
          <w:iCs/>
        </w:rPr>
      </w:pPr>
      <w:bookmarkStart w:id="3124" w:name="_Toc73354507"/>
      <w:bookmarkStart w:id="3125" w:name="_Toc73356490"/>
      <w:r w:rsidRPr="001314CA">
        <w:lastRenderedPageBreak/>
        <w:t xml:space="preserve">Fonds d'affectation spéciale (crédits non utilisés) </w:t>
      </w:r>
      <w:r w:rsidRPr="001314CA">
        <w:rPr>
          <w:i/>
          <w:iCs/>
        </w:rPr>
        <w:t>(suite)</w:t>
      </w:r>
      <w:bookmarkEnd w:id="3124"/>
      <w:bookmarkEnd w:id="3125"/>
    </w:p>
    <w:p w14:paraId="176AD667" w14:textId="122B257D" w:rsidR="00D215BD" w:rsidRPr="001314CA" w:rsidRDefault="00B774B6" w:rsidP="00B774B6">
      <w:pPr>
        <w:spacing w:before="240" w:after="240"/>
        <w:ind w:left="-1134"/>
        <w:jc w:val="center"/>
        <w:rPr>
          <w:b/>
          <w:i/>
          <w:iCs/>
          <w:sz w:val="28"/>
        </w:rPr>
      </w:pPr>
      <w:r w:rsidRPr="00B774B6">
        <w:drawing>
          <wp:inline distT="0" distB="0" distL="0" distR="0" wp14:anchorId="41E98421" wp14:editId="59249F3A">
            <wp:extent cx="10165987" cy="4528868"/>
            <wp:effectExtent l="0" t="0" r="698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174856" cy="4532819"/>
                    </a:xfrm>
                    <a:prstGeom prst="rect">
                      <a:avLst/>
                    </a:prstGeom>
                    <a:noFill/>
                    <a:ln>
                      <a:noFill/>
                    </a:ln>
                  </pic:spPr>
                </pic:pic>
              </a:graphicData>
            </a:graphic>
          </wp:inline>
        </w:drawing>
      </w:r>
    </w:p>
    <w:p w14:paraId="10D48607" w14:textId="77777777" w:rsidR="00D215BD" w:rsidRPr="001314CA" w:rsidRDefault="00D215BD" w:rsidP="00D215BD">
      <w:r w:rsidRPr="001314CA">
        <w:br w:type="page"/>
      </w:r>
    </w:p>
    <w:p w14:paraId="44266F5E" w14:textId="77777777" w:rsidR="00D215BD" w:rsidRPr="001314CA" w:rsidRDefault="00D215BD" w:rsidP="00D215BD">
      <w:pPr>
        <w:pStyle w:val="Annextitle"/>
        <w:rPr>
          <w:i/>
          <w:iCs/>
        </w:rPr>
      </w:pPr>
      <w:bookmarkStart w:id="3126" w:name="_Toc73354508"/>
      <w:bookmarkStart w:id="3127" w:name="_Toc73356491"/>
      <w:r w:rsidRPr="001314CA">
        <w:lastRenderedPageBreak/>
        <w:t xml:space="preserve">Fonds d'affectation spéciale (crédits non utilisés) </w:t>
      </w:r>
      <w:r w:rsidRPr="001314CA">
        <w:rPr>
          <w:i/>
          <w:iCs/>
        </w:rPr>
        <w:t>(suite)</w:t>
      </w:r>
      <w:bookmarkEnd w:id="3126"/>
      <w:bookmarkEnd w:id="3127"/>
    </w:p>
    <w:p w14:paraId="118B452A" w14:textId="5FC533BD" w:rsidR="00D215BD" w:rsidRPr="001314CA" w:rsidRDefault="00B774B6" w:rsidP="00D215BD">
      <w:pPr>
        <w:ind w:left="-1134"/>
        <w:jc w:val="center"/>
      </w:pPr>
      <w:r w:rsidRPr="00B774B6">
        <w:drawing>
          <wp:inline distT="0" distB="0" distL="0" distR="0" wp14:anchorId="3699F4F0" wp14:editId="138FEB05">
            <wp:extent cx="10165443" cy="4623759"/>
            <wp:effectExtent l="0" t="0" r="762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174227" cy="4627754"/>
                    </a:xfrm>
                    <a:prstGeom prst="rect">
                      <a:avLst/>
                    </a:prstGeom>
                    <a:noFill/>
                    <a:ln>
                      <a:noFill/>
                    </a:ln>
                  </pic:spPr>
                </pic:pic>
              </a:graphicData>
            </a:graphic>
          </wp:inline>
        </w:drawing>
      </w:r>
    </w:p>
    <w:p w14:paraId="26E911D5" w14:textId="77777777" w:rsidR="00D215BD" w:rsidRPr="001314CA" w:rsidRDefault="00D215BD" w:rsidP="00D215BD">
      <w:pPr>
        <w:spacing w:before="240"/>
        <w:jc w:val="center"/>
        <w:rPr>
          <w:b/>
          <w:sz w:val="28"/>
        </w:rPr>
      </w:pPr>
      <w:r w:rsidRPr="001314CA">
        <w:rPr>
          <w:b/>
          <w:sz w:val="28"/>
        </w:rPr>
        <w:br w:type="page"/>
      </w:r>
    </w:p>
    <w:p w14:paraId="565DED59" w14:textId="77777777" w:rsidR="00D215BD" w:rsidRPr="001314CA" w:rsidRDefault="00D215BD" w:rsidP="00D215BD">
      <w:pPr>
        <w:pStyle w:val="Annextitle"/>
        <w:rPr>
          <w:i/>
          <w:iCs/>
        </w:rPr>
      </w:pPr>
      <w:bookmarkStart w:id="3128" w:name="_Toc73354509"/>
      <w:bookmarkStart w:id="3129" w:name="_Toc73356492"/>
      <w:r w:rsidRPr="001314CA">
        <w:lastRenderedPageBreak/>
        <w:t xml:space="preserve">Fonds d'affectation spéciale (crédits non utilisés) </w:t>
      </w:r>
      <w:r w:rsidRPr="001314CA">
        <w:rPr>
          <w:i/>
          <w:iCs/>
        </w:rPr>
        <w:t>(suite)</w:t>
      </w:r>
      <w:bookmarkEnd w:id="3128"/>
      <w:bookmarkEnd w:id="3129"/>
    </w:p>
    <w:p w14:paraId="6C67486B" w14:textId="2477E3B9" w:rsidR="00D215BD" w:rsidRPr="001314CA" w:rsidRDefault="00B774B6" w:rsidP="00D215BD">
      <w:pPr>
        <w:ind w:left="-1134"/>
        <w:jc w:val="center"/>
      </w:pPr>
      <w:r w:rsidRPr="00B774B6">
        <w:drawing>
          <wp:inline distT="0" distB="0" distL="0" distR="0" wp14:anchorId="612E28A3" wp14:editId="446B68E5">
            <wp:extent cx="10142305" cy="3847381"/>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151931" cy="3851033"/>
                    </a:xfrm>
                    <a:prstGeom prst="rect">
                      <a:avLst/>
                    </a:prstGeom>
                    <a:noFill/>
                    <a:ln>
                      <a:noFill/>
                    </a:ln>
                  </pic:spPr>
                </pic:pic>
              </a:graphicData>
            </a:graphic>
          </wp:inline>
        </w:drawing>
      </w:r>
    </w:p>
    <w:p w14:paraId="51522FF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r w:rsidRPr="001314CA">
        <w:br w:type="page"/>
      </w:r>
    </w:p>
    <w:p w14:paraId="59065983" w14:textId="77777777" w:rsidR="00D215BD" w:rsidRPr="001314CA" w:rsidRDefault="00D215BD" w:rsidP="00D215BD">
      <w:pPr>
        <w:pStyle w:val="Annextitle"/>
        <w:rPr>
          <w:i/>
          <w:iCs/>
        </w:rPr>
      </w:pPr>
      <w:bookmarkStart w:id="3130" w:name="_Toc73354510"/>
      <w:bookmarkStart w:id="3131" w:name="_Toc73356493"/>
      <w:r w:rsidRPr="001314CA">
        <w:lastRenderedPageBreak/>
        <w:t xml:space="preserve">Fonds d'affectation spéciale (crédits non utilisés) </w:t>
      </w:r>
      <w:r w:rsidRPr="001314CA">
        <w:rPr>
          <w:i/>
          <w:iCs/>
        </w:rPr>
        <w:t>(fin)</w:t>
      </w:r>
      <w:bookmarkEnd w:id="3130"/>
      <w:bookmarkEnd w:id="3131"/>
    </w:p>
    <w:p w14:paraId="63A4E76E" w14:textId="29FB58C7" w:rsidR="00D215BD" w:rsidRPr="001314CA" w:rsidRDefault="00B774B6" w:rsidP="00D215BD">
      <w:pPr>
        <w:ind w:left="-1134"/>
        <w:jc w:val="center"/>
      </w:pPr>
      <w:r w:rsidRPr="00B774B6">
        <w:drawing>
          <wp:inline distT="0" distB="0" distL="0" distR="0" wp14:anchorId="68529CC4" wp14:editId="5058CC3B">
            <wp:extent cx="10218314" cy="42959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228121" cy="4300078"/>
                    </a:xfrm>
                    <a:prstGeom prst="rect">
                      <a:avLst/>
                    </a:prstGeom>
                    <a:noFill/>
                    <a:ln>
                      <a:noFill/>
                    </a:ln>
                  </pic:spPr>
                </pic:pic>
              </a:graphicData>
            </a:graphic>
          </wp:inline>
        </w:drawing>
      </w:r>
    </w:p>
    <w:p w14:paraId="484F55E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r w:rsidRPr="001314CA">
        <w:br w:type="page"/>
      </w:r>
    </w:p>
    <w:p w14:paraId="26A065AD" w14:textId="77777777" w:rsidR="00D215BD" w:rsidRPr="001314CA" w:rsidRDefault="00D215BD" w:rsidP="00D215BD">
      <w:pPr>
        <w:pStyle w:val="AnnexNo"/>
      </w:pPr>
      <w:bookmarkStart w:id="3132" w:name="_Toc358379357"/>
      <w:bookmarkStart w:id="3133" w:name="_Toc358379974"/>
      <w:bookmarkStart w:id="3134" w:name="_Toc395260978"/>
      <w:bookmarkStart w:id="3135" w:name="_Toc395261113"/>
      <w:bookmarkStart w:id="3136" w:name="_Toc395511763"/>
      <w:bookmarkStart w:id="3137" w:name="_Toc452138676"/>
      <w:bookmarkStart w:id="3138" w:name="_Toc452139125"/>
      <w:bookmarkStart w:id="3139" w:name="_Toc482888054"/>
      <w:bookmarkStart w:id="3140" w:name="_Toc482888397"/>
      <w:bookmarkStart w:id="3141" w:name="_Toc511736691"/>
      <w:bookmarkStart w:id="3142" w:name="_Toc10450819"/>
      <w:bookmarkStart w:id="3143" w:name="_Toc41815006"/>
      <w:bookmarkStart w:id="3144" w:name="_Toc73354511"/>
      <w:bookmarkStart w:id="3145" w:name="_Toc73356494"/>
      <w:r w:rsidRPr="001314CA">
        <w:lastRenderedPageBreak/>
        <w:t xml:space="preserve">ANNEXE </w:t>
      </w:r>
      <w:bookmarkEnd w:id="3132"/>
      <w:bookmarkEnd w:id="3133"/>
      <w:bookmarkEnd w:id="3134"/>
      <w:bookmarkEnd w:id="3135"/>
      <w:bookmarkEnd w:id="3136"/>
      <w:bookmarkEnd w:id="3137"/>
      <w:bookmarkEnd w:id="3138"/>
      <w:bookmarkEnd w:id="3139"/>
      <w:bookmarkEnd w:id="3140"/>
      <w:r w:rsidRPr="001314CA">
        <w:t>B</w:t>
      </w:r>
      <w:bookmarkEnd w:id="3141"/>
      <w:bookmarkEnd w:id="3142"/>
      <w:r w:rsidRPr="001314CA">
        <w:t>5</w:t>
      </w:r>
      <w:bookmarkEnd w:id="3143"/>
      <w:bookmarkEnd w:id="3144"/>
      <w:bookmarkEnd w:id="3145"/>
    </w:p>
    <w:p w14:paraId="72696BFF" w14:textId="77777777" w:rsidR="00D215BD" w:rsidRPr="001314CA" w:rsidRDefault="00D215BD" w:rsidP="00D215BD">
      <w:pPr>
        <w:pStyle w:val="Annextitle"/>
      </w:pPr>
      <w:bookmarkStart w:id="3146" w:name="_Toc73354512"/>
      <w:bookmarkStart w:id="3147" w:name="_Toc73356495"/>
      <w:r w:rsidRPr="001314CA">
        <w:t>Contributions volontaires – en francs suisses – Voir la Note 20</w:t>
      </w:r>
      <w:bookmarkEnd w:id="3146"/>
      <w:bookmarkEnd w:id="3147"/>
    </w:p>
    <w:p w14:paraId="516100C9" w14:textId="2F82DE34" w:rsidR="00D215BD" w:rsidRPr="001314CA" w:rsidRDefault="00B774B6" w:rsidP="00D215BD">
      <w:pPr>
        <w:spacing w:after="360"/>
        <w:jc w:val="center"/>
        <w:rPr>
          <w:b/>
          <w:sz w:val="28"/>
        </w:rPr>
      </w:pPr>
      <w:r w:rsidRPr="00B774B6">
        <w:drawing>
          <wp:inline distT="0" distB="0" distL="0" distR="0" wp14:anchorId="7AD76770" wp14:editId="59A009A0">
            <wp:extent cx="9213011" cy="2605680"/>
            <wp:effectExtent l="0" t="0" r="762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47771" cy="2615511"/>
                    </a:xfrm>
                    <a:prstGeom prst="rect">
                      <a:avLst/>
                    </a:prstGeom>
                    <a:noFill/>
                    <a:ln>
                      <a:noFill/>
                    </a:ln>
                  </pic:spPr>
                </pic:pic>
              </a:graphicData>
            </a:graphic>
          </wp:inline>
        </w:drawing>
      </w:r>
    </w:p>
    <w:p w14:paraId="1167EF45" w14:textId="2E8C4366" w:rsidR="00D215BD" w:rsidRPr="001314CA" w:rsidRDefault="00B774B6" w:rsidP="00D215BD">
      <w:pPr>
        <w:spacing w:after="360"/>
        <w:jc w:val="center"/>
        <w:rPr>
          <w:b/>
          <w:sz w:val="28"/>
        </w:rPr>
      </w:pPr>
      <w:r w:rsidRPr="00B774B6">
        <w:drawing>
          <wp:inline distT="0" distB="0" distL="0" distR="0" wp14:anchorId="3B0D7E2E" wp14:editId="3FAF9CF3">
            <wp:extent cx="9273396" cy="2639983"/>
            <wp:effectExtent l="0" t="0" r="4445"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290494" cy="2644851"/>
                    </a:xfrm>
                    <a:prstGeom prst="rect">
                      <a:avLst/>
                    </a:prstGeom>
                    <a:noFill/>
                    <a:ln>
                      <a:noFill/>
                    </a:ln>
                  </pic:spPr>
                </pic:pic>
              </a:graphicData>
            </a:graphic>
          </wp:inline>
        </w:drawing>
      </w:r>
    </w:p>
    <w:p w14:paraId="5B52F225" w14:textId="77777777" w:rsidR="00D215BD" w:rsidRPr="001314CA" w:rsidRDefault="00D215BD" w:rsidP="00D215BD">
      <w:pPr>
        <w:spacing w:after="360"/>
        <w:jc w:val="center"/>
        <w:rPr>
          <w:b/>
          <w:sz w:val="28"/>
        </w:rPr>
      </w:pPr>
      <w:r w:rsidRPr="001314CA">
        <w:rPr>
          <w:b/>
          <w:sz w:val="28"/>
        </w:rPr>
        <w:lastRenderedPageBreak/>
        <w:t>Contributions volontaires (</w:t>
      </w:r>
      <w:r w:rsidRPr="001314CA">
        <w:rPr>
          <w:b/>
          <w:i/>
          <w:iCs/>
          <w:sz w:val="28"/>
        </w:rPr>
        <w:t>suite</w:t>
      </w:r>
      <w:r w:rsidRPr="001314CA">
        <w:rPr>
          <w:b/>
          <w:sz w:val="28"/>
        </w:rPr>
        <w:t>)</w:t>
      </w:r>
    </w:p>
    <w:p w14:paraId="18206B9B" w14:textId="3E228D4A" w:rsidR="00D215BD" w:rsidRPr="001314CA" w:rsidRDefault="00B774B6" w:rsidP="00D215BD">
      <w:pPr>
        <w:spacing w:after="360"/>
        <w:jc w:val="center"/>
        <w:rPr>
          <w:b/>
          <w:sz w:val="28"/>
        </w:rPr>
      </w:pPr>
      <w:r w:rsidRPr="00B774B6">
        <w:drawing>
          <wp:inline distT="0" distB="0" distL="0" distR="0" wp14:anchorId="58FF06A6" wp14:editId="29E41AC7">
            <wp:extent cx="8888730" cy="573595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888730" cy="5735955"/>
                    </a:xfrm>
                    <a:prstGeom prst="rect">
                      <a:avLst/>
                    </a:prstGeom>
                    <a:noFill/>
                    <a:ln>
                      <a:noFill/>
                    </a:ln>
                  </pic:spPr>
                </pic:pic>
              </a:graphicData>
            </a:graphic>
          </wp:inline>
        </w:drawing>
      </w:r>
    </w:p>
    <w:p w14:paraId="2ECCDDF2" w14:textId="77777777" w:rsidR="00D215BD" w:rsidRPr="001314CA" w:rsidRDefault="00D215BD" w:rsidP="00D215BD">
      <w:pPr>
        <w:jc w:val="center"/>
        <w:rPr>
          <w:b/>
          <w:sz w:val="28"/>
        </w:rPr>
      </w:pPr>
      <w:r w:rsidRPr="001314CA">
        <w:rPr>
          <w:b/>
          <w:sz w:val="28"/>
        </w:rPr>
        <w:lastRenderedPageBreak/>
        <w:t>Contributions volontaires (</w:t>
      </w:r>
      <w:r w:rsidRPr="001314CA">
        <w:rPr>
          <w:b/>
          <w:i/>
          <w:iCs/>
          <w:sz w:val="28"/>
        </w:rPr>
        <w:t>suite</w:t>
      </w:r>
      <w:r w:rsidRPr="001314CA">
        <w:rPr>
          <w:b/>
          <w:sz w:val="28"/>
        </w:rPr>
        <w:t>)</w:t>
      </w:r>
    </w:p>
    <w:p w14:paraId="046B4F14" w14:textId="3265D90D" w:rsidR="00D215BD" w:rsidRPr="00B774B6" w:rsidRDefault="00B774B6" w:rsidP="00D215BD">
      <w:pPr>
        <w:jc w:val="center"/>
        <w:rPr>
          <w:bCs/>
          <w:sz w:val="28"/>
        </w:rPr>
      </w:pPr>
      <w:r w:rsidRPr="00B774B6">
        <w:drawing>
          <wp:inline distT="0" distB="0" distL="0" distR="0" wp14:anchorId="1C2FA138" wp14:editId="2A923256">
            <wp:extent cx="8888730" cy="324167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888730" cy="3241675"/>
                    </a:xfrm>
                    <a:prstGeom prst="rect">
                      <a:avLst/>
                    </a:prstGeom>
                    <a:noFill/>
                    <a:ln>
                      <a:noFill/>
                    </a:ln>
                  </pic:spPr>
                </pic:pic>
              </a:graphicData>
            </a:graphic>
          </wp:inline>
        </w:drawing>
      </w:r>
    </w:p>
    <w:p w14:paraId="23C574A7" w14:textId="77777777" w:rsidR="00D215BD" w:rsidRPr="001314CA" w:rsidRDefault="00D215BD" w:rsidP="00D215BD">
      <w:pPr>
        <w:jc w:val="center"/>
      </w:pPr>
      <w:r w:rsidRPr="001314CA">
        <w:br w:type="page"/>
      </w:r>
    </w:p>
    <w:p w14:paraId="691901F5" w14:textId="77777777" w:rsidR="00D215BD" w:rsidRPr="001314CA" w:rsidRDefault="00D215BD" w:rsidP="00D215BD">
      <w:pPr>
        <w:pStyle w:val="Annextitle"/>
      </w:pPr>
      <w:bookmarkStart w:id="3148" w:name="_Toc73354513"/>
      <w:bookmarkStart w:id="3149" w:name="_Toc73356496"/>
      <w:r w:rsidRPr="001314CA">
        <w:lastRenderedPageBreak/>
        <w:t>Contributions volontaires (</w:t>
      </w:r>
      <w:r w:rsidRPr="001314CA">
        <w:rPr>
          <w:i/>
          <w:iCs/>
        </w:rPr>
        <w:t>suite</w:t>
      </w:r>
      <w:r w:rsidRPr="001314CA">
        <w:t>)</w:t>
      </w:r>
      <w:bookmarkEnd w:id="3148"/>
      <w:bookmarkEnd w:id="3149"/>
    </w:p>
    <w:p w14:paraId="7F6D054B" w14:textId="1311995D" w:rsidR="00D215BD" w:rsidRPr="001314CA" w:rsidRDefault="00B774B6" w:rsidP="00D215BD">
      <w:pPr>
        <w:jc w:val="center"/>
      </w:pPr>
      <w:r w:rsidRPr="00B774B6">
        <w:drawing>
          <wp:inline distT="0" distB="0" distL="0" distR="0" wp14:anchorId="7488BEB1" wp14:editId="2D46D7CE">
            <wp:extent cx="9365798" cy="4270076"/>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368415" cy="4271269"/>
                    </a:xfrm>
                    <a:prstGeom prst="rect">
                      <a:avLst/>
                    </a:prstGeom>
                    <a:noFill/>
                    <a:ln>
                      <a:noFill/>
                    </a:ln>
                  </pic:spPr>
                </pic:pic>
              </a:graphicData>
            </a:graphic>
          </wp:inline>
        </w:drawing>
      </w:r>
    </w:p>
    <w:p w14:paraId="147100AA" w14:textId="77777777" w:rsidR="00D215BD" w:rsidRPr="001314CA" w:rsidRDefault="00D215BD" w:rsidP="00D215BD">
      <w:pPr>
        <w:jc w:val="center"/>
      </w:pPr>
      <w:r w:rsidRPr="001314CA">
        <w:br w:type="page"/>
      </w:r>
    </w:p>
    <w:p w14:paraId="4E333B52" w14:textId="77777777" w:rsidR="00D215BD" w:rsidRPr="001314CA" w:rsidRDefault="00D215BD" w:rsidP="00D215BD">
      <w:pPr>
        <w:pStyle w:val="Annextitle"/>
      </w:pPr>
      <w:bookmarkStart w:id="3150" w:name="_Toc73354514"/>
      <w:bookmarkStart w:id="3151" w:name="_Toc73356497"/>
      <w:r w:rsidRPr="001314CA">
        <w:lastRenderedPageBreak/>
        <w:t>Contributions volontaires (</w:t>
      </w:r>
      <w:r w:rsidRPr="001314CA">
        <w:rPr>
          <w:i/>
          <w:iCs/>
        </w:rPr>
        <w:t>fin</w:t>
      </w:r>
      <w:r w:rsidRPr="001314CA">
        <w:t>)</w:t>
      </w:r>
      <w:bookmarkEnd w:id="3150"/>
      <w:bookmarkEnd w:id="3151"/>
    </w:p>
    <w:p w14:paraId="1E779028" w14:textId="6EB0C9F5" w:rsidR="00D215BD" w:rsidRPr="001314CA" w:rsidRDefault="00B774B6" w:rsidP="00D215BD">
      <w:pPr>
        <w:jc w:val="center"/>
      </w:pPr>
      <w:r w:rsidRPr="00B774B6">
        <w:drawing>
          <wp:inline distT="0" distB="0" distL="0" distR="0" wp14:anchorId="469002D1" wp14:editId="4091C737">
            <wp:extent cx="9299524" cy="3407434"/>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302464" cy="3408511"/>
                    </a:xfrm>
                    <a:prstGeom prst="rect">
                      <a:avLst/>
                    </a:prstGeom>
                    <a:noFill/>
                    <a:ln>
                      <a:noFill/>
                    </a:ln>
                  </pic:spPr>
                </pic:pic>
              </a:graphicData>
            </a:graphic>
          </wp:inline>
        </w:drawing>
      </w:r>
    </w:p>
    <w:p w14:paraId="6BE2206D" w14:textId="77777777" w:rsidR="00D215BD" w:rsidRPr="001314CA" w:rsidRDefault="00D215BD" w:rsidP="00D215BD">
      <w:pPr>
        <w:jc w:val="center"/>
      </w:pPr>
      <w:r w:rsidRPr="001314CA">
        <w:br w:type="page"/>
      </w:r>
    </w:p>
    <w:p w14:paraId="5D02E3E4" w14:textId="77777777" w:rsidR="00D215BD" w:rsidRPr="001314CA" w:rsidRDefault="00D215BD" w:rsidP="00D215BD">
      <w:pPr>
        <w:pStyle w:val="AnnexNo"/>
      </w:pPr>
      <w:bookmarkStart w:id="3152" w:name="_Toc511736692"/>
      <w:bookmarkStart w:id="3153" w:name="_Toc10450820"/>
      <w:bookmarkStart w:id="3154" w:name="_Toc41815007"/>
      <w:bookmarkStart w:id="3155" w:name="_Toc73354515"/>
      <w:bookmarkStart w:id="3156" w:name="_Toc73356498"/>
      <w:bookmarkStart w:id="3157" w:name="_Toc395261115"/>
      <w:bookmarkStart w:id="3158" w:name="_Toc395511765"/>
      <w:r w:rsidRPr="001314CA">
        <w:lastRenderedPageBreak/>
        <w:t>ANNEXE B</w:t>
      </w:r>
      <w:bookmarkEnd w:id="3152"/>
      <w:bookmarkEnd w:id="3153"/>
      <w:r w:rsidRPr="001314CA">
        <w:t>6</w:t>
      </w:r>
      <w:bookmarkEnd w:id="3154"/>
      <w:bookmarkEnd w:id="3155"/>
      <w:bookmarkEnd w:id="3156"/>
    </w:p>
    <w:p w14:paraId="52ED8A0D" w14:textId="77777777" w:rsidR="00D215BD" w:rsidRPr="001314CA" w:rsidRDefault="00D215BD" w:rsidP="00D215BD">
      <w:pPr>
        <w:pStyle w:val="Annextitle"/>
      </w:pPr>
      <w:bookmarkStart w:id="3159" w:name="_Toc73354516"/>
      <w:bookmarkStart w:id="3160" w:name="_Toc73356499"/>
      <w:r w:rsidRPr="001314CA">
        <w:t xml:space="preserve">Fonds pour le développement des technologies de l'information et </w:t>
      </w:r>
      <w:r w:rsidRPr="001314CA">
        <w:br/>
        <w:t xml:space="preserve">de la communication (FDTIC) – en francs suisses – Voir la Note </w:t>
      </w:r>
      <w:bookmarkEnd w:id="3157"/>
      <w:bookmarkEnd w:id="3158"/>
      <w:r w:rsidRPr="001314CA">
        <w:t>20</w:t>
      </w:r>
      <w:bookmarkEnd w:id="3159"/>
      <w:bookmarkEnd w:id="3160"/>
    </w:p>
    <w:p w14:paraId="7DD607F5" w14:textId="77777777" w:rsidR="00D215BD" w:rsidRPr="001314CA" w:rsidRDefault="00D215BD" w:rsidP="00D215BD">
      <w:pPr>
        <w:spacing w:after="120"/>
        <w:jc w:val="center"/>
      </w:pPr>
      <w:r w:rsidRPr="001314CA">
        <w:rPr>
          <w:b/>
          <w:bCs/>
        </w:rPr>
        <w:t>Évolution du Fonds de roulement des TIC</w:t>
      </w:r>
    </w:p>
    <w:tbl>
      <w:tblPr>
        <w:tblW w:w="10227" w:type="dxa"/>
        <w:jc w:val="center"/>
        <w:tblLook w:val="04A0" w:firstRow="1" w:lastRow="0" w:firstColumn="1" w:lastColumn="0" w:noHBand="0" w:noVBand="1"/>
        <w:tblCaption w:val="D"/>
      </w:tblPr>
      <w:tblGrid>
        <w:gridCol w:w="3403"/>
        <w:gridCol w:w="1667"/>
        <w:gridCol w:w="3314"/>
        <w:gridCol w:w="1843"/>
      </w:tblGrid>
      <w:tr w:rsidR="00D215BD" w:rsidRPr="001314CA" w14:paraId="103279CE" w14:textId="77777777" w:rsidTr="00D215BD">
        <w:trPr>
          <w:trHeight w:val="288"/>
          <w:jc w:val="center"/>
        </w:trPr>
        <w:tc>
          <w:tcPr>
            <w:tcW w:w="3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6FC5025"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Diminution</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89B64F2"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2019</w:t>
            </w:r>
          </w:p>
        </w:tc>
        <w:tc>
          <w:tcPr>
            <w:tcW w:w="33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C7C7906"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Augmentation</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E3B9E3E"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2019</w:t>
            </w:r>
          </w:p>
        </w:tc>
      </w:tr>
      <w:tr w:rsidR="00D215BD" w:rsidRPr="001314CA" w14:paraId="21B096C8" w14:textId="77777777" w:rsidTr="00D215BD">
        <w:trPr>
          <w:trHeight w:val="70"/>
          <w:jc w:val="center"/>
        </w:trPr>
        <w:tc>
          <w:tcPr>
            <w:tcW w:w="3403" w:type="dxa"/>
            <w:tcBorders>
              <w:top w:val="nil"/>
              <w:left w:val="single" w:sz="4" w:space="0" w:color="auto"/>
              <w:bottom w:val="nil"/>
              <w:right w:val="single" w:sz="4" w:space="0" w:color="auto"/>
            </w:tcBorders>
            <w:shd w:val="clear" w:color="auto" w:fill="auto"/>
            <w:noWrap/>
            <w:vAlign w:val="bottom"/>
            <w:hideMark/>
          </w:tcPr>
          <w:p w14:paraId="7B77A009"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667" w:type="dxa"/>
            <w:tcBorders>
              <w:top w:val="nil"/>
              <w:left w:val="nil"/>
              <w:bottom w:val="nil"/>
              <w:right w:val="single" w:sz="4" w:space="0" w:color="auto"/>
            </w:tcBorders>
            <w:shd w:val="clear" w:color="auto" w:fill="auto"/>
            <w:noWrap/>
            <w:vAlign w:val="bottom"/>
            <w:hideMark/>
          </w:tcPr>
          <w:p w14:paraId="37436F0F"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3314" w:type="dxa"/>
            <w:tcBorders>
              <w:top w:val="nil"/>
              <w:left w:val="nil"/>
              <w:bottom w:val="nil"/>
              <w:right w:val="single" w:sz="4" w:space="0" w:color="auto"/>
            </w:tcBorders>
            <w:shd w:val="clear" w:color="auto" w:fill="auto"/>
            <w:noWrap/>
            <w:vAlign w:val="bottom"/>
            <w:hideMark/>
          </w:tcPr>
          <w:p w14:paraId="31085A9B"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843" w:type="dxa"/>
            <w:tcBorders>
              <w:top w:val="nil"/>
              <w:left w:val="nil"/>
              <w:bottom w:val="nil"/>
              <w:right w:val="single" w:sz="4" w:space="0" w:color="auto"/>
            </w:tcBorders>
            <w:shd w:val="clear" w:color="auto" w:fill="auto"/>
            <w:noWrap/>
            <w:vAlign w:val="bottom"/>
            <w:hideMark/>
          </w:tcPr>
          <w:p w14:paraId="2888C314"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r>
      <w:tr w:rsidR="00D215BD" w:rsidRPr="001314CA" w14:paraId="45987BA0" w14:textId="77777777" w:rsidTr="00D215BD">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0E953932"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Financement de projets</w:t>
            </w:r>
          </w:p>
        </w:tc>
        <w:tc>
          <w:tcPr>
            <w:tcW w:w="1667" w:type="dxa"/>
            <w:tcBorders>
              <w:top w:val="nil"/>
              <w:left w:val="nil"/>
              <w:bottom w:val="nil"/>
              <w:right w:val="single" w:sz="4" w:space="0" w:color="auto"/>
            </w:tcBorders>
            <w:shd w:val="clear" w:color="auto" w:fill="auto"/>
            <w:noWrap/>
          </w:tcPr>
          <w:p w14:paraId="0DBFF20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123 589,00</w:t>
            </w:r>
          </w:p>
        </w:tc>
        <w:tc>
          <w:tcPr>
            <w:tcW w:w="3314" w:type="dxa"/>
            <w:tcBorders>
              <w:top w:val="nil"/>
              <w:left w:val="nil"/>
              <w:bottom w:val="nil"/>
              <w:right w:val="single" w:sz="4" w:space="0" w:color="auto"/>
            </w:tcBorders>
            <w:shd w:val="clear" w:color="auto" w:fill="auto"/>
            <w:noWrap/>
            <w:hideMark/>
          </w:tcPr>
          <w:p w14:paraId="17B4DF98"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Contributions 2019</w:t>
            </w:r>
          </w:p>
        </w:tc>
        <w:tc>
          <w:tcPr>
            <w:tcW w:w="1843" w:type="dxa"/>
            <w:tcBorders>
              <w:top w:val="nil"/>
              <w:left w:val="nil"/>
              <w:bottom w:val="nil"/>
              <w:right w:val="single" w:sz="4" w:space="0" w:color="auto"/>
            </w:tcBorders>
            <w:shd w:val="clear" w:color="auto" w:fill="auto"/>
            <w:noWrap/>
          </w:tcPr>
          <w:p w14:paraId="10F29706"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p>
        </w:tc>
      </w:tr>
      <w:tr w:rsidR="00D215BD" w:rsidRPr="001314CA" w14:paraId="0081A2D7" w14:textId="77777777" w:rsidTr="00D215BD">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05CB76AE"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Charges administratives</w:t>
            </w:r>
          </w:p>
        </w:tc>
        <w:tc>
          <w:tcPr>
            <w:tcW w:w="1667" w:type="dxa"/>
            <w:tcBorders>
              <w:top w:val="nil"/>
              <w:left w:val="nil"/>
              <w:bottom w:val="nil"/>
              <w:right w:val="single" w:sz="4" w:space="0" w:color="auto"/>
            </w:tcBorders>
            <w:shd w:val="clear" w:color="auto" w:fill="auto"/>
            <w:noWrap/>
          </w:tcPr>
          <w:p w14:paraId="6994A49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38,79</w:t>
            </w:r>
          </w:p>
        </w:tc>
        <w:tc>
          <w:tcPr>
            <w:tcW w:w="3314" w:type="dxa"/>
            <w:tcBorders>
              <w:top w:val="nil"/>
              <w:left w:val="nil"/>
              <w:bottom w:val="nil"/>
              <w:right w:val="single" w:sz="4" w:space="0" w:color="auto"/>
            </w:tcBorders>
            <w:shd w:val="clear" w:color="auto" w:fill="auto"/>
            <w:noWrap/>
            <w:hideMark/>
          </w:tcPr>
          <w:p w14:paraId="067BE5BE"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Intérêts</w:t>
            </w:r>
          </w:p>
        </w:tc>
        <w:tc>
          <w:tcPr>
            <w:tcW w:w="1843" w:type="dxa"/>
            <w:tcBorders>
              <w:top w:val="nil"/>
              <w:left w:val="nil"/>
              <w:bottom w:val="nil"/>
              <w:right w:val="single" w:sz="4" w:space="0" w:color="auto"/>
            </w:tcBorders>
            <w:shd w:val="clear" w:color="auto" w:fill="auto"/>
            <w:noWrap/>
          </w:tcPr>
          <w:p w14:paraId="5A29612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70 719,02</w:t>
            </w:r>
          </w:p>
        </w:tc>
      </w:tr>
      <w:tr w:rsidR="00D215BD" w:rsidRPr="001314CA" w14:paraId="57866F88" w14:textId="77777777" w:rsidTr="00D215BD">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0850BB05" w14:textId="77777777" w:rsidR="00D215BD" w:rsidRPr="001314CA" w:rsidRDefault="00D215BD" w:rsidP="00D215BD">
            <w:pPr>
              <w:tabs>
                <w:tab w:val="clear" w:pos="567"/>
                <w:tab w:val="clear" w:pos="1134"/>
                <w:tab w:val="clear" w:pos="1701"/>
                <w:tab w:val="clear" w:pos="2268"/>
                <w:tab w:val="clear" w:pos="2835"/>
              </w:tabs>
              <w:spacing w:before="60" w:after="60"/>
              <w:rPr>
                <w:color w:val="000000"/>
                <w:sz w:val="22"/>
              </w:rPr>
            </w:pPr>
            <w:r w:rsidRPr="001314CA">
              <w:rPr>
                <w:sz w:val="22"/>
              </w:rPr>
              <w:t>Annulation de la réévaluation 2018</w:t>
            </w:r>
          </w:p>
        </w:tc>
        <w:tc>
          <w:tcPr>
            <w:tcW w:w="1667" w:type="dxa"/>
            <w:tcBorders>
              <w:top w:val="nil"/>
              <w:left w:val="nil"/>
              <w:bottom w:val="nil"/>
              <w:right w:val="single" w:sz="4" w:space="0" w:color="auto"/>
            </w:tcBorders>
            <w:shd w:val="clear" w:color="auto" w:fill="auto"/>
            <w:noWrap/>
          </w:tcPr>
          <w:p w14:paraId="1C23690A"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98 361,00</w:t>
            </w:r>
          </w:p>
        </w:tc>
        <w:tc>
          <w:tcPr>
            <w:tcW w:w="3314" w:type="dxa"/>
            <w:tcBorders>
              <w:top w:val="nil"/>
              <w:left w:val="nil"/>
              <w:bottom w:val="nil"/>
              <w:right w:val="single" w:sz="4" w:space="0" w:color="auto"/>
            </w:tcBorders>
            <w:shd w:val="clear" w:color="auto" w:fill="auto"/>
            <w:noWrap/>
            <w:hideMark/>
          </w:tcPr>
          <w:p w14:paraId="158168C8"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Intérêts transférés depuis les fonds d'affectation spéciale</w:t>
            </w:r>
          </w:p>
        </w:tc>
        <w:tc>
          <w:tcPr>
            <w:tcW w:w="1843" w:type="dxa"/>
            <w:tcBorders>
              <w:top w:val="nil"/>
              <w:left w:val="nil"/>
              <w:bottom w:val="nil"/>
              <w:right w:val="single" w:sz="4" w:space="0" w:color="auto"/>
            </w:tcBorders>
            <w:shd w:val="clear" w:color="auto" w:fill="auto"/>
            <w:noWrap/>
          </w:tcPr>
          <w:p w14:paraId="209D8F1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42 544,46</w:t>
            </w:r>
          </w:p>
        </w:tc>
      </w:tr>
      <w:tr w:rsidR="00D215BD" w:rsidRPr="001314CA" w14:paraId="5082FF32" w14:textId="77777777" w:rsidTr="00D215BD">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5B718943"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667" w:type="dxa"/>
            <w:tcBorders>
              <w:top w:val="nil"/>
              <w:left w:val="nil"/>
              <w:bottom w:val="nil"/>
              <w:right w:val="single" w:sz="4" w:space="0" w:color="auto"/>
            </w:tcBorders>
            <w:shd w:val="clear" w:color="auto" w:fill="auto"/>
            <w:noWrap/>
          </w:tcPr>
          <w:p w14:paraId="2DABB13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p>
        </w:tc>
        <w:tc>
          <w:tcPr>
            <w:tcW w:w="3314" w:type="dxa"/>
            <w:tcBorders>
              <w:top w:val="nil"/>
              <w:left w:val="nil"/>
              <w:bottom w:val="nil"/>
              <w:right w:val="single" w:sz="4" w:space="0" w:color="auto"/>
            </w:tcBorders>
            <w:shd w:val="clear" w:color="auto" w:fill="auto"/>
            <w:noWrap/>
            <w:hideMark/>
          </w:tcPr>
          <w:p w14:paraId="2EB9AD8C"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Rapatriement des soldes des projets FDTIC clôturés</w:t>
            </w:r>
          </w:p>
        </w:tc>
        <w:tc>
          <w:tcPr>
            <w:tcW w:w="1843" w:type="dxa"/>
            <w:tcBorders>
              <w:top w:val="nil"/>
              <w:left w:val="nil"/>
              <w:bottom w:val="nil"/>
              <w:right w:val="single" w:sz="4" w:space="0" w:color="auto"/>
            </w:tcBorders>
            <w:shd w:val="clear" w:color="auto" w:fill="auto"/>
            <w:noWrap/>
          </w:tcPr>
          <w:p w14:paraId="24439A4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269 612,95</w:t>
            </w:r>
          </w:p>
        </w:tc>
      </w:tr>
      <w:tr w:rsidR="00D215BD" w:rsidRPr="001314CA" w14:paraId="0F9106BA" w14:textId="77777777" w:rsidTr="00D215BD">
        <w:trPr>
          <w:trHeight w:val="288"/>
          <w:jc w:val="center"/>
        </w:trPr>
        <w:tc>
          <w:tcPr>
            <w:tcW w:w="3403" w:type="dxa"/>
            <w:tcBorders>
              <w:top w:val="nil"/>
              <w:left w:val="single" w:sz="4" w:space="0" w:color="auto"/>
              <w:bottom w:val="nil"/>
              <w:right w:val="single" w:sz="4" w:space="0" w:color="auto"/>
            </w:tcBorders>
            <w:shd w:val="clear" w:color="auto" w:fill="auto"/>
            <w:noWrap/>
            <w:vAlign w:val="bottom"/>
          </w:tcPr>
          <w:p w14:paraId="4C84F3BC"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667" w:type="dxa"/>
            <w:tcBorders>
              <w:top w:val="nil"/>
              <w:left w:val="nil"/>
              <w:bottom w:val="nil"/>
              <w:right w:val="single" w:sz="4" w:space="0" w:color="auto"/>
            </w:tcBorders>
            <w:shd w:val="clear" w:color="auto" w:fill="auto"/>
            <w:noWrap/>
          </w:tcPr>
          <w:p w14:paraId="2387539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p>
        </w:tc>
        <w:tc>
          <w:tcPr>
            <w:tcW w:w="3314" w:type="dxa"/>
            <w:tcBorders>
              <w:top w:val="nil"/>
              <w:left w:val="nil"/>
              <w:bottom w:val="nil"/>
              <w:right w:val="single" w:sz="4" w:space="0" w:color="auto"/>
            </w:tcBorders>
            <w:shd w:val="clear" w:color="auto" w:fill="auto"/>
            <w:noWrap/>
          </w:tcPr>
          <w:p w14:paraId="199E3E44"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Réévaluation 2019</w:t>
            </w:r>
          </w:p>
        </w:tc>
        <w:tc>
          <w:tcPr>
            <w:tcW w:w="1843" w:type="dxa"/>
            <w:tcBorders>
              <w:top w:val="nil"/>
              <w:left w:val="nil"/>
              <w:bottom w:val="nil"/>
              <w:right w:val="single" w:sz="4" w:space="0" w:color="auto"/>
            </w:tcBorders>
            <w:shd w:val="clear" w:color="auto" w:fill="auto"/>
            <w:noWrap/>
          </w:tcPr>
          <w:p w14:paraId="66C786F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108 727,04</w:t>
            </w:r>
          </w:p>
        </w:tc>
      </w:tr>
      <w:tr w:rsidR="00D215BD" w:rsidRPr="001314CA" w14:paraId="2C98020D" w14:textId="77777777" w:rsidTr="00D215BD">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49BBB701"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Excédent de recettes</w:t>
            </w:r>
          </w:p>
        </w:tc>
        <w:tc>
          <w:tcPr>
            <w:tcW w:w="1667" w:type="dxa"/>
            <w:tcBorders>
              <w:top w:val="nil"/>
              <w:left w:val="nil"/>
              <w:bottom w:val="nil"/>
              <w:right w:val="single" w:sz="4" w:space="0" w:color="auto"/>
            </w:tcBorders>
            <w:shd w:val="clear" w:color="auto" w:fill="auto"/>
            <w:noWrap/>
          </w:tcPr>
          <w:p w14:paraId="41688C5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269 614,68</w:t>
            </w:r>
          </w:p>
        </w:tc>
        <w:tc>
          <w:tcPr>
            <w:tcW w:w="3314" w:type="dxa"/>
            <w:tcBorders>
              <w:top w:val="nil"/>
              <w:left w:val="nil"/>
              <w:bottom w:val="nil"/>
              <w:right w:val="single" w:sz="4" w:space="0" w:color="auto"/>
            </w:tcBorders>
            <w:shd w:val="clear" w:color="auto" w:fill="auto"/>
            <w:noWrap/>
            <w:hideMark/>
          </w:tcPr>
          <w:p w14:paraId="62DD8DF2"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843" w:type="dxa"/>
            <w:tcBorders>
              <w:top w:val="nil"/>
              <w:left w:val="nil"/>
              <w:bottom w:val="nil"/>
              <w:right w:val="single" w:sz="4" w:space="0" w:color="auto"/>
            </w:tcBorders>
            <w:shd w:val="clear" w:color="auto" w:fill="auto"/>
            <w:noWrap/>
          </w:tcPr>
          <w:p w14:paraId="689B65A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p>
        </w:tc>
      </w:tr>
      <w:tr w:rsidR="00D215BD" w:rsidRPr="001314CA" w14:paraId="24E1AFE8" w14:textId="77777777" w:rsidTr="00D215BD">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5E9377A6"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667" w:type="dxa"/>
            <w:tcBorders>
              <w:top w:val="nil"/>
              <w:left w:val="nil"/>
              <w:bottom w:val="nil"/>
              <w:right w:val="single" w:sz="4" w:space="0" w:color="auto"/>
            </w:tcBorders>
            <w:shd w:val="clear" w:color="auto" w:fill="auto"/>
            <w:noWrap/>
          </w:tcPr>
          <w:p w14:paraId="5A620DB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p>
        </w:tc>
        <w:tc>
          <w:tcPr>
            <w:tcW w:w="3314" w:type="dxa"/>
            <w:tcBorders>
              <w:top w:val="nil"/>
              <w:left w:val="nil"/>
              <w:bottom w:val="nil"/>
              <w:right w:val="single" w:sz="4" w:space="0" w:color="auto"/>
            </w:tcBorders>
            <w:shd w:val="clear" w:color="auto" w:fill="auto"/>
            <w:noWrap/>
          </w:tcPr>
          <w:p w14:paraId="7EB533B1"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843" w:type="dxa"/>
            <w:tcBorders>
              <w:top w:val="nil"/>
              <w:left w:val="nil"/>
              <w:bottom w:val="nil"/>
              <w:right w:val="single" w:sz="4" w:space="0" w:color="auto"/>
            </w:tcBorders>
            <w:shd w:val="clear" w:color="auto" w:fill="auto"/>
            <w:noWrap/>
          </w:tcPr>
          <w:p w14:paraId="088D0411"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p>
        </w:tc>
      </w:tr>
      <w:tr w:rsidR="00D215BD" w:rsidRPr="001314CA" w14:paraId="22801570" w14:textId="77777777" w:rsidTr="00D215BD">
        <w:trPr>
          <w:trHeight w:val="300"/>
          <w:jc w:val="center"/>
        </w:trPr>
        <w:tc>
          <w:tcPr>
            <w:tcW w:w="3403" w:type="dxa"/>
            <w:tcBorders>
              <w:top w:val="nil"/>
              <w:left w:val="single" w:sz="4" w:space="0" w:color="auto"/>
              <w:bottom w:val="nil"/>
              <w:right w:val="single" w:sz="4" w:space="0" w:color="auto"/>
            </w:tcBorders>
            <w:shd w:val="clear" w:color="auto" w:fill="auto"/>
            <w:noWrap/>
            <w:vAlign w:val="bottom"/>
            <w:hideMark/>
          </w:tcPr>
          <w:p w14:paraId="012625CF"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667" w:type="dxa"/>
            <w:tcBorders>
              <w:top w:val="single" w:sz="4" w:space="0" w:color="auto"/>
              <w:left w:val="nil"/>
              <w:bottom w:val="double" w:sz="6" w:space="0" w:color="auto"/>
              <w:right w:val="single" w:sz="4" w:space="0" w:color="auto"/>
            </w:tcBorders>
            <w:shd w:val="clear" w:color="auto" w:fill="D9D9D9" w:themeFill="background1" w:themeFillShade="D9"/>
            <w:noWrap/>
          </w:tcPr>
          <w:p w14:paraId="2F853777"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491 603,47</w:t>
            </w:r>
          </w:p>
        </w:tc>
        <w:tc>
          <w:tcPr>
            <w:tcW w:w="3314" w:type="dxa"/>
            <w:tcBorders>
              <w:top w:val="nil"/>
              <w:left w:val="nil"/>
              <w:bottom w:val="nil"/>
              <w:right w:val="single" w:sz="4" w:space="0" w:color="auto"/>
            </w:tcBorders>
            <w:shd w:val="clear" w:color="auto" w:fill="auto"/>
            <w:noWrap/>
            <w:vAlign w:val="bottom"/>
            <w:hideMark/>
          </w:tcPr>
          <w:p w14:paraId="24AD8BBA"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843" w:type="dxa"/>
            <w:tcBorders>
              <w:top w:val="single" w:sz="4" w:space="0" w:color="auto"/>
              <w:left w:val="nil"/>
              <w:bottom w:val="double" w:sz="6" w:space="0" w:color="auto"/>
              <w:right w:val="single" w:sz="4" w:space="0" w:color="auto"/>
            </w:tcBorders>
            <w:shd w:val="clear" w:color="auto" w:fill="D9D9D9" w:themeFill="background1" w:themeFillShade="D9"/>
            <w:noWrap/>
          </w:tcPr>
          <w:p w14:paraId="30D62617"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491 603,47</w:t>
            </w:r>
          </w:p>
        </w:tc>
      </w:tr>
      <w:tr w:rsidR="00D215BD" w:rsidRPr="001314CA" w14:paraId="6BCF54C5" w14:textId="77777777" w:rsidTr="00D215BD">
        <w:trPr>
          <w:trHeight w:val="240"/>
          <w:jc w:val="center"/>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6C33A0D"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667" w:type="dxa"/>
            <w:tcBorders>
              <w:top w:val="nil"/>
              <w:left w:val="nil"/>
              <w:bottom w:val="single" w:sz="4" w:space="0" w:color="auto"/>
              <w:right w:val="single" w:sz="4" w:space="0" w:color="auto"/>
            </w:tcBorders>
            <w:shd w:val="clear" w:color="auto" w:fill="auto"/>
            <w:noWrap/>
            <w:vAlign w:val="bottom"/>
            <w:hideMark/>
          </w:tcPr>
          <w:p w14:paraId="2A96C413"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3314" w:type="dxa"/>
            <w:tcBorders>
              <w:top w:val="nil"/>
              <w:left w:val="nil"/>
              <w:bottom w:val="single" w:sz="4" w:space="0" w:color="auto"/>
              <w:right w:val="single" w:sz="4" w:space="0" w:color="auto"/>
            </w:tcBorders>
            <w:shd w:val="clear" w:color="auto" w:fill="auto"/>
            <w:noWrap/>
            <w:vAlign w:val="bottom"/>
            <w:hideMark/>
          </w:tcPr>
          <w:p w14:paraId="74ECE9B3"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3FCE6396"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 </w:t>
            </w:r>
          </w:p>
        </w:tc>
      </w:tr>
    </w:tbl>
    <w:p w14:paraId="0BF3FD42" w14:textId="77777777" w:rsidR="00D215BD" w:rsidRPr="001314CA" w:rsidRDefault="00D215BD" w:rsidP="00D215BD">
      <w:pPr>
        <w:jc w:val="center"/>
        <w:rPr>
          <w:b/>
          <w:bCs/>
        </w:rPr>
      </w:pPr>
      <w:r w:rsidRPr="001314CA">
        <w:rPr>
          <w:b/>
          <w:bCs/>
        </w:rPr>
        <w:br w:type="page"/>
      </w:r>
    </w:p>
    <w:p w14:paraId="2A4791D6" w14:textId="77777777" w:rsidR="00D215BD" w:rsidRPr="001314CA" w:rsidRDefault="00D215BD" w:rsidP="00D215BD">
      <w:pPr>
        <w:pStyle w:val="AnnexNo"/>
        <w:rPr>
          <w:w w:val="105"/>
        </w:rPr>
      </w:pPr>
      <w:bookmarkStart w:id="3161" w:name="_Toc452138678"/>
      <w:bookmarkStart w:id="3162" w:name="_Toc452139127"/>
      <w:bookmarkStart w:id="3163" w:name="_Toc482888056"/>
      <w:bookmarkStart w:id="3164" w:name="_Toc482888399"/>
      <w:bookmarkStart w:id="3165" w:name="_Toc511736693"/>
      <w:bookmarkStart w:id="3166" w:name="_Toc10450821"/>
      <w:bookmarkStart w:id="3167" w:name="_Toc41815008"/>
      <w:bookmarkStart w:id="3168" w:name="_Toc73354517"/>
      <w:bookmarkStart w:id="3169" w:name="_Toc73356500"/>
      <w:r w:rsidRPr="001314CA">
        <w:rPr>
          <w:w w:val="105"/>
        </w:rPr>
        <w:lastRenderedPageBreak/>
        <w:t xml:space="preserve">ANNEXE </w:t>
      </w:r>
      <w:bookmarkEnd w:id="3161"/>
      <w:bookmarkEnd w:id="3162"/>
      <w:bookmarkEnd w:id="3163"/>
      <w:bookmarkEnd w:id="3164"/>
      <w:r w:rsidRPr="001314CA">
        <w:rPr>
          <w:w w:val="105"/>
        </w:rPr>
        <w:t>B</w:t>
      </w:r>
      <w:bookmarkEnd w:id="3165"/>
      <w:bookmarkEnd w:id="3166"/>
      <w:r w:rsidRPr="001314CA">
        <w:rPr>
          <w:w w:val="105"/>
        </w:rPr>
        <w:t>7</w:t>
      </w:r>
      <w:bookmarkEnd w:id="3167"/>
      <w:bookmarkEnd w:id="3168"/>
      <w:bookmarkEnd w:id="3169"/>
    </w:p>
    <w:p w14:paraId="16B295D0" w14:textId="77777777" w:rsidR="00D215BD" w:rsidRPr="001314CA" w:rsidRDefault="00D215BD" w:rsidP="00D215BD">
      <w:pPr>
        <w:pStyle w:val="Annextitle"/>
      </w:pPr>
      <w:bookmarkStart w:id="3170" w:name="_Toc511736694"/>
      <w:bookmarkStart w:id="3171" w:name="_Toc10450822"/>
      <w:bookmarkStart w:id="3172" w:name="_Toc73354518"/>
      <w:bookmarkStart w:id="3173" w:name="_Toc73356501"/>
      <w:r w:rsidRPr="001314CA">
        <w:t>ITU TELECOM WORLD 20</w:t>
      </w:r>
      <w:bookmarkEnd w:id="3170"/>
      <w:bookmarkEnd w:id="3171"/>
      <w:r w:rsidRPr="001314CA">
        <w:t>20</w:t>
      </w:r>
      <w:bookmarkEnd w:id="3172"/>
      <w:bookmarkEnd w:id="3173"/>
    </w:p>
    <w:p w14:paraId="5C2A0296" w14:textId="77777777" w:rsidR="00D215BD" w:rsidRPr="001314CA" w:rsidRDefault="00D215BD" w:rsidP="00D215BD">
      <w:pPr>
        <w:pStyle w:val="Tabletitle"/>
      </w:pPr>
      <w:r w:rsidRPr="001314CA">
        <w:t>Résumé des produits et des charges par catégorie au 31 décembre 2019</w:t>
      </w:r>
    </w:p>
    <w:p w14:paraId="52B20CE8" w14:textId="77777777" w:rsidR="00D215BD" w:rsidRPr="001314CA" w:rsidRDefault="00D215BD" w:rsidP="00D215BD">
      <w:pPr>
        <w:pStyle w:val="Tabletitle"/>
        <w:rPr>
          <w:bCs/>
          <w:i/>
          <w:iCs/>
          <w:caps/>
          <w:sz w:val="28"/>
        </w:rPr>
      </w:pPr>
      <w:r w:rsidRPr="001314CA">
        <w:rPr>
          <w:i/>
          <w:iCs/>
        </w:rPr>
        <w:t>Francs suisses (CHF)</w:t>
      </w:r>
    </w:p>
    <w:p w14:paraId="13A60703" w14:textId="6C17FFF2" w:rsidR="00D215BD" w:rsidRPr="00B774B6" w:rsidRDefault="00B774B6" w:rsidP="00D215BD">
      <w:pPr>
        <w:ind w:left="-709"/>
        <w:jc w:val="center"/>
      </w:pPr>
      <w:r w:rsidRPr="00B774B6">
        <w:drawing>
          <wp:inline distT="0" distB="0" distL="0" distR="0" wp14:anchorId="594FDF4D" wp14:editId="6F0FE754">
            <wp:extent cx="9277705" cy="393364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281283" cy="3935163"/>
                    </a:xfrm>
                    <a:prstGeom prst="rect">
                      <a:avLst/>
                    </a:prstGeom>
                    <a:noFill/>
                    <a:ln>
                      <a:noFill/>
                    </a:ln>
                  </pic:spPr>
                </pic:pic>
              </a:graphicData>
            </a:graphic>
          </wp:inline>
        </w:drawing>
      </w:r>
    </w:p>
    <w:p w14:paraId="6367B2B0" w14:textId="77777777" w:rsidR="00D215BD" w:rsidRPr="001314CA" w:rsidRDefault="00D215BD" w:rsidP="00D215BD">
      <w:pPr>
        <w:jc w:val="center"/>
      </w:pPr>
    </w:p>
    <w:p w14:paraId="1C3EF769" w14:textId="77777777" w:rsidR="00D215BD" w:rsidRPr="001314CA" w:rsidRDefault="00D215BD" w:rsidP="00D215BD">
      <w:pPr>
        <w:ind w:left="-567"/>
        <w:jc w:val="center"/>
        <w:sectPr w:rsidR="00D215BD" w:rsidRPr="001314CA" w:rsidSect="00D215BD">
          <w:headerReference w:type="default" r:id="rId83"/>
          <w:footerReference w:type="default" r:id="rId84"/>
          <w:pgSz w:w="16834" w:h="11907" w:orient="landscape"/>
          <w:pgMar w:top="709" w:right="1418" w:bottom="567" w:left="1418" w:header="720" w:footer="720" w:gutter="0"/>
          <w:paperSrc w:first="15" w:other="15"/>
          <w:cols w:space="720"/>
          <w:docGrid w:linePitch="326"/>
        </w:sectPr>
      </w:pPr>
    </w:p>
    <w:p w14:paraId="36A63915" w14:textId="77777777" w:rsidR="00D215BD" w:rsidRPr="001314CA" w:rsidRDefault="00D215BD" w:rsidP="00D215BD">
      <w:pPr>
        <w:pStyle w:val="AnnexNo"/>
        <w:spacing w:before="360"/>
      </w:pPr>
      <w:bookmarkStart w:id="3174" w:name="_Toc395260980"/>
      <w:bookmarkStart w:id="3175" w:name="_Toc395261116"/>
      <w:bookmarkStart w:id="3176" w:name="_Toc395511766"/>
      <w:bookmarkStart w:id="3177" w:name="_Toc452138679"/>
      <w:bookmarkStart w:id="3178" w:name="_Toc452139128"/>
      <w:bookmarkStart w:id="3179" w:name="_Toc482888057"/>
      <w:bookmarkStart w:id="3180" w:name="_Toc482888400"/>
      <w:bookmarkStart w:id="3181" w:name="_Toc511736695"/>
      <w:bookmarkStart w:id="3182" w:name="_Toc10450823"/>
      <w:bookmarkStart w:id="3183" w:name="_Toc41815009"/>
      <w:bookmarkStart w:id="3184" w:name="_Toc73354519"/>
      <w:bookmarkStart w:id="3185" w:name="_Toc73356502"/>
      <w:r w:rsidRPr="001314CA">
        <w:lastRenderedPageBreak/>
        <w:t xml:space="preserve">ANNEXE </w:t>
      </w:r>
      <w:bookmarkEnd w:id="3174"/>
      <w:bookmarkEnd w:id="3175"/>
      <w:bookmarkEnd w:id="3176"/>
      <w:bookmarkEnd w:id="3177"/>
      <w:bookmarkEnd w:id="3178"/>
      <w:bookmarkEnd w:id="3179"/>
      <w:bookmarkEnd w:id="3180"/>
      <w:bookmarkEnd w:id="3181"/>
      <w:r w:rsidRPr="001314CA">
        <w:t>C</w:t>
      </w:r>
      <w:bookmarkEnd w:id="3182"/>
      <w:bookmarkEnd w:id="3183"/>
      <w:bookmarkEnd w:id="3184"/>
      <w:bookmarkEnd w:id="3185"/>
    </w:p>
    <w:p w14:paraId="21E8AE7A" w14:textId="77777777" w:rsidR="00D215BD" w:rsidRPr="001314CA" w:rsidRDefault="00D215BD" w:rsidP="00D215BD">
      <w:pPr>
        <w:pStyle w:val="Annextitle"/>
      </w:pPr>
      <w:bookmarkStart w:id="3186" w:name="_Toc395261117"/>
      <w:bookmarkStart w:id="3187" w:name="_Toc395511767"/>
      <w:bookmarkStart w:id="3188" w:name="_Toc73354520"/>
      <w:bookmarkStart w:id="3189" w:name="_Toc73356503"/>
      <w:r w:rsidRPr="001314CA">
        <w:t>SITUATION DES ARRIÉRÉS AU 31 décembre 20</w:t>
      </w:r>
      <w:bookmarkEnd w:id="3186"/>
      <w:bookmarkEnd w:id="3187"/>
      <w:r w:rsidRPr="001314CA">
        <w:t>20</w:t>
      </w:r>
      <w:bookmarkEnd w:id="3188"/>
      <w:bookmarkEnd w:id="3189"/>
    </w:p>
    <w:p w14:paraId="767A3B9C" w14:textId="77777777" w:rsidR="00D215BD" w:rsidRPr="001314CA" w:rsidRDefault="00D215BD" w:rsidP="00D215BD">
      <w:pPr>
        <w:pStyle w:val="Tabletitle"/>
      </w:pPr>
      <w:r w:rsidRPr="001314CA">
        <w:t>MONTANTS DUS CONCERNANT LES CONTRIBUTIONS ET LES PUBLICATIONS</w:t>
      </w:r>
    </w:p>
    <w:tbl>
      <w:tblPr>
        <w:tblW w:w="0" w:type="auto"/>
        <w:jc w:val="center"/>
        <w:tblLook w:val="04A0" w:firstRow="1" w:lastRow="0" w:firstColumn="1" w:lastColumn="0" w:noHBand="0" w:noVBand="1"/>
        <w:tblCaption w:val="MONTANTS DUS CONCERNANT LES CONTRIBUTIONS ET LES PUBLICATIONS"/>
      </w:tblPr>
      <w:tblGrid>
        <w:gridCol w:w="3679"/>
        <w:gridCol w:w="1276"/>
        <w:gridCol w:w="1561"/>
        <w:gridCol w:w="1559"/>
        <w:gridCol w:w="1554"/>
      </w:tblGrid>
      <w:tr w:rsidR="00D215BD" w:rsidRPr="001314CA" w14:paraId="7772D0C4" w14:textId="77777777" w:rsidTr="00D215BD">
        <w:trPr>
          <w:trHeight w:val="300"/>
          <w:jc w:val="center"/>
        </w:trPr>
        <w:tc>
          <w:tcPr>
            <w:tcW w:w="367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14:paraId="4A4DBFD7" w14:textId="77777777" w:rsidR="00D215BD" w:rsidRPr="001314CA" w:rsidRDefault="00D215BD" w:rsidP="00D215BD">
            <w:pPr>
              <w:tabs>
                <w:tab w:val="clear" w:pos="567"/>
                <w:tab w:val="clear" w:pos="1134"/>
                <w:tab w:val="clear" w:pos="1701"/>
                <w:tab w:val="clear" w:pos="2268"/>
                <w:tab w:val="clear" w:pos="2835"/>
              </w:tabs>
              <w:spacing w:after="120"/>
              <w:ind w:left="562" w:hanging="425"/>
              <w:rPr>
                <w:b/>
                <w:sz w:val="22"/>
              </w:rPr>
            </w:pPr>
            <w:proofErr w:type="spellStart"/>
            <w:r w:rsidRPr="001314CA">
              <w:rPr>
                <w:b/>
                <w:sz w:val="22"/>
              </w:rPr>
              <w:t>A</w:t>
            </w:r>
            <w:proofErr w:type="spellEnd"/>
            <w:r w:rsidRPr="001314CA">
              <w:rPr>
                <w:b/>
                <w:sz w:val="22"/>
              </w:rPr>
              <w:tab/>
              <w:t>États Membres de l'Union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3C571CD"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Année</w:t>
            </w:r>
          </w:p>
        </w:tc>
        <w:tc>
          <w:tcPr>
            <w:tcW w:w="156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68AB7F04"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Contribution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634A97A"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Publications</w:t>
            </w:r>
          </w:p>
        </w:tc>
        <w:tc>
          <w:tcPr>
            <w:tcW w:w="155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7D566BCF"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Total</w:t>
            </w:r>
          </w:p>
        </w:tc>
      </w:tr>
      <w:tr w:rsidR="00D215BD" w:rsidRPr="001314CA" w14:paraId="46A5B44C" w14:textId="77777777" w:rsidTr="00D215BD">
        <w:trPr>
          <w:trHeight w:val="300"/>
          <w:jc w:val="center"/>
        </w:trPr>
        <w:tc>
          <w:tcPr>
            <w:tcW w:w="3679" w:type="dxa"/>
            <w:tcBorders>
              <w:top w:val="single" w:sz="4" w:space="0" w:color="auto"/>
              <w:left w:val="single" w:sz="4" w:space="0" w:color="auto"/>
              <w:bottom w:val="nil"/>
              <w:right w:val="single" w:sz="4" w:space="0" w:color="auto"/>
            </w:tcBorders>
            <w:shd w:val="clear" w:color="auto" w:fill="auto"/>
            <w:tcMar>
              <w:left w:w="108" w:type="dxa"/>
              <w:right w:w="0" w:type="dxa"/>
            </w:tcMar>
            <w:vAlign w:val="bottom"/>
            <w:hideMark/>
          </w:tcPr>
          <w:p w14:paraId="0ABFF70D"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Antigua-et-Barbuda</w:t>
            </w:r>
          </w:p>
        </w:tc>
        <w:tc>
          <w:tcPr>
            <w:tcW w:w="1276" w:type="dxa"/>
            <w:tcBorders>
              <w:top w:val="nil"/>
              <w:left w:val="nil"/>
              <w:bottom w:val="nil"/>
              <w:right w:val="single" w:sz="4" w:space="0" w:color="auto"/>
            </w:tcBorders>
            <w:noWrap/>
            <w:vAlign w:val="bottom"/>
          </w:tcPr>
          <w:p w14:paraId="01756D57"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1987-2019</w:t>
            </w:r>
          </w:p>
        </w:tc>
        <w:tc>
          <w:tcPr>
            <w:tcW w:w="1561" w:type="dxa"/>
            <w:tcBorders>
              <w:top w:val="nil"/>
              <w:left w:val="nil"/>
              <w:bottom w:val="nil"/>
              <w:right w:val="single" w:sz="4" w:space="0" w:color="auto"/>
            </w:tcBorders>
            <w:noWrap/>
            <w:vAlign w:val="bottom"/>
          </w:tcPr>
          <w:p w14:paraId="10F05E40"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2 181 931,95</w:t>
            </w:r>
          </w:p>
        </w:tc>
        <w:tc>
          <w:tcPr>
            <w:tcW w:w="1559" w:type="dxa"/>
            <w:tcBorders>
              <w:top w:val="nil"/>
              <w:left w:val="nil"/>
              <w:bottom w:val="nil"/>
              <w:right w:val="single" w:sz="4" w:space="0" w:color="auto"/>
            </w:tcBorders>
            <w:noWrap/>
            <w:vAlign w:val="bottom"/>
          </w:tcPr>
          <w:p w14:paraId="705C873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43 574,90</w:t>
            </w:r>
          </w:p>
        </w:tc>
        <w:tc>
          <w:tcPr>
            <w:tcW w:w="1554" w:type="dxa"/>
            <w:tcBorders>
              <w:top w:val="nil"/>
              <w:left w:val="nil"/>
              <w:bottom w:val="nil"/>
              <w:right w:val="single" w:sz="4" w:space="0" w:color="auto"/>
            </w:tcBorders>
            <w:noWrap/>
            <w:vAlign w:val="bottom"/>
          </w:tcPr>
          <w:p w14:paraId="28BBC5F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2 225 506,85</w:t>
            </w:r>
          </w:p>
        </w:tc>
      </w:tr>
      <w:tr w:rsidR="00D215BD" w:rsidRPr="001314CA" w14:paraId="5A427486"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5E02AA37"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Brésil</w:t>
            </w:r>
          </w:p>
        </w:tc>
        <w:tc>
          <w:tcPr>
            <w:tcW w:w="1276" w:type="dxa"/>
            <w:tcBorders>
              <w:top w:val="nil"/>
              <w:left w:val="nil"/>
              <w:bottom w:val="nil"/>
              <w:right w:val="single" w:sz="4" w:space="0" w:color="auto"/>
            </w:tcBorders>
            <w:noWrap/>
            <w:vAlign w:val="bottom"/>
          </w:tcPr>
          <w:p w14:paraId="2748DB52"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2018-2019</w:t>
            </w:r>
          </w:p>
        </w:tc>
        <w:tc>
          <w:tcPr>
            <w:tcW w:w="1561" w:type="dxa"/>
            <w:tcBorders>
              <w:top w:val="nil"/>
              <w:left w:val="nil"/>
              <w:bottom w:val="nil"/>
              <w:right w:val="single" w:sz="4" w:space="0" w:color="auto"/>
            </w:tcBorders>
            <w:noWrap/>
            <w:vAlign w:val="bottom"/>
          </w:tcPr>
          <w:p w14:paraId="31129C60"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60 980,80</w:t>
            </w:r>
          </w:p>
        </w:tc>
        <w:tc>
          <w:tcPr>
            <w:tcW w:w="1559" w:type="dxa"/>
            <w:tcBorders>
              <w:top w:val="nil"/>
              <w:left w:val="nil"/>
              <w:bottom w:val="nil"/>
              <w:right w:val="single" w:sz="4" w:space="0" w:color="auto"/>
            </w:tcBorders>
            <w:noWrap/>
            <w:vAlign w:val="bottom"/>
          </w:tcPr>
          <w:p w14:paraId="3205E29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26D1D0C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60 980,80</w:t>
            </w:r>
          </w:p>
        </w:tc>
      </w:tr>
      <w:tr w:rsidR="00D215BD" w:rsidRPr="001314CA" w14:paraId="22FCCBF7"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427D0E8C"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Cameroun</w:t>
            </w:r>
          </w:p>
        </w:tc>
        <w:tc>
          <w:tcPr>
            <w:tcW w:w="1276" w:type="dxa"/>
            <w:tcBorders>
              <w:top w:val="nil"/>
              <w:left w:val="nil"/>
              <w:bottom w:val="nil"/>
              <w:right w:val="single" w:sz="4" w:space="0" w:color="auto"/>
            </w:tcBorders>
            <w:noWrap/>
            <w:vAlign w:val="bottom"/>
          </w:tcPr>
          <w:p w14:paraId="52A3F0D7"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2014-2019</w:t>
            </w:r>
          </w:p>
        </w:tc>
        <w:tc>
          <w:tcPr>
            <w:tcW w:w="1561" w:type="dxa"/>
            <w:tcBorders>
              <w:top w:val="nil"/>
              <w:left w:val="nil"/>
              <w:bottom w:val="nil"/>
              <w:right w:val="single" w:sz="4" w:space="0" w:color="auto"/>
            </w:tcBorders>
            <w:noWrap/>
            <w:vAlign w:val="bottom"/>
          </w:tcPr>
          <w:p w14:paraId="765B5C17"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703 561,22</w:t>
            </w:r>
          </w:p>
        </w:tc>
        <w:tc>
          <w:tcPr>
            <w:tcW w:w="1559" w:type="dxa"/>
            <w:tcBorders>
              <w:top w:val="nil"/>
              <w:left w:val="nil"/>
              <w:bottom w:val="nil"/>
              <w:right w:val="single" w:sz="4" w:space="0" w:color="auto"/>
            </w:tcBorders>
            <w:noWrap/>
            <w:vAlign w:val="bottom"/>
          </w:tcPr>
          <w:p w14:paraId="29E8E57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66B759C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703 561,22</w:t>
            </w:r>
          </w:p>
        </w:tc>
      </w:tr>
      <w:tr w:rsidR="00D215BD" w:rsidRPr="001314CA" w14:paraId="70B71092"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572988F0"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Tchad</w:t>
            </w:r>
          </w:p>
        </w:tc>
        <w:tc>
          <w:tcPr>
            <w:tcW w:w="1276" w:type="dxa"/>
            <w:tcBorders>
              <w:top w:val="nil"/>
              <w:left w:val="nil"/>
              <w:bottom w:val="nil"/>
              <w:right w:val="single" w:sz="4" w:space="0" w:color="auto"/>
            </w:tcBorders>
            <w:noWrap/>
            <w:vAlign w:val="bottom"/>
          </w:tcPr>
          <w:p w14:paraId="6F774097"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2017-2019</w:t>
            </w:r>
          </w:p>
        </w:tc>
        <w:tc>
          <w:tcPr>
            <w:tcW w:w="1561" w:type="dxa"/>
            <w:tcBorders>
              <w:top w:val="nil"/>
              <w:left w:val="nil"/>
              <w:bottom w:val="nil"/>
              <w:right w:val="single" w:sz="4" w:space="0" w:color="auto"/>
            </w:tcBorders>
            <w:noWrap/>
            <w:vAlign w:val="bottom"/>
          </w:tcPr>
          <w:p w14:paraId="4CF5E627"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46 447,50</w:t>
            </w:r>
          </w:p>
        </w:tc>
        <w:tc>
          <w:tcPr>
            <w:tcW w:w="1559" w:type="dxa"/>
            <w:tcBorders>
              <w:top w:val="nil"/>
              <w:left w:val="nil"/>
              <w:bottom w:val="nil"/>
              <w:right w:val="single" w:sz="4" w:space="0" w:color="auto"/>
            </w:tcBorders>
            <w:noWrap/>
            <w:vAlign w:val="bottom"/>
          </w:tcPr>
          <w:p w14:paraId="108B456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49F25516"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46 447,50</w:t>
            </w:r>
          </w:p>
        </w:tc>
      </w:tr>
      <w:tr w:rsidR="00D215BD" w:rsidRPr="001314CA" w14:paraId="2C725721"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3A039A3D"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Comores</w:t>
            </w:r>
          </w:p>
        </w:tc>
        <w:tc>
          <w:tcPr>
            <w:tcW w:w="1276" w:type="dxa"/>
            <w:tcBorders>
              <w:top w:val="nil"/>
              <w:left w:val="nil"/>
              <w:bottom w:val="nil"/>
              <w:right w:val="single" w:sz="4" w:space="0" w:color="auto"/>
            </w:tcBorders>
            <w:noWrap/>
            <w:vAlign w:val="bottom"/>
          </w:tcPr>
          <w:p w14:paraId="3740F0E6"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rFonts w:asciiTheme="minorHAnsi" w:hAnsiTheme="minorHAnsi" w:cstheme="minorHAnsi"/>
                <w:sz w:val="22"/>
                <w:szCs w:val="22"/>
              </w:rPr>
              <w:t>2019</w:t>
            </w:r>
          </w:p>
        </w:tc>
        <w:tc>
          <w:tcPr>
            <w:tcW w:w="1561" w:type="dxa"/>
            <w:tcBorders>
              <w:top w:val="nil"/>
              <w:left w:val="nil"/>
              <w:bottom w:val="nil"/>
              <w:right w:val="single" w:sz="4" w:space="0" w:color="auto"/>
            </w:tcBorders>
            <w:noWrap/>
            <w:vAlign w:val="bottom"/>
          </w:tcPr>
          <w:p w14:paraId="5166801F"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21 857,50</w:t>
            </w:r>
          </w:p>
        </w:tc>
        <w:tc>
          <w:tcPr>
            <w:tcW w:w="1559" w:type="dxa"/>
            <w:tcBorders>
              <w:top w:val="nil"/>
              <w:left w:val="nil"/>
              <w:bottom w:val="nil"/>
              <w:right w:val="single" w:sz="4" w:space="0" w:color="auto"/>
            </w:tcBorders>
            <w:noWrap/>
            <w:vAlign w:val="bottom"/>
          </w:tcPr>
          <w:p w14:paraId="644DF38F"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1D85AE0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21 857,50</w:t>
            </w:r>
          </w:p>
        </w:tc>
      </w:tr>
      <w:tr w:rsidR="00D215BD" w:rsidRPr="001314CA" w14:paraId="0080C6C9"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398547E2"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Cuba</w:t>
            </w:r>
          </w:p>
        </w:tc>
        <w:tc>
          <w:tcPr>
            <w:tcW w:w="1276" w:type="dxa"/>
            <w:tcBorders>
              <w:top w:val="nil"/>
              <w:left w:val="nil"/>
              <w:bottom w:val="nil"/>
              <w:right w:val="single" w:sz="4" w:space="0" w:color="auto"/>
            </w:tcBorders>
            <w:noWrap/>
            <w:vAlign w:val="bottom"/>
          </w:tcPr>
          <w:p w14:paraId="49237A19"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2016-2019</w:t>
            </w:r>
          </w:p>
        </w:tc>
        <w:tc>
          <w:tcPr>
            <w:tcW w:w="1561" w:type="dxa"/>
            <w:tcBorders>
              <w:top w:val="nil"/>
              <w:left w:val="nil"/>
              <w:bottom w:val="nil"/>
              <w:right w:val="single" w:sz="4" w:space="0" w:color="auto"/>
            </w:tcBorders>
            <w:noWrap/>
            <w:vAlign w:val="bottom"/>
          </w:tcPr>
          <w:p w14:paraId="710FF87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95 134,59</w:t>
            </w:r>
          </w:p>
        </w:tc>
        <w:tc>
          <w:tcPr>
            <w:tcW w:w="1559" w:type="dxa"/>
            <w:tcBorders>
              <w:top w:val="nil"/>
              <w:left w:val="nil"/>
              <w:bottom w:val="nil"/>
              <w:right w:val="single" w:sz="4" w:space="0" w:color="auto"/>
            </w:tcBorders>
            <w:noWrap/>
            <w:vAlign w:val="bottom"/>
          </w:tcPr>
          <w:p w14:paraId="0CBC7A00"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35A11A7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95 134,59</w:t>
            </w:r>
          </w:p>
        </w:tc>
      </w:tr>
      <w:tr w:rsidR="00D215BD" w:rsidRPr="001314CA" w14:paraId="499757E8"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6756BD0C"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roofErr w:type="spellStart"/>
            <w:r w:rsidRPr="001314CA">
              <w:rPr>
                <w:sz w:val="22"/>
              </w:rPr>
              <w:t>Rép</w:t>
            </w:r>
            <w:proofErr w:type="spellEnd"/>
            <w:r w:rsidRPr="001314CA">
              <w:rPr>
                <w:sz w:val="22"/>
              </w:rPr>
              <w:t>. dém. du Congo</w:t>
            </w:r>
          </w:p>
        </w:tc>
        <w:tc>
          <w:tcPr>
            <w:tcW w:w="1276" w:type="dxa"/>
            <w:tcBorders>
              <w:top w:val="nil"/>
              <w:left w:val="nil"/>
              <w:bottom w:val="nil"/>
              <w:right w:val="single" w:sz="4" w:space="0" w:color="auto"/>
            </w:tcBorders>
            <w:noWrap/>
            <w:vAlign w:val="bottom"/>
          </w:tcPr>
          <w:p w14:paraId="059F5FC3"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2017-2019</w:t>
            </w:r>
          </w:p>
        </w:tc>
        <w:tc>
          <w:tcPr>
            <w:tcW w:w="1561" w:type="dxa"/>
            <w:tcBorders>
              <w:top w:val="nil"/>
              <w:left w:val="nil"/>
              <w:bottom w:val="nil"/>
              <w:right w:val="single" w:sz="4" w:space="0" w:color="auto"/>
            </w:tcBorders>
            <w:noWrap/>
            <w:vAlign w:val="bottom"/>
          </w:tcPr>
          <w:p w14:paraId="4E29781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47 036,55</w:t>
            </w:r>
          </w:p>
        </w:tc>
        <w:tc>
          <w:tcPr>
            <w:tcW w:w="1559" w:type="dxa"/>
            <w:tcBorders>
              <w:top w:val="nil"/>
              <w:left w:val="nil"/>
              <w:bottom w:val="nil"/>
              <w:right w:val="single" w:sz="4" w:space="0" w:color="auto"/>
            </w:tcBorders>
            <w:noWrap/>
            <w:vAlign w:val="bottom"/>
          </w:tcPr>
          <w:p w14:paraId="27F098F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542925AE"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47 036,55</w:t>
            </w:r>
          </w:p>
        </w:tc>
      </w:tr>
      <w:tr w:rsidR="00D215BD" w:rsidRPr="001314CA" w14:paraId="00AE0EC9"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4E143500"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Dominique</w:t>
            </w:r>
          </w:p>
        </w:tc>
        <w:tc>
          <w:tcPr>
            <w:tcW w:w="1276" w:type="dxa"/>
            <w:tcBorders>
              <w:top w:val="nil"/>
              <w:left w:val="nil"/>
              <w:bottom w:val="nil"/>
              <w:right w:val="single" w:sz="4" w:space="0" w:color="auto"/>
            </w:tcBorders>
            <w:noWrap/>
            <w:vAlign w:val="bottom"/>
          </w:tcPr>
          <w:p w14:paraId="7842130B"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2001-2019</w:t>
            </w:r>
          </w:p>
        </w:tc>
        <w:tc>
          <w:tcPr>
            <w:tcW w:w="1561" w:type="dxa"/>
            <w:tcBorders>
              <w:top w:val="nil"/>
              <w:left w:val="nil"/>
              <w:bottom w:val="nil"/>
              <w:right w:val="single" w:sz="4" w:space="0" w:color="auto"/>
            </w:tcBorders>
            <w:noWrap/>
            <w:vAlign w:val="bottom"/>
          </w:tcPr>
          <w:p w14:paraId="19E1893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556 981,70</w:t>
            </w:r>
          </w:p>
        </w:tc>
        <w:tc>
          <w:tcPr>
            <w:tcW w:w="1559" w:type="dxa"/>
            <w:tcBorders>
              <w:top w:val="nil"/>
              <w:left w:val="nil"/>
              <w:bottom w:val="nil"/>
              <w:right w:val="single" w:sz="4" w:space="0" w:color="auto"/>
            </w:tcBorders>
            <w:noWrap/>
            <w:vAlign w:val="bottom"/>
          </w:tcPr>
          <w:p w14:paraId="7C5A563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30A9E47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556 981,70</w:t>
            </w:r>
          </w:p>
        </w:tc>
      </w:tr>
      <w:tr w:rsidR="00D215BD" w:rsidRPr="001314CA" w14:paraId="4D086777"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3079E3ED"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Guinée équatoriale</w:t>
            </w:r>
          </w:p>
        </w:tc>
        <w:tc>
          <w:tcPr>
            <w:tcW w:w="1276" w:type="dxa"/>
            <w:tcBorders>
              <w:top w:val="nil"/>
              <w:left w:val="nil"/>
              <w:bottom w:val="nil"/>
              <w:right w:val="single" w:sz="4" w:space="0" w:color="auto"/>
            </w:tcBorders>
            <w:noWrap/>
            <w:vAlign w:val="bottom"/>
          </w:tcPr>
          <w:p w14:paraId="4F29C9B3"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2018-2019</w:t>
            </w:r>
          </w:p>
        </w:tc>
        <w:tc>
          <w:tcPr>
            <w:tcW w:w="1561" w:type="dxa"/>
            <w:tcBorders>
              <w:top w:val="nil"/>
              <w:left w:val="nil"/>
              <w:bottom w:val="nil"/>
              <w:right w:val="single" w:sz="4" w:space="0" w:color="auto"/>
            </w:tcBorders>
            <w:noWrap/>
            <w:vAlign w:val="bottom"/>
          </w:tcPr>
          <w:p w14:paraId="112BABC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90 053,10</w:t>
            </w:r>
          </w:p>
        </w:tc>
        <w:tc>
          <w:tcPr>
            <w:tcW w:w="1559" w:type="dxa"/>
            <w:tcBorders>
              <w:top w:val="nil"/>
              <w:left w:val="nil"/>
              <w:bottom w:val="nil"/>
              <w:right w:val="single" w:sz="4" w:space="0" w:color="auto"/>
            </w:tcBorders>
            <w:noWrap/>
            <w:vAlign w:val="bottom"/>
          </w:tcPr>
          <w:p w14:paraId="53691DD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02A9F42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90 053,10</w:t>
            </w:r>
          </w:p>
        </w:tc>
      </w:tr>
      <w:tr w:rsidR="00D215BD" w:rsidRPr="001314CA" w14:paraId="375438B6"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56761E44"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Érythrée</w:t>
            </w:r>
          </w:p>
        </w:tc>
        <w:tc>
          <w:tcPr>
            <w:tcW w:w="1276" w:type="dxa"/>
            <w:tcBorders>
              <w:top w:val="nil"/>
              <w:left w:val="nil"/>
              <w:bottom w:val="nil"/>
              <w:right w:val="single" w:sz="4" w:space="0" w:color="auto"/>
            </w:tcBorders>
            <w:noWrap/>
            <w:vAlign w:val="bottom"/>
          </w:tcPr>
          <w:p w14:paraId="0C7405FA"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2017-2019</w:t>
            </w:r>
          </w:p>
        </w:tc>
        <w:tc>
          <w:tcPr>
            <w:tcW w:w="1561" w:type="dxa"/>
            <w:tcBorders>
              <w:top w:val="nil"/>
              <w:left w:val="nil"/>
              <w:bottom w:val="nil"/>
              <w:right w:val="single" w:sz="4" w:space="0" w:color="auto"/>
            </w:tcBorders>
            <w:noWrap/>
            <w:vAlign w:val="bottom"/>
          </w:tcPr>
          <w:p w14:paraId="5A15F12E"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45 708,80</w:t>
            </w:r>
          </w:p>
        </w:tc>
        <w:tc>
          <w:tcPr>
            <w:tcW w:w="1559" w:type="dxa"/>
            <w:tcBorders>
              <w:top w:val="nil"/>
              <w:left w:val="nil"/>
              <w:bottom w:val="nil"/>
              <w:right w:val="single" w:sz="4" w:space="0" w:color="auto"/>
            </w:tcBorders>
            <w:noWrap/>
            <w:vAlign w:val="bottom"/>
          </w:tcPr>
          <w:p w14:paraId="16D255BE"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1E30204F"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45 708,80</w:t>
            </w:r>
          </w:p>
        </w:tc>
      </w:tr>
      <w:tr w:rsidR="00D215BD" w:rsidRPr="001314CA" w14:paraId="006A549C"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351078EE"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Éthiopie</w:t>
            </w:r>
          </w:p>
        </w:tc>
        <w:tc>
          <w:tcPr>
            <w:tcW w:w="1276" w:type="dxa"/>
            <w:tcBorders>
              <w:top w:val="nil"/>
              <w:left w:val="nil"/>
              <w:bottom w:val="nil"/>
              <w:right w:val="single" w:sz="4" w:space="0" w:color="auto"/>
            </w:tcBorders>
            <w:noWrap/>
            <w:vAlign w:val="bottom"/>
          </w:tcPr>
          <w:p w14:paraId="53FC21FE"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2017-2019</w:t>
            </w:r>
          </w:p>
        </w:tc>
        <w:tc>
          <w:tcPr>
            <w:tcW w:w="1561" w:type="dxa"/>
            <w:tcBorders>
              <w:top w:val="nil"/>
              <w:left w:val="nil"/>
              <w:bottom w:val="nil"/>
              <w:right w:val="single" w:sz="4" w:space="0" w:color="auto"/>
            </w:tcBorders>
            <w:noWrap/>
            <w:vAlign w:val="bottom"/>
          </w:tcPr>
          <w:p w14:paraId="0AB0FDD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45 599,50</w:t>
            </w:r>
          </w:p>
        </w:tc>
        <w:tc>
          <w:tcPr>
            <w:tcW w:w="1559" w:type="dxa"/>
            <w:tcBorders>
              <w:top w:val="nil"/>
              <w:left w:val="nil"/>
              <w:bottom w:val="nil"/>
              <w:right w:val="single" w:sz="4" w:space="0" w:color="auto"/>
            </w:tcBorders>
            <w:noWrap/>
            <w:vAlign w:val="bottom"/>
          </w:tcPr>
          <w:p w14:paraId="43060E0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5A54C08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45 599,50</w:t>
            </w:r>
          </w:p>
        </w:tc>
      </w:tr>
      <w:tr w:rsidR="00D215BD" w:rsidRPr="001314CA" w14:paraId="1CFD4C11"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0A3C912F"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Gambie</w:t>
            </w:r>
          </w:p>
        </w:tc>
        <w:tc>
          <w:tcPr>
            <w:tcW w:w="1276" w:type="dxa"/>
            <w:tcBorders>
              <w:top w:val="nil"/>
              <w:left w:val="nil"/>
              <w:bottom w:val="nil"/>
              <w:right w:val="single" w:sz="4" w:space="0" w:color="auto"/>
            </w:tcBorders>
            <w:noWrap/>
            <w:vAlign w:val="bottom"/>
          </w:tcPr>
          <w:p w14:paraId="509A6781"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rFonts w:asciiTheme="minorHAnsi" w:hAnsiTheme="minorHAnsi" w:cstheme="minorHAnsi"/>
                <w:sz w:val="22"/>
                <w:szCs w:val="22"/>
              </w:rPr>
              <w:t>2019</w:t>
            </w:r>
          </w:p>
        </w:tc>
        <w:tc>
          <w:tcPr>
            <w:tcW w:w="1561" w:type="dxa"/>
            <w:tcBorders>
              <w:top w:val="nil"/>
              <w:left w:val="nil"/>
              <w:bottom w:val="nil"/>
              <w:right w:val="single" w:sz="4" w:space="0" w:color="auto"/>
            </w:tcBorders>
            <w:noWrap/>
            <w:vAlign w:val="bottom"/>
          </w:tcPr>
          <w:p w14:paraId="4E81A461"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43 715,10</w:t>
            </w:r>
          </w:p>
        </w:tc>
        <w:tc>
          <w:tcPr>
            <w:tcW w:w="1559" w:type="dxa"/>
            <w:tcBorders>
              <w:top w:val="nil"/>
              <w:left w:val="nil"/>
              <w:bottom w:val="nil"/>
              <w:right w:val="single" w:sz="4" w:space="0" w:color="auto"/>
            </w:tcBorders>
            <w:noWrap/>
            <w:vAlign w:val="bottom"/>
          </w:tcPr>
          <w:p w14:paraId="5E8BFD9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3B8CA0B0"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43 715,10</w:t>
            </w:r>
          </w:p>
        </w:tc>
      </w:tr>
      <w:tr w:rsidR="00D215BD" w:rsidRPr="001314CA" w14:paraId="1610206B"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3C5BF0A2"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Guinée</w:t>
            </w:r>
          </w:p>
        </w:tc>
        <w:tc>
          <w:tcPr>
            <w:tcW w:w="1276" w:type="dxa"/>
            <w:tcBorders>
              <w:top w:val="nil"/>
              <w:left w:val="nil"/>
              <w:bottom w:val="nil"/>
              <w:right w:val="single" w:sz="4" w:space="0" w:color="auto"/>
            </w:tcBorders>
            <w:noWrap/>
            <w:vAlign w:val="bottom"/>
          </w:tcPr>
          <w:p w14:paraId="2E2B4321"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2014-2019</w:t>
            </w:r>
          </w:p>
        </w:tc>
        <w:tc>
          <w:tcPr>
            <w:tcW w:w="1561" w:type="dxa"/>
            <w:tcBorders>
              <w:top w:val="nil"/>
              <w:left w:val="nil"/>
              <w:bottom w:val="nil"/>
              <w:right w:val="single" w:sz="4" w:space="0" w:color="auto"/>
            </w:tcBorders>
            <w:noWrap/>
            <w:vAlign w:val="bottom"/>
          </w:tcPr>
          <w:p w14:paraId="4CBB1F61"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271 298,22</w:t>
            </w:r>
          </w:p>
        </w:tc>
        <w:tc>
          <w:tcPr>
            <w:tcW w:w="1559" w:type="dxa"/>
            <w:tcBorders>
              <w:top w:val="nil"/>
              <w:left w:val="nil"/>
              <w:bottom w:val="nil"/>
              <w:right w:val="single" w:sz="4" w:space="0" w:color="auto"/>
            </w:tcBorders>
            <w:noWrap/>
            <w:vAlign w:val="bottom"/>
          </w:tcPr>
          <w:p w14:paraId="41AFB6A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90,20</w:t>
            </w:r>
          </w:p>
        </w:tc>
        <w:tc>
          <w:tcPr>
            <w:tcW w:w="1554" w:type="dxa"/>
            <w:tcBorders>
              <w:top w:val="nil"/>
              <w:left w:val="nil"/>
              <w:bottom w:val="nil"/>
              <w:right w:val="single" w:sz="4" w:space="0" w:color="auto"/>
            </w:tcBorders>
            <w:noWrap/>
            <w:vAlign w:val="bottom"/>
          </w:tcPr>
          <w:p w14:paraId="0CFE625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271 388,42</w:t>
            </w:r>
          </w:p>
        </w:tc>
      </w:tr>
      <w:tr w:rsidR="00D215BD" w:rsidRPr="001314CA" w14:paraId="22C97853"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03B856CE"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Honduras</w:t>
            </w:r>
          </w:p>
        </w:tc>
        <w:tc>
          <w:tcPr>
            <w:tcW w:w="1276" w:type="dxa"/>
            <w:tcBorders>
              <w:top w:val="nil"/>
              <w:left w:val="nil"/>
              <w:bottom w:val="nil"/>
              <w:right w:val="single" w:sz="4" w:space="0" w:color="auto"/>
            </w:tcBorders>
            <w:noWrap/>
            <w:vAlign w:val="bottom"/>
          </w:tcPr>
          <w:p w14:paraId="51E6DD93"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rFonts w:asciiTheme="minorHAnsi" w:hAnsiTheme="minorHAnsi" w:cstheme="minorHAnsi"/>
                <w:sz w:val="22"/>
                <w:szCs w:val="22"/>
              </w:rPr>
              <w:t>2019</w:t>
            </w:r>
          </w:p>
        </w:tc>
        <w:tc>
          <w:tcPr>
            <w:tcW w:w="1561" w:type="dxa"/>
            <w:tcBorders>
              <w:top w:val="nil"/>
              <w:left w:val="nil"/>
              <w:bottom w:val="nil"/>
              <w:right w:val="single" w:sz="4" w:space="0" w:color="auto"/>
            </w:tcBorders>
            <w:noWrap/>
            <w:vAlign w:val="bottom"/>
          </w:tcPr>
          <w:p w14:paraId="20CF27D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52 615,45</w:t>
            </w:r>
          </w:p>
        </w:tc>
        <w:tc>
          <w:tcPr>
            <w:tcW w:w="1559" w:type="dxa"/>
            <w:tcBorders>
              <w:top w:val="nil"/>
              <w:left w:val="nil"/>
              <w:bottom w:val="nil"/>
              <w:right w:val="single" w:sz="4" w:space="0" w:color="auto"/>
            </w:tcBorders>
            <w:noWrap/>
            <w:vAlign w:val="bottom"/>
          </w:tcPr>
          <w:p w14:paraId="4638625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7C21410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52 615,45</w:t>
            </w:r>
          </w:p>
        </w:tc>
      </w:tr>
      <w:tr w:rsidR="00D215BD" w:rsidRPr="001314CA" w14:paraId="060B35BD"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2619D182"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Iran</w:t>
            </w:r>
          </w:p>
        </w:tc>
        <w:tc>
          <w:tcPr>
            <w:tcW w:w="1276" w:type="dxa"/>
            <w:tcBorders>
              <w:top w:val="nil"/>
              <w:left w:val="nil"/>
              <w:bottom w:val="nil"/>
              <w:right w:val="single" w:sz="4" w:space="0" w:color="auto"/>
            </w:tcBorders>
            <w:noWrap/>
            <w:vAlign w:val="bottom"/>
          </w:tcPr>
          <w:p w14:paraId="47873B66"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2016-2019</w:t>
            </w:r>
          </w:p>
        </w:tc>
        <w:tc>
          <w:tcPr>
            <w:tcW w:w="1561" w:type="dxa"/>
            <w:tcBorders>
              <w:top w:val="nil"/>
              <w:left w:val="nil"/>
              <w:bottom w:val="nil"/>
              <w:right w:val="single" w:sz="4" w:space="0" w:color="auto"/>
            </w:tcBorders>
            <w:noWrap/>
            <w:vAlign w:val="bottom"/>
          </w:tcPr>
          <w:p w14:paraId="29FE835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79 660,45</w:t>
            </w:r>
          </w:p>
        </w:tc>
        <w:tc>
          <w:tcPr>
            <w:tcW w:w="1559" w:type="dxa"/>
            <w:tcBorders>
              <w:top w:val="nil"/>
              <w:left w:val="nil"/>
              <w:bottom w:val="nil"/>
              <w:right w:val="single" w:sz="4" w:space="0" w:color="auto"/>
            </w:tcBorders>
            <w:noWrap/>
            <w:vAlign w:val="bottom"/>
          </w:tcPr>
          <w:p w14:paraId="240228F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01E9EBE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79 660,45</w:t>
            </w:r>
          </w:p>
        </w:tc>
      </w:tr>
      <w:tr w:rsidR="00D215BD" w:rsidRPr="001314CA" w14:paraId="7B2F72BF"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77195812"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Libye</w:t>
            </w:r>
          </w:p>
        </w:tc>
        <w:tc>
          <w:tcPr>
            <w:tcW w:w="1276" w:type="dxa"/>
            <w:tcBorders>
              <w:top w:val="nil"/>
              <w:left w:val="nil"/>
              <w:bottom w:val="nil"/>
              <w:right w:val="single" w:sz="4" w:space="0" w:color="auto"/>
            </w:tcBorders>
            <w:noWrap/>
            <w:vAlign w:val="bottom"/>
          </w:tcPr>
          <w:p w14:paraId="22549528"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2014-2019</w:t>
            </w:r>
          </w:p>
        </w:tc>
        <w:tc>
          <w:tcPr>
            <w:tcW w:w="1561" w:type="dxa"/>
            <w:tcBorders>
              <w:top w:val="nil"/>
              <w:left w:val="nil"/>
              <w:bottom w:val="nil"/>
              <w:right w:val="single" w:sz="4" w:space="0" w:color="auto"/>
            </w:tcBorders>
            <w:noWrap/>
            <w:vAlign w:val="bottom"/>
          </w:tcPr>
          <w:p w14:paraId="21EAD602"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2 095 568,95</w:t>
            </w:r>
          </w:p>
        </w:tc>
        <w:tc>
          <w:tcPr>
            <w:tcW w:w="1559" w:type="dxa"/>
            <w:tcBorders>
              <w:top w:val="nil"/>
              <w:left w:val="nil"/>
              <w:bottom w:val="nil"/>
              <w:right w:val="single" w:sz="4" w:space="0" w:color="auto"/>
            </w:tcBorders>
            <w:noWrap/>
            <w:vAlign w:val="bottom"/>
          </w:tcPr>
          <w:p w14:paraId="4920C03A"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087B3F1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2 095 568,95</w:t>
            </w:r>
          </w:p>
        </w:tc>
      </w:tr>
      <w:tr w:rsidR="00D215BD" w:rsidRPr="001314CA" w14:paraId="6D2C2AD1"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66520817"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B83EF5">
              <w:rPr>
                <w:caps/>
                <w:sz w:val="22"/>
              </w:rPr>
              <w:t>î</w:t>
            </w:r>
            <w:r w:rsidRPr="001314CA">
              <w:rPr>
                <w:sz w:val="22"/>
              </w:rPr>
              <w:t>les Marshall</w:t>
            </w:r>
          </w:p>
        </w:tc>
        <w:tc>
          <w:tcPr>
            <w:tcW w:w="1276" w:type="dxa"/>
            <w:tcBorders>
              <w:top w:val="nil"/>
              <w:left w:val="nil"/>
              <w:bottom w:val="nil"/>
              <w:right w:val="single" w:sz="4" w:space="0" w:color="auto"/>
            </w:tcBorders>
            <w:noWrap/>
            <w:vAlign w:val="bottom"/>
          </w:tcPr>
          <w:p w14:paraId="740D3A30"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2017-2019</w:t>
            </w:r>
          </w:p>
        </w:tc>
        <w:tc>
          <w:tcPr>
            <w:tcW w:w="1561" w:type="dxa"/>
            <w:tcBorders>
              <w:top w:val="nil"/>
              <w:left w:val="nil"/>
              <w:bottom w:val="nil"/>
              <w:right w:val="single" w:sz="4" w:space="0" w:color="auto"/>
            </w:tcBorders>
            <w:noWrap/>
            <w:vAlign w:val="bottom"/>
          </w:tcPr>
          <w:p w14:paraId="3A7E297E"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32 528,98</w:t>
            </w:r>
          </w:p>
        </w:tc>
        <w:tc>
          <w:tcPr>
            <w:tcW w:w="1559" w:type="dxa"/>
            <w:tcBorders>
              <w:top w:val="nil"/>
              <w:left w:val="nil"/>
              <w:bottom w:val="nil"/>
              <w:right w:val="single" w:sz="4" w:space="0" w:color="auto"/>
            </w:tcBorders>
            <w:noWrap/>
            <w:vAlign w:val="bottom"/>
          </w:tcPr>
          <w:p w14:paraId="150A898A"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504B208A"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32 528,98</w:t>
            </w:r>
          </w:p>
        </w:tc>
      </w:tr>
      <w:tr w:rsidR="00D215BD" w:rsidRPr="001314CA" w14:paraId="2B0EC56F"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52738837"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Mozambique</w:t>
            </w:r>
          </w:p>
        </w:tc>
        <w:tc>
          <w:tcPr>
            <w:tcW w:w="1276" w:type="dxa"/>
            <w:tcBorders>
              <w:top w:val="nil"/>
              <w:left w:val="nil"/>
              <w:bottom w:val="nil"/>
              <w:right w:val="single" w:sz="4" w:space="0" w:color="auto"/>
            </w:tcBorders>
            <w:noWrap/>
            <w:vAlign w:val="bottom"/>
          </w:tcPr>
          <w:p w14:paraId="353D7C39"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2018-2019</w:t>
            </w:r>
          </w:p>
        </w:tc>
        <w:tc>
          <w:tcPr>
            <w:tcW w:w="1561" w:type="dxa"/>
            <w:tcBorders>
              <w:top w:val="nil"/>
              <w:left w:val="nil"/>
              <w:bottom w:val="nil"/>
              <w:right w:val="single" w:sz="4" w:space="0" w:color="auto"/>
            </w:tcBorders>
            <w:noWrap/>
            <w:vAlign w:val="bottom"/>
          </w:tcPr>
          <w:p w14:paraId="12D3732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45 026,45</w:t>
            </w:r>
          </w:p>
        </w:tc>
        <w:tc>
          <w:tcPr>
            <w:tcW w:w="1559" w:type="dxa"/>
            <w:tcBorders>
              <w:top w:val="nil"/>
              <w:left w:val="nil"/>
              <w:bottom w:val="nil"/>
              <w:right w:val="single" w:sz="4" w:space="0" w:color="auto"/>
            </w:tcBorders>
            <w:noWrap/>
            <w:vAlign w:val="bottom"/>
          </w:tcPr>
          <w:p w14:paraId="54F61801"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0003C0F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45 026,45</w:t>
            </w:r>
          </w:p>
        </w:tc>
      </w:tr>
      <w:tr w:rsidR="00D215BD" w:rsidRPr="001314CA" w14:paraId="484435A7"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70B8F6E9"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Nauru</w:t>
            </w:r>
          </w:p>
        </w:tc>
        <w:tc>
          <w:tcPr>
            <w:tcW w:w="1276" w:type="dxa"/>
            <w:tcBorders>
              <w:top w:val="nil"/>
              <w:left w:val="nil"/>
              <w:bottom w:val="nil"/>
              <w:right w:val="single" w:sz="4" w:space="0" w:color="auto"/>
            </w:tcBorders>
            <w:noWrap/>
            <w:vAlign w:val="bottom"/>
          </w:tcPr>
          <w:p w14:paraId="02E52A2B"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1991-2019</w:t>
            </w:r>
          </w:p>
        </w:tc>
        <w:tc>
          <w:tcPr>
            <w:tcW w:w="1561" w:type="dxa"/>
            <w:tcBorders>
              <w:top w:val="nil"/>
              <w:left w:val="nil"/>
              <w:bottom w:val="nil"/>
              <w:right w:val="single" w:sz="4" w:space="0" w:color="auto"/>
            </w:tcBorders>
            <w:noWrap/>
            <w:vAlign w:val="bottom"/>
          </w:tcPr>
          <w:p w14:paraId="2C8F6380"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1 814 517,15</w:t>
            </w:r>
          </w:p>
        </w:tc>
        <w:tc>
          <w:tcPr>
            <w:tcW w:w="1559" w:type="dxa"/>
            <w:tcBorders>
              <w:top w:val="nil"/>
              <w:left w:val="nil"/>
              <w:bottom w:val="nil"/>
              <w:right w:val="single" w:sz="4" w:space="0" w:color="auto"/>
            </w:tcBorders>
            <w:noWrap/>
            <w:vAlign w:val="bottom"/>
          </w:tcPr>
          <w:p w14:paraId="13E901F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6CFD30C0"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1 814 517,15</w:t>
            </w:r>
          </w:p>
        </w:tc>
      </w:tr>
      <w:tr w:rsidR="00D215BD" w:rsidRPr="001314CA" w14:paraId="00C26FC6"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7BCB23E7"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Népal</w:t>
            </w:r>
          </w:p>
        </w:tc>
        <w:tc>
          <w:tcPr>
            <w:tcW w:w="1276" w:type="dxa"/>
            <w:tcBorders>
              <w:top w:val="nil"/>
              <w:left w:val="nil"/>
              <w:bottom w:val="nil"/>
              <w:right w:val="single" w:sz="4" w:space="0" w:color="auto"/>
            </w:tcBorders>
            <w:noWrap/>
            <w:vAlign w:val="bottom"/>
          </w:tcPr>
          <w:p w14:paraId="3B2D45C3"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2013-2019</w:t>
            </w:r>
          </w:p>
        </w:tc>
        <w:tc>
          <w:tcPr>
            <w:tcW w:w="1561" w:type="dxa"/>
            <w:tcBorders>
              <w:top w:val="nil"/>
              <w:left w:val="nil"/>
              <w:bottom w:val="nil"/>
              <w:right w:val="single" w:sz="4" w:space="0" w:color="auto"/>
            </w:tcBorders>
            <w:noWrap/>
            <w:vAlign w:val="bottom"/>
          </w:tcPr>
          <w:p w14:paraId="52DA129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10 402,45</w:t>
            </w:r>
          </w:p>
        </w:tc>
        <w:tc>
          <w:tcPr>
            <w:tcW w:w="1559" w:type="dxa"/>
            <w:tcBorders>
              <w:top w:val="nil"/>
              <w:left w:val="nil"/>
              <w:bottom w:val="nil"/>
              <w:right w:val="single" w:sz="4" w:space="0" w:color="auto"/>
            </w:tcBorders>
            <w:noWrap/>
            <w:vAlign w:val="bottom"/>
          </w:tcPr>
          <w:p w14:paraId="1308395F"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42,00</w:t>
            </w:r>
          </w:p>
        </w:tc>
        <w:tc>
          <w:tcPr>
            <w:tcW w:w="1554" w:type="dxa"/>
            <w:tcBorders>
              <w:top w:val="nil"/>
              <w:left w:val="nil"/>
              <w:bottom w:val="nil"/>
              <w:right w:val="single" w:sz="4" w:space="0" w:color="auto"/>
            </w:tcBorders>
            <w:noWrap/>
            <w:vAlign w:val="bottom"/>
          </w:tcPr>
          <w:p w14:paraId="3D8DB76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10 444,45</w:t>
            </w:r>
          </w:p>
        </w:tc>
      </w:tr>
      <w:tr w:rsidR="00D215BD" w:rsidRPr="001314CA" w14:paraId="39A4E344"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3E46A19F"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Nicaragua</w:t>
            </w:r>
          </w:p>
        </w:tc>
        <w:tc>
          <w:tcPr>
            <w:tcW w:w="1276" w:type="dxa"/>
            <w:tcBorders>
              <w:top w:val="nil"/>
              <w:left w:val="nil"/>
              <w:bottom w:val="nil"/>
              <w:right w:val="single" w:sz="4" w:space="0" w:color="auto"/>
            </w:tcBorders>
            <w:noWrap/>
            <w:vAlign w:val="bottom"/>
          </w:tcPr>
          <w:p w14:paraId="36B32E6D"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2015-2019</w:t>
            </w:r>
          </w:p>
        </w:tc>
        <w:tc>
          <w:tcPr>
            <w:tcW w:w="1561" w:type="dxa"/>
            <w:tcBorders>
              <w:top w:val="nil"/>
              <w:left w:val="nil"/>
              <w:bottom w:val="nil"/>
              <w:right w:val="single" w:sz="4" w:space="0" w:color="auto"/>
            </w:tcBorders>
            <w:noWrap/>
            <w:vAlign w:val="bottom"/>
          </w:tcPr>
          <w:p w14:paraId="1308CC7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492 851,85</w:t>
            </w:r>
          </w:p>
        </w:tc>
        <w:tc>
          <w:tcPr>
            <w:tcW w:w="1559" w:type="dxa"/>
            <w:tcBorders>
              <w:top w:val="nil"/>
              <w:left w:val="nil"/>
              <w:bottom w:val="nil"/>
              <w:right w:val="single" w:sz="4" w:space="0" w:color="auto"/>
            </w:tcBorders>
            <w:noWrap/>
            <w:vAlign w:val="bottom"/>
          </w:tcPr>
          <w:p w14:paraId="5399966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462CA43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492 851,85</w:t>
            </w:r>
          </w:p>
        </w:tc>
      </w:tr>
      <w:tr w:rsidR="00D215BD" w:rsidRPr="001314CA" w14:paraId="7C97E20C"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05AF8943"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Nigéria</w:t>
            </w:r>
          </w:p>
        </w:tc>
        <w:tc>
          <w:tcPr>
            <w:tcW w:w="1276" w:type="dxa"/>
            <w:tcBorders>
              <w:top w:val="nil"/>
              <w:left w:val="nil"/>
              <w:bottom w:val="nil"/>
              <w:right w:val="single" w:sz="4" w:space="0" w:color="auto"/>
            </w:tcBorders>
            <w:noWrap/>
            <w:vAlign w:val="bottom"/>
          </w:tcPr>
          <w:p w14:paraId="3A3195D9"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rFonts w:asciiTheme="minorHAnsi" w:hAnsiTheme="minorHAnsi" w:cstheme="minorHAnsi"/>
                <w:sz w:val="22"/>
                <w:szCs w:val="22"/>
              </w:rPr>
              <w:t>2019</w:t>
            </w:r>
          </w:p>
        </w:tc>
        <w:tc>
          <w:tcPr>
            <w:tcW w:w="1561" w:type="dxa"/>
            <w:tcBorders>
              <w:top w:val="nil"/>
              <w:left w:val="nil"/>
              <w:bottom w:val="nil"/>
              <w:right w:val="single" w:sz="4" w:space="0" w:color="auto"/>
            </w:tcBorders>
            <w:noWrap/>
            <w:vAlign w:val="bottom"/>
          </w:tcPr>
          <w:p w14:paraId="1B4E7CC0"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19 610,00</w:t>
            </w:r>
          </w:p>
        </w:tc>
        <w:tc>
          <w:tcPr>
            <w:tcW w:w="1559" w:type="dxa"/>
            <w:tcBorders>
              <w:top w:val="nil"/>
              <w:left w:val="nil"/>
              <w:bottom w:val="nil"/>
              <w:right w:val="single" w:sz="4" w:space="0" w:color="auto"/>
            </w:tcBorders>
            <w:noWrap/>
            <w:vAlign w:val="bottom"/>
          </w:tcPr>
          <w:p w14:paraId="2D14A03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0B52A530"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en-GB"/>
              </w:rPr>
            </w:pPr>
            <w:r w:rsidRPr="001314CA">
              <w:rPr>
                <w:rFonts w:asciiTheme="minorHAnsi" w:hAnsiTheme="minorHAnsi" w:cstheme="minorHAnsi"/>
                <w:sz w:val="22"/>
                <w:szCs w:val="22"/>
              </w:rPr>
              <w:t>19 610,00</w:t>
            </w:r>
          </w:p>
        </w:tc>
      </w:tr>
      <w:tr w:rsidR="00D215BD" w:rsidRPr="001314CA" w14:paraId="3228A51F"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69C7EEBA"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Pakistan</w:t>
            </w:r>
          </w:p>
        </w:tc>
        <w:tc>
          <w:tcPr>
            <w:tcW w:w="1276" w:type="dxa"/>
            <w:tcBorders>
              <w:top w:val="nil"/>
              <w:left w:val="nil"/>
              <w:bottom w:val="nil"/>
              <w:right w:val="single" w:sz="4" w:space="0" w:color="auto"/>
            </w:tcBorders>
            <w:noWrap/>
            <w:vAlign w:val="bottom"/>
          </w:tcPr>
          <w:p w14:paraId="361E45E4"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2017-2019</w:t>
            </w:r>
          </w:p>
        </w:tc>
        <w:tc>
          <w:tcPr>
            <w:tcW w:w="1561" w:type="dxa"/>
            <w:tcBorders>
              <w:top w:val="nil"/>
              <w:left w:val="nil"/>
              <w:bottom w:val="nil"/>
              <w:right w:val="single" w:sz="4" w:space="0" w:color="auto"/>
            </w:tcBorders>
            <w:noWrap/>
            <w:vAlign w:val="bottom"/>
          </w:tcPr>
          <w:p w14:paraId="426BFA0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532 590,42</w:t>
            </w:r>
          </w:p>
        </w:tc>
        <w:tc>
          <w:tcPr>
            <w:tcW w:w="1559" w:type="dxa"/>
            <w:tcBorders>
              <w:top w:val="nil"/>
              <w:left w:val="nil"/>
              <w:bottom w:val="nil"/>
              <w:right w:val="single" w:sz="4" w:space="0" w:color="auto"/>
            </w:tcBorders>
            <w:noWrap/>
            <w:vAlign w:val="bottom"/>
          </w:tcPr>
          <w:p w14:paraId="4363628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56C72D7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532 590,42</w:t>
            </w:r>
          </w:p>
        </w:tc>
      </w:tr>
      <w:tr w:rsidR="00D215BD" w:rsidRPr="001314CA" w14:paraId="5B89B5BE"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5C535D24"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Pérou</w:t>
            </w:r>
          </w:p>
        </w:tc>
        <w:tc>
          <w:tcPr>
            <w:tcW w:w="1276" w:type="dxa"/>
            <w:tcBorders>
              <w:top w:val="nil"/>
              <w:left w:val="nil"/>
              <w:bottom w:val="nil"/>
              <w:right w:val="single" w:sz="4" w:space="0" w:color="auto"/>
            </w:tcBorders>
            <w:noWrap/>
            <w:vAlign w:val="bottom"/>
          </w:tcPr>
          <w:p w14:paraId="052927D7"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2014-2017</w:t>
            </w:r>
          </w:p>
        </w:tc>
        <w:tc>
          <w:tcPr>
            <w:tcW w:w="1561" w:type="dxa"/>
            <w:tcBorders>
              <w:top w:val="nil"/>
              <w:left w:val="nil"/>
              <w:bottom w:val="nil"/>
              <w:right w:val="single" w:sz="4" w:space="0" w:color="auto"/>
            </w:tcBorders>
            <w:noWrap/>
            <w:vAlign w:val="bottom"/>
          </w:tcPr>
          <w:p w14:paraId="16EA1CF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7 572,35</w:t>
            </w:r>
          </w:p>
        </w:tc>
        <w:tc>
          <w:tcPr>
            <w:tcW w:w="1559" w:type="dxa"/>
            <w:tcBorders>
              <w:top w:val="nil"/>
              <w:left w:val="nil"/>
              <w:bottom w:val="nil"/>
              <w:right w:val="single" w:sz="4" w:space="0" w:color="auto"/>
            </w:tcBorders>
            <w:noWrap/>
            <w:vAlign w:val="bottom"/>
          </w:tcPr>
          <w:p w14:paraId="2E6578CF"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05D8719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7 572,35</w:t>
            </w:r>
          </w:p>
        </w:tc>
      </w:tr>
      <w:tr w:rsidR="00D215BD" w:rsidRPr="001314CA" w14:paraId="58F897B6"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4D0E33B5"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Tunisie</w:t>
            </w:r>
          </w:p>
        </w:tc>
        <w:tc>
          <w:tcPr>
            <w:tcW w:w="1276" w:type="dxa"/>
            <w:tcBorders>
              <w:top w:val="nil"/>
              <w:left w:val="nil"/>
              <w:bottom w:val="nil"/>
              <w:right w:val="single" w:sz="4" w:space="0" w:color="auto"/>
            </w:tcBorders>
            <w:noWrap/>
            <w:vAlign w:val="bottom"/>
          </w:tcPr>
          <w:p w14:paraId="34E27FFF"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2015-2019</w:t>
            </w:r>
          </w:p>
        </w:tc>
        <w:tc>
          <w:tcPr>
            <w:tcW w:w="1561" w:type="dxa"/>
            <w:tcBorders>
              <w:top w:val="nil"/>
              <w:left w:val="nil"/>
              <w:bottom w:val="nil"/>
              <w:right w:val="single" w:sz="4" w:space="0" w:color="auto"/>
            </w:tcBorders>
            <w:noWrap/>
            <w:vAlign w:val="bottom"/>
          </w:tcPr>
          <w:p w14:paraId="705519EC"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21 648,70</w:t>
            </w:r>
          </w:p>
        </w:tc>
        <w:tc>
          <w:tcPr>
            <w:tcW w:w="1559" w:type="dxa"/>
            <w:tcBorders>
              <w:top w:val="nil"/>
              <w:left w:val="nil"/>
              <w:bottom w:val="nil"/>
              <w:right w:val="single" w:sz="4" w:space="0" w:color="auto"/>
            </w:tcBorders>
            <w:noWrap/>
            <w:vAlign w:val="bottom"/>
          </w:tcPr>
          <w:p w14:paraId="0BD06D1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55F5FD0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21 648,70</w:t>
            </w:r>
          </w:p>
        </w:tc>
      </w:tr>
      <w:tr w:rsidR="00D215BD" w:rsidRPr="001314CA" w14:paraId="0F959FF3" w14:textId="77777777" w:rsidTr="00D215BD">
        <w:trPr>
          <w:trHeight w:val="300"/>
          <w:jc w:val="center"/>
        </w:trPr>
        <w:tc>
          <w:tcPr>
            <w:tcW w:w="3679" w:type="dxa"/>
            <w:tcBorders>
              <w:top w:val="nil"/>
              <w:left w:val="single" w:sz="4" w:space="0" w:color="auto"/>
              <w:bottom w:val="nil"/>
              <w:right w:val="single" w:sz="4" w:space="0" w:color="auto"/>
            </w:tcBorders>
            <w:shd w:val="clear" w:color="auto" w:fill="auto"/>
            <w:tcMar>
              <w:left w:w="108" w:type="dxa"/>
              <w:right w:w="0" w:type="dxa"/>
            </w:tcMar>
            <w:vAlign w:val="bottom"/>
          </w:tcPr>
          <w:p w14:paraId="53E0F45D"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Vanuatu</w:t>
            </w:r>
          </w:p>
        </w:tc>
        <w:tc>
          <w:tcPr>
            <w:tcW w:w="1276" w:type="dxa"/>
            <w:tcBorders>
              <w:top w:val="nil"/>
              <w:left w:val="nil"/>
              <w:bottom w:val="nil"/>
              <w:right w:val="single" w:sz="4" w:space="0" w:color="auto"/>
            </w:tcBorders>
            <w:noWrap/>
            <w:vAlign w:val="bottom"/>
          </w:tcPr>
          <w:p w14:paraId="780B660E"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2014-2019</w:t>
            </w:r>
          </w:p>
        </w:tc>
        <w:tc>
          <w:tcPr>
            <w:tcW w:w="1561" w:type="dxa"/>
            <w:tcBorders>
              <w:top w:val="nil"/>
              <w:left w:val="nil"/>
              <w:bottom w:val="nil"/>
              <w:right w:val="single" w:sz="4" w:space="0" w:color="auto"/>
            </w:tcBorders>
            <w:noWrap/>
            <w:vAlign w:val="bottom"/>
          </w:tcPr>
          <w:p w14:paraId="685711DB"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60 261,22</w:t>
            </w:r>
          </w:p>
        </w:tc>
        <w:tc>
          <w:tcPr>
            <w:tcW w:w="1559" w:type="dxa"/>
            <w:tcBorders>
              <w:top w:val="nil"/>
              <w:left w:val="nil"/>
              <w:bottom w:val="nil"/>
              <w:right w:val="single" w:sz="4" w:space="0" w:color="auto"/>
            </w:tcBorders>
            <w:noWrap/>
            <w:vAlign w:val="bottom"/>
          </w:tcPr>
          <w:p w14:paraId="6F54F89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29D29B1E"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60 261,22</w:t>
            </w:r>
          </w:p>
        </w:tc>
      </w:tr>
      <w:tr w:rsidR="00D215BD" w:rsidRPr="001314CA" w14:paraId="0DC939EC" w14:textId="77777777" w:rsidTr="00D215BD">
        <w:trPr>
          <w:trHeight w:val="300"/>
          <w:jc w:val="center"/>
        </w:trPr>
        <w:tc>
          <w:tcPr>
            <w:tcW w:w="3679" w:type="dxa"/>
            <w:tcBorders>
              <w:top w:val="nil"/>
              <w:left w:val="single" w:sz="4" w:space="0" w:color="auto"/>
              <w:bottom w:val="single" w:sz="4" w:space="0" w:color="auto"/>
              <w:right w:val="single" w:sz="4" w:space="0" w:color="auto"/>
            </w:tcBorders>
            <w:shd w:val="clear" w:color="auto" w:fill="auto"/>
            <w:tcMar>
              <w:left w:w="108" w:type="dxa"/>
              <w:right w:w="0" w:type="dxa"/>
            </w:tcMar>
            <w:vAlign w:val="bottom"/>
          </w:tcPr>
          <w:p w14:paraId="7A25DCC7"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Venezuela</w:t>
            </w:r>
          </w:p>
        </w:tc>
        <w:tc>
          <w:tcPr>
            <w:tcW w:w="1276" w:type="dxa"/>
            <w:tcBorders>
              <w:top w:val="nil"/>
              <w:left w:val="nil"/>
              <w:bottom w:val="nil"/>
              <w:right w:val="single" w:sz="4" w:space="0" w:color="auto"/>
            </w:tcBorders>
            <w:noWrap/>
            <w:vAlign w:val="bottom"/>
          </w:tcPr>
          <w:p w14:paraId="1993C4A4"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zh-CN"/>
              </w:rPr>
            </w:pPr>
            <w:r w:rsidRPr="001314CA">
              <w:rPr>
                <w:rFonts w:asciiTheme="minorHAnsi" w:hAnsiTheme="minorHAnsi" w:cstheme="minorHAnsi"/>
                <w:sz w:val="22"/>
                <w:szCs w:val="22"/>
              </w:rPr>
              <w:t>2013-2019</w:t>
            </w:r>
          </w:p>
        </w:tc>
        <w:tc>
          <w:tcPr>
            <w:tcW w:w="1561" w:type="dxa"/>
            <w:tcBorders>
              <w:top w:val="nil"/>
              <w:left w:val="nil"/>
              <w:bottom w:val="nil"/>
              <w:right w:val="single" w:sz="4" w:space="0" w:color="auto"/>
            </w:tcBorders>
            <w:noWrap/>
            <w:vAlign w:val="bottom"/>
          </w:tcPr>
          <w:p w14:paraId="54EB9547"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1 563 999,79</w:t>
            </w:r>
          </w:p>
        </w:tc>
        <w:tc>
          <w:tcPr>
            <w:tcW w:w="1559" w:type="dxa"/>
            <w:tcBorders>
              <w:top w:val="nil"/>
              <w:left w:val="nil"/>
              <w:bottom w:val="nil"/>
              <w:right w:val="single" w:sz="4" w:space="0" w:color="auto"/>
            </w:tcBorders>
            <w:noWrap/>
            <w:vAlign w:val="bottom"/>
          </w:tcPr>
          <w:p w14:paraId="6CCAAC7E"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0,00</w:t>
            </w:r>
          </w:p>
        </w:tc>
        <w:tc>
          <w:tcPr>
            <w:tcW w:w="1554" w:type="dxa"/>
            <w:tcBorders>
              <w:top w:val="nil"/>
              <w:left w:val="nil"/>
              <w:bottom w:val="nil"/>
              <w:right w:val="single" w:sz="4" w:space="0" w:color="auto"/>
            </w:tcBorders>
            <w:noWrap/>
            <w:vAlign w:val="bottom"/>
          </w:tcPr>
          <w:p w14:paraId="3648469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1 563 999,79</w:t>
            </w:r>
          </w:p>
        </w:tc>
      </w:tr>
      <w:tr w:rsidR="00D215BD" w:rsidRPr="001314CA" w14:paraId="2D265944" w14:textId="77777777" w:rsidTr="00D215BD">
        <w:trPr>
          <w:trHeight w:val="300"/>
          <w:jc w:val="center"/>
        </w:trPr>
        <w:tc>
          <w:tcPr>
            <w:tcW w:w="3679" w:type="dxa"/>
            <w:tcBorders>
              <w:top w:val="single" w:sz="4" w:space="0" w:color="auto"/>
              <w:left w:val="single" w:sz="4" w:space="0" w:color="auto"/>
              <w:bottom w:val="single" w:sz="4" w:space="0" w:color="auto"/>
              <w:right w:val="single" w:sz="4" w:space="0" w:color="auto"/>
            </w:tcBorders>
            <w:shd w:val="clear" w:color="auto" w:fill="auto"/>
            <w:tcMar>
              <w:left w:w="108" w:type="dxa"/>
              <w:right w:w="0" w:type="dxa"/>
            </w:tcMar>
            <w:vAlign w:val="center"/>
          </w:tcPr>
          <w:p w14:paraId="7BBFBA25" w14:textId="77777777" w:rsidR="00D215BD" w:rsidRPr="001314CA" w:rsidRDefault="00D215BD" w:rsidP="00D215BD">
            <w:pPr>
              <w:tabs>
                <w:tab w:val="clear" w:pos="567"/>
                <w:tab w:val="clear" w:pos="1134"/>
                <w:tab w:val="clear" w:pos="1701"/>
                <w:tab w:val="clear" w:pos="2268"/>
                <w:tab w:val="clear" w:pos="2835"/>
              </w:tabs>
              <w:spacing w:before="60" w:after="60"/>
              <w:rPr>
                <w:b/>
                <w:bCs/>
                <w:sz w:val="22"/>
                <w:lang w:eastAsia="zh-CN"/>
              </w:rPr>
            </w:pPr>
            <w:r>
              <w:rPr>
                <w:b/>
                <w:bCs/>
                <w:sz w:val="22"/>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5550C1D"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2"/>
                <w:lang w:eastAsia="zh-CN"/>
              </w:rPr>
            </w:pPr>
          </w:p>
        </w:tc>
        <w:tc>
          <w:tcPr>
            <w:tcW w:w="1561" w:type="dxa"/>
            <w:tcBorders>
              <w:top w:val="single" w:sz="4" w:space="0" w:color="auto"/>
              <w:left w:val="nil"/>
              <w:bottom w:val="single" w:sz="4" w:space="0" w:color="auto"/>
              <w:right w:val="single" w:sz="4" w:space="0" w:color="auto"/>
            </w:tcBorders>
            <w:noWrap/>
            <w:vAlign w:val="bottom"/>
          </w:tcPr>
          <w:p w14:paraId="2ABE72F4"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11 039 160,74</w:t>
            </w:r>
          </w:p>
        </w:tc>
        <w:tc>
          <w:tcPr>
            <w:tcW w:w="1559" w:type="dxa"/>
            <w:tcBorders>
              <w:top w:val="single" w:sz="4" w:space="0" w:color="auto"/>
              <w:left w:val="nil"/>
              <w:bottom w:val="single" w:sz="4" w:space="0" w:color="auto"/>
              <w:right w:val="single" w:sz="4" w:space="0" w:color="auto"/>
            </w:tcBorders>
            <w:noWrap/>
            <w:vAlign w:val="bottom"/>
          </w:tcPr>
          <w:p w14:paraId="674CB9E1"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43 707,10</w:t>
            </w:r>
          </w:p>
        </w:tc>
        <w:tc>
          <w:tcPr>
            <w:tcW w:w="1554" w:type="dxa"/>
            <w:tcBorders>
              <w:top w:val="single" w:sz="4" w:space="0" w:color="auto"/>
              <w:left w:val="nil"/>
              <w:bottom w:val="single" w:sz="4" w:space="0" w:color="auto"/>
              <w:right w:val="single" w:sz="4" w:space="0" w:color="auto"/>
            </w:tcBorders>
            <w:noWrap/>
            <w:vAlign w:val="bottom"/>
          </w:tcPr>
          <w:p w14:paraId="0583D24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lang w:eastAsia="zh-CN"/>
              </w:rPr>
            </w:pPr>
            <w:r w:rsidRPr="001314CA">
              <w:rPr>
                <w:rFonts w:asciiTheme="minorHAnsi" w:hAnsiTheme="minorHAnsi" w:cstheme="minorHAnsi"/>
                <w:sz w:val="22"/>
                <w:szCs w:val="22"/>
              </w:rPr>
              <w:t>11 082 867,84</w:t>
            </w:r>
          </w:p>
        </w:tc>
      </w:tr>
    </w:tbl>
    <w:p w14:paraId="333B4206" w14:textId="77777777" w:rsidR="00D215BD" w:rsidRPr="001314CA" w:rsidRDefault="00D215BD" w:rsidP="00D215BD"/>
    <w:tbl>
      <w:tblPr>
        <w:tblW w:w="10060" w:type="dxa"/>
        <w:jc w:val="center"/>
        <w:tblLook w:val="04A0" w:firstRow="1" w:lastRow="0" w:firstColumn="1" w:lastColumn="0" w:noHBand="0" w:noVBand="1"/>
      </w:tblPr>
      <w:tblGrid>
        <w:gridCol w:w="4530"/>
        <w:gridCol w:w="1311"/>
        <w:gridCol w:w="1468"/>
        <w:gridCol w:w="1333"/>
        <w:gridCol w:w="1418"/>
      </w:tblGrid>
      <w:tr w:rsidR="00D215BD" w:rsidRPr="001314CA" w14:paraId="63878FF6" w14:textId="77777777" w:rsidTr="00D215BD">
        <w:trPr>
          <w:trHeight w:val="300"/>
          <w:jc w:val="center"/>
        </w:trPr>
        <w:tc>
          <w:tcPr>
            <w:tcW w:w="45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609C20" w14:textId="77777777" w:rsidR="00D215BD" w:rsidRPr="001314CA" w:rsidRDefault="00D215BD" w:rsidP="00D215BD">
            <w:pPr>
              <w:spacing w:after="120"/>
              <w:rPr>
                <w:rFonts w:cs="Calibri"/>
                <w:b/>
                <w:bCs/>
                <w:sz w:val="22"/>
                <w:szCs w:val="22"/>
              </w:rPr>
            </w:pPr>
            <w:r w:rsidRPr="001314CA">
              <w:rPr>
                <w:rFonts w:cs="Calibri"/>
                <w:b/>
                <w:bCs/>
                <w:sz w:val="22"/>
                <w:szCs w:val="22"/>
              </w:rPr>
              <w:lastRenderedPageBreak/>
              <w:t>B</w:t>
            </w:r>
            <w:r w:rsidRPr="001314CA">
              <w:rPr>
                <w:rFonts w:cs="Calibri"/>
                <w:b/>
                <w:bCs/>
                <w:sz w:val="22"/>
                <w:szCs w:val="22"/>
              </w:rPr>
              <w:tab/>
            </w:r>
            <w:r w:rsidRPr="001314CA">
              <w:rPr>
                <w:b/>
                <w:sz w:val="22"/>
              </w:rPr>
              <w:t>Membres de Secteur et autres entités</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14:paraId="2C523717" w14:textId="77777777" w:rsidR="00D215BD" w:rsidRPr="001314CA" w:rsidRDefault="00D215BD" w:rsidP="00D215BD">
            <w:pPr>
              <w:jc w:val="center"/>
              <w:rPr>
                <w:rFonts w:cs="Calibri"/>
                <w:b/>
                <w:bCs/>
                <w:sz w:val="22"/>
                <w:szCs w:val="22"/>
              </w:rPr>
            </w:pPr>
            <w:r w:rsidRPr="001314CA">
              <w:rPr>
                <w:b/>
                <w:sz w:val="22"/>
              </w:rPr>
              <w:t>Année</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14:paraId="6918416C" w14:textId="77777777" w:rsidR="00D215BD" w:rsidRPr="001314CA" w:rsidRDefault="00D215BD" w:rsidP="00D215BD">
            <w:pPr>
              <w:jc w:val="center"/>
              <w:rPr>
                <w:rFonts w:cs="Calibri"/>
                <w:b/>
                <w:bCs/>
                <w:sz w:val="22"/>
                <w:szCs w:val="22"/>
              </w:rPr>
            </w:pPr>
            <w:r w:rsidRPr="001314CA">
              <w:rPr>
                <w:b/>
                <w:sz w:val="22"/>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6292C4CB" w14:textId="77777777" w:rsidR="00D215BD" w:rsidRPr="001314CA" w:rsidRDefault="00D215BD" w:rsidP="00D215BD">
            <w:pPr>
              <w:jc w:val="center"/>
              <w:rPr>
                <w:rFonts w:cs="Calibri"/>
                <w:b/>
                <w:bCs/>
                <w:sz w:val="22"/>
                <w:szCs w:val="22"/>
              </w:rPr>
            </w:pPr>
            <w:r w:rsidRPr="001314CA">
              <w:rPr>
                <w:b/>
                <w:sz w:val="22"/>
              </w:rPr>
              <w:t>Publications</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394838D" w14:textId="77777777" w:rsidR="00D215BD" w:rsidRPr="001314CA" w:rsidRDefault="00D215BD" w:rsidP="00D215BD">
            <w:pPr>
              <w:jc w:val="center"/>
              <w:rPr>
                <w:rFonts w:cs="Calibri"/>
                <w:b/>
                <w:bCs/>
                <w:sz w:val="22"/>
                <w:szCs w:val="22"/>
              </w:rPr>
            </w:pPr>
            <w:r w:rsidRPr="001314CA">
              <w:rPr>
                <w:b/>
                <w:sz w:val="22"/>
              </w:rPr>
              <w:t>Total</w:t>
            </w:r>
          </w:p>
        </w:tc>
      </w:tr>
      <w:tr w:rsidR="00D215BD" w:rsidRPr="001314CA" w14:paraId="36CB276E" w14:textId="77777777" w:rsidTr="00D215BD">
        <w:trPr>
          <w:trHeight w:val="300"/>
          <w:jc w:val="center"/>
        </w:trPr>
        <w:tc>
          <w:tcPr>
            <w:tcW w:w="4530" w:type="dxa"/>
            <w:tcBorders>
              <w:top w:val="single" w:sz="4" w:space="0" w:color="auto"/>
              <w:left w:val="single" w:sz="4" w:space="0" w:color="auto"/>
              <w:bottom w:val="nil"/>
              <w:right w:val="single" w:sz="4" w:space="0" w:color="auto"/>
            </w:tcBorders>
            <w:shd w:val="clear" w:color="auto" w:fill="auto"/>
            <w:vAlign w:val="bottom"/>
            <w:hideMark/>
          </w:tcPr>
          <w:p w14:paraId="62AAC51B" w14:textId="77777777" w:rsidR="00D215BD" w:rsidRPr="001314CA" w:rsidRDefault="00D215BD" w:rsidP="00D215BD">
            <w:pPr>
              <w:spacing w:before="0"/>
              <w:jc w:val="center"/>
              <w:rPr>
                <w:rFonts w:cs="Calibri"/>
                <w:b/>
                <w:bCs/>
                <w:sz w:val="22"/>
                <w:szCs w:val="22"/>
              </w:rPr>
            </w:pPr>
          </w:p>
        </w:tc>
        <w:tc>
          <w:tcPr>
            <w:tcW w:w="1311" w:type="dxa"/>
            <w:tcBorders>
              <w:top w:val="single" w:sz="4" w:space="0" w:color="auto"/>
              <w:left w:val="single" w:sz="4" w:space="0" w:color="auto"/>
              <w:bottom w:val="nil"/>
              <w:right w:val="single" w:sz="4" w:space="0" w:color="auto"/>
            </w:tcBorders>
            <w:shd w:val="clear" w:color="auto" w:fill="auto"/>
            <w:noWrap/>
            <w:vAlign w:val="bottom"/>
            <w:hideMark/>
          </w:tcPr>
          <w:p w14:paraId="4C58767F" w14:textId="77777777" w:rsidR="00D215BD" w:rsidRPr="001314CA" w:rsidRDefault="00D215BD" w:rsidP="00D215BD">
            <w:pPr>
              <w:spacing w:before="0"/>
              <w:rPr>
                <w:rFonts w:ascii="Times New Roman" w:hAnsi="Times New Roman"/>
                <w:sz w:val="22"/>
                <w:szCs w:val="22"/>
              </w:rPr>
            </w:pPr>
          </w:p>
        </w:tc>
        <w:tc>
          <w:tcPr>
            <w:tcW w:w="1468" w:type="dxa"/>
            <w:tcBorders>
              <w:top w:val="single" w:sz="4" w:space="0" w:color="auto"/>
              <w:left w:val="single" w:sz="4" w:space="0" w:color="auto"/>
              <w:bottom w:val="nil"/>
              <w:right w:val="single" w:sz="4" w:space="0" w:color="auto"/>
            </w:tcBorders>
            <w:shd w:val="clear" w:color="auto" w:fill="auto"/>
            <w:noWrap/>
            <w:vAlign w:val="bottom"/>
            <w:hideMark/>
          </w:tcPr>
          <w:p w14:paraId="78C6D03B" w14:textId="77777777" w:rsidR="00D215BD" w:rsidRPr="001314CA" w:rsidRDefault="00D215BD" w:rsidP="00D215BD">
            <w:pPr>
              <w:spacing w:before="0"/>
              <w:jc w:val="center"/>
              <w:rPr>
                <w:rFonts w:ascii="Times New Roman" w:hAnsi="Times New Roman"/>
                <w:sz w:val="22"/>
                <w:szCs w:val="22"/>
              </w:rPr>
            </w:pP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7E2F6F6D" w14:textId="77777777" w:rsidR="00D215BD" w:rsidRPr="001314CA" w:rsidRDefault="00D215BD" w:rsidP="00D215BD">
            <w:pPr>
              <w:spacing w:before="0"/>
              <w:jc w:val="right"/>
              <w:rPr>
                <w:rFonts w:ascii="Times New Roman" w:hAnsi="Times New Roman"/>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14:paraId="7CD29C82" w14:textId="77777777" w:rsidR="00D215BD" w:rsidRPr="001314CA" w:rsidRDefault="00D215BD" w:rsidP="00D215BD">
            <w:pPr>
              <w:spacing w:before="0"/>
              <w:jc w:val="right"/>
              <w:rPr>
                <w:rFonts w:ascii="Times New Roman" w:hAnsi="Times New Roman"/>
                <w:sz w:val="22"/>
                <w:szCs w:val="22"/>
              </w:rPr>
            </w:pPr>
          </w:p>
        </w:tc>
      </w:tr>
      <w:tr w:rsidR="00D215BD" w:rsidRPr="001314CA" w14:paraId="023F84E6"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2AB478B6" w14:textId="77777777" w:rsidR="00D215BD" w:rsidRPr="001314CA" w:rsidRDefault="00D215BD" w:rsidP="00D215BD">
            <w:pPr>
              <w:spacing w:before="0"/>
              <w:rPr>
                <w:rFonts w:cs="Calibri"/>
                <w:b/>
                <w:bCs/>
                <w:sz w:val="22"/>
                <w:szCs w:val="22"/>
              </w:rPr>
            </w:pPr>
            <w:r w:rsidRPr="001314CA">
              <w:rPr>
                <w:rFonts w:cs="Calibri"/>
                <w:b/>
                <w:bCs/>
                <w:sz w:val="22"/>
                <w:szCs w:val="22"/>
              </w:rPr>
              <w:t>Algérie</w:t>
            </w:r>
          </w:p>
        </w:tc>
        <w:tc>
          <w:tcPr>
            <w:tcW w:w="1311" w:type="dxa"/>
            <w:tcBorders>
              <w:top w:val="nil"/>
              <w:left w:val="single" w:sz="4" w:space="0" w:color="auto"/>
              <w:bottom w:val="nil"/>
              <w:right w:val="single" w:sz="4" w:space="0" w:color="auto"/>
            </w:tcBorders>
            <w:shd w:val="clear" w:color="auto" w:fill="auto"/>
            <w:noWrap/>
            <w:vAlign w:val="bottom"/>
            <w:hideMark/>
          </w:tcPr>
          <w:p w14:paraId="6887981C"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34E35AA4"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111911B5" w14:textId="77777777" w:rsidR="00D215BD" w:rsidRPr="001314CA" w:rsidRDefault="00D215BD" w:rsidP="00D215BD">
            <w:pPr>
              <w:spacing w:before="0"/>
              <w:jc w:val="right"/>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09C91537" w14:textId="77777777" w:rsidR="00D215BD" w:rsidRPr="001314CA" w:rsidRDefault="00D215BD" w:rsidP="00D215BD">
            <w:pPr>
              <w:spacing w:before="0"/>
              <w:jc w:val="right"/>
              <w:rPr>
                <w:rFonts w:ascii="Times New Roman" w:hAnsi="Times New Roman"/>
                <w:sz w:val="22"/>
                <w:szCs w:val="22"/>
              </w:rPr>
            </w:pPr>
          </w:p>
        </w:tc>
      </w:tr>
      <w:tr w:rsidR="00D215BD" w:rsidRPr="001314CA" w14:paraId="4CA8B7F7"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59DA1B95"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Centre de développement des </w:t>
            </w:r>
            <w:proofErr w:type="spellStart"/>
            <w:r w:rsidRPr="001314CA">
              <w:rPr>
                <w:rFonts w:cs="Calibri"/>
                <w:sz w:val="22"/>
                <w:szCs w:val="22"/>
              </w:rPr>
              <w:t>techologies</w:t>
            </w:r>
            <w:proofErr w:type="spellEnd"/>
            <w:r w:rsidRPr="001314CA">
              <w:rPr>
                <w:rFonts w:cs="Calibri"/>
                <w:sz w:val="22"/>
                <w:szCs w:val="22"/>
              </w:rPr>
              <w:t xml:space="preserve"> avancées, Alger</w:t>
            </w:r>
          </w:p>
        </w:tc>
        <w:tc>
          <w:tcPr>
            <w:tcW w:w="1311" w:type="dxa"/>
            <w:tcBorders>
              <w:top w:val="nil"/>
              <w:left w:val="single" w:sz="4" w:space="0" w:color="auto"/>
              <w:bottom w:val="nil"/>
              <w:right w:val="single" w:sz="4" w:space="0" w:color="auto"/>
            </w:tcBorders>
            <w:shd w:val="clear" w:color="auto" w:fill="auto"/>
            <w:noWrap/>
            <w:vAlign w:val="bottom"/>
            <w:hideMark/>
          </w:tcPr>
          <w:p w14:paraId="1F610D88" w14:textId="77777777" w:rsidR="00D215BD" w:rsidRPr="001314CA" w:rsidRDefault="00D215BD" w:rsidP="00D215BD">
            <w:pPr>
              <w:spacing w:before="0"/>
              <w:jc w:val="center"/>
              <w:rPr>
                <w:rFonts w:cs="Calibri"/>
                <w:sz w:val="22"/>
                <w:szCs w:val="22"/>
              </w:rPr>
            </w:pPr>
            <w:r w:rsidRPr="001314CA">
              <w:rPr>
                <w:rFonts w:cs="Calibri"/>
                <w:sz w:val="22"/>
                <w:szCs w:val="22"/>
              </w:rPr>
              <w:t>2015</w:t>
            </w:r>
          </w:p>
        </w:tc>
        <w:tc>
          <w:tcPr>
            <w:tcW w:w="1468" w:type="dxa"/>
            <w:tcBorders>
              <w:top w:val="nil"/>
              <w:left w:val="single" w:sz="4" w:space="0" w:color="auto"/>
              <w:bottom w:val="nil"/>
              <w:right w:val="single" w:sz="4" w:space="0" w:color="auto"/>
            </w:tcBorders>
            <w:shd w:val="clear" w:color="auto" w:fill="auto"/>
            <w:noWrap/>
            <w:vAlign w:val="bottom"/>
            <w:hideMark/>
          </w:tcPr>
          <w:p w14:paraId="6950E22F" w14:textId="77777777" w:rsidR="00D215BD" w:rsidRPr="001314CA" w:rsidRDefault="00D215BD" w:rsidP="00D215BD">
            <w:pPr>
              <w:spacing w:before="0"/>
              <w:jc w:val="right"/>
              <w:rPr>
                <w:rFonts w:cs="Calibri"/>
                <w:sz w:val="22"/>
                <w:szCs w:val="22"/>
              </w:rPr>
            </w:pPr>
            <w:r w:rsidRPr="001314CA">
              <w:rPr>
                <w:rFonts w:cs="Calibri"/>
                <w:sz w:val="22"/>
                <w:szCs w:val="22"/>
              </w:rPr>
              <w:t>2 759,45</w:t>
            </w:r>
          </w:p>
        </w:tc>
        <w:tc>
          <w:tcPr>
            <w:tcW w:w="1333" w:type="dxa"/>
            <w:tcBorders>
              <w:top w:val="nil"/>
              <w:left w:val="single" w:sz="4" w:space="0" w:color="auto"/>
              <w:bottom w:val="nil"/>
              <w:right w:val="single" w:sz="4" w:space="0" w:color="auto"/>
            </w:tcBorders>
            <w:shd w:val="clear" w:color="auto" w:fill="auto"/>
            <w:noWrap/>
            <w:vAlign w:val="bottom"/>
            <w:hideMark/>
          </w:tcPr>
          <w:p w14:paraId="5F0225B9"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706E25B0" w14:textId="77777777" w:rsidR="00D215BD" w:rsidRPr="001314CA" w:rsidRDefault="00D215BD" w:rsidP="00D215BD">
            <w:pPr>
              <w:spacing w:before="0"/>
              <w:jc w:val="right"/>
              <w:rPr>
                <w:rFonts w:cs="Calibri"/>
                <w:sz w:val="22"/>
                <w:szCs w:val="22"/>
              </w:rPr>
            </w:pPr>
            <w:r w:rsidRPr="001314CA">
              <w:rPr>
                <w:rFonts w:cs="Calibri"/>
                <w:sz w:val="22"/>
                <w:szCs w:val="22"/>
              </w:rPr>
              <w:t>2 759,45</w:t>
            </w:r>
          </w:p>
        </w:tc>
      </w:tr>
      <w:tr w:rsidR="00D215BD" w:rsidRPr="001314CA" w14:paraId="6DB3642C" w14:textId="77777777" w:rsidTr="00D215BD">
        <w:trPr>
          <w:trHeight w:val="555"/>
          <w:jc w:val="center"/>
        </w:trPr>
        <w:tc>
          <w:tcPr>
            <w:tcW w:w="4530" w:type="dxa"/>
            <w:tcBorders>
              <w:top w:val="nil"/>
              <w:left w:val="single" w:sz="4" w:space="0" w:color="auto"/>
              <w:bottom w:val="nil"/>
              <w:right w:val="single" w:sz="4" w:space="0" w:color="auto"/>
            </w:tcBorders>
            <w:shd w:val="clear" w:color="auto" w:fill="auto"/>
            <w:vAlign w:val="bottom"/>
            <w:hideMark/>
          </w:tcPr>
          <w:p w14:paraId="7FA64F46"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Institut National de la Poste et des Technologies de l'Information et de la Communication, Alger</w:t>
            </w:r>
          </w:p>
        </w:tc>
        <w:tc>
          <w:tcPr>
            <w:tcW w:w="1311" w:type="dxa"/>
            <w:tcBorders>
              <w:top w:val="nil"/>
              <w:left w:val="single" w:sz="4" w:space="0" w:color="auto"/>
              <w:bottom w:val="nil"/>
              <w:right w:val="single" w:sz="4" w:space="0" w:color="auto"/>
            </w:tcBorders>
            <w:shd w:val="clear" w:color="auto" w:fill="auto"/>
            <w:noWrap/>
            <w:vAlign w:val="bottom"/>
            <w:hideMark/>
          </w:tcPr>
          <w:p w14:paraId="2A3C3AC0" w14:textId="77777777" w:rsidR="00D215BD" w:rsidRPr="001314CA" w:rsidRDefault="00D215BD" w:rsidP="00D215BD">
            <w:pPr>
              <w:spacing w:before="0"/>
              <w:jc w:val="center"/>
              <w:rPr>
                <w:rFonts w:cs="Calibri"/>
                <w:sz w:val="22"/>
                <w:szCs w:val="22"/>
              </w:rPr>
            </w:pPr>
            <w:r w:rsidRPr="001314CA">
              <w:rPr>
                <w:rFonts w:cs="Calibri"/>
                <w:sz w:val="22"/>
                <w:szCs w:val="22"/>
              </w:rPr>
              <w:t>2012-2013</w:t>
            </w:r>
          </w:p>
        </w:tc>
        <w:tc>
          <w:tcPr>
            <w:tcW w:w="1468" w:type="dxa"/>
            <w:tcBorders>
              <w:top w:val="nil"/>
              <w:left w:val="single" w:sz="4" w:space="0" w:color="auto"/>
              <w:bottom w:val="nil"/>
              <w:right w:val="single" w:sz="4" w:space="0" w:color="auto"/>
            </w:tcBorders>
            <w:shd w:val="clear" w:color="auto" w:fill="auto"/>
            <w:noWrap/>
            <w:vAlign w:val="bottom"/>
            <w:hideMark/>
          </w:tcPr>
          <w:p w14:paraId="63A69736" w14:textId="77777777" w:rsidR="00D215BD" w:rsidRPr="001314CA" w:rsidRDefault="00D215BD" w:rsidP="00D215BD">
            <w:pPr>
              <w:spacing w:before="0"/>
              <w:jc w:val="right"/>
              <w:rPr>
                <w:rFonts w:cs="Calibri"/>
                <w:sz w:val="22"/>
                <w:szCs w:val="22"/>
              </w:rPr>
            </w:pPr>
            <w:r w:rsidRPr="001314CA">
              <w:rPr>
                <w:rFonts w:cs="Calibri"/>
                <w:sz w:val="22"/>
                <w:szCs w:val="22"/>
              </w:rPr>
              <w:t>3 661,45</w:t>
            </w:r>
          </w:p>
        </w:tc>
        <w:tc>
          <w:tcPr>
            <w:tcW w:w="1333" w:type="dxa"/>
            <w:tcBorders>
              <w:top w:val="nil"/>
              <w:left w:val="single" w:sz="4" w:space="0" w:color="auto"/>
              <w:bottom w:val="nil"/>
              <w:right w:val="single" w:sz="4" w:space="0" w:color="auto"/>
            </w:tcBorders>
            <w:shd w:val="clear" w:color="auto" w:fill="auto"/>
            <w:noWrap/>
            <w:vAlign w:val="bottom"/>
            <w:hideMark/>
          </w:tcPr>
          <w:p w14:paraId="0903ED0E"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76A9DDEA" w14:textId="77777777" w:rsidR="00D215BD" w:rsidRPr="001314CA" w:rsidRDefault="00D215BD" w:rsidP="00D215BD">
            <w:pPr>
              <w:spacing w:before="0"/>
              <w:jc w:val="right"/>
              <w:rPr>
                <w:rFonts w:cs="Calibri"/>
                <w:sz w:val="22"/>
                <w:szCs w:val="22"/>
              </w:rPr>
            </w:pPr>
            <w:r w:rsidRPr="001314CA">
              <w:rPr>
                <w:rFonts w:cs="Calibri"/>
                <w:sz w:val="22"/>
                <w:szCs w:val="22"/>
              </w:rPr>
              <w:t>3 661,45</w:t>
            </w:r>
          </w:p>
        </w:tc>
      </w:tr>
      <w:tr w:rsidR="00D215BD" w:rsidRPr="001314CA" w14:paraId="7A19636D"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1616EA17"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Wataniya</w:t>
            </w:r>
            <w:proofErr w:type="spellEnd"/>
            <w:r w:rsidRPr="001314CA">
              <w:rPr>
                <w:rFonts w:cs="Calibri"/>
                <w:sz w:val="22"/>
                <w:szCs w:val="22"/>
              </w:rPr>
              <w:t xml:space="preserve"> Telecom Algérie Spa, Alger</w:t>
            </w:r>
          </w:p>
        </w:tc>
        <w:tc>
          <w:tcPr>
            <w:tcW w:w="1311" w:type="dxa"/>
            <w:tcBorders>
              <w:top w:val="nil"/>
              <w:left w:val="single" w:sz="4" w:space="0" w:color="auto"/>
              <w:bottom w:val="nil"/>
              <w:right w:val="single" w:sz="4" w:space="0" w:color="auto"/>
            </w:tcBorders>
            <w:shd w:val="clear" w:color="auto" w:fill="auto"/>
            <w:noWrap/>
            <w:vAlign w:val="bottom"/>
            <w:hideMark/>
          </w:tcPr>
          <w:p w14:paraId="081F42CF" w14:textId="77777777" w:rsidR="00D215BD" w:rsidRPr="001314CA" w:rsidRDefault="00D215BD" w:rsidP="00D215BD">
            <w:pPr>
              <w:spacing w:before="0"/>
              <w:jc w:val="center"/>
              <w:rPr>
                <w:rFonts w:cs="Calibri"/>
                <w:sz w:val="22"/>
                <w:szCs w:val="22"/>
              </w:rPr>
            </w:pPr>
            <w:r w:rsidRPr="001314CA">
              <w:rPr>
                <w:rFonts w:cs="Calibri"/>
                <w:sz w:val="22"/>
                <w:szCs w:val="22"/>
              </w:rPr>
              <w:t>2005-2007</w:t>
            </w:r>
          </w:p>
        </w:tc>
        <w:tc>
          <w:tcPr>
            <w:tcW w:w="1468" w:type="dxa"/>
            <w:tcBorders>
              <w:top w:val="nil"/>
              <w:left w:val="single" w:sz="4" w:space="0" w:color="auto"/>
              <w:bottom w:val="nil"/>
              <w:right w:val="single" w:sz="4" w:space="0" w:color="auto"/>
            </w:tcBorders>
            <w:shd w:val="clear" w:color="auto" w:fill="auto"/>
            <w:noWrap/>
            <w:vAlign w:val="bottom"/>
            <w:hideMark/>
          </w:tcPr>
          <w:p w14:paraId="3252B97F" w14:textId="77777777" w:rsidR="00D215BD" w:rsidRPr="001314CA" w:rsidRDefault="00D215BD" w:rsidP="00D215BD">
            <w:pPr>
              <w:spacing w:before="0"/>
              <w:jc w:val="right"/>
              <w:rPr>
                <w:rFonts w:cs="Calibri"/>
                <w:sz w:val="22"/>
                <w:szCs w:val="22"/>
              </w:rPr>
            </w:pPr>
            <w:r w:rsidRPr="001314CA">
              <w:rPr>
                <w:rFonts w:cs="Calibri"/>
                <w:sz w:val="22"/>
                <w:szCs w:val="22"/>
              </w:rPr>
              <w:t>8 922,90</w:t>
            </w:r>
          </w:p>
        </w:tc>
        <w:tc>
          <w:tcPr>
            <w:tcW w:w="1333" w:type="dxa"/>
            <w:tcBorders>
              <w:top w:val="nil"/>
              <w:left w:val="single" w:sz="4" w:space="0" w:color="auto"/>
              <w:bottom w:val="nil"/>
              <w:right w:val="single" w:sz="4" w:space="0" w:color="auto"/>
            </w:tcBorders>
            <w:shd w:val="clear" w:color="auto" w:fill="auto"/>
            <w:noWrap/>
            <w:vAlign w:val="bottom"/>
            <w:hideMark/>
          </w:tcPr>
          <w:p w14:paraId="2AA2FCC1"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49C733C2" w14:textId="77777777" w:rsidR="00D215BD" w:rsidRPr="001314CA" w:rsidRDefault="00D215BD" w:rsidP="00D215BD">
            <w:pPr>
              <w:spacing w:before="0"/>
              <w:jc w:val="right"/>
              <w:rPr>
                <w:rFonts w:cs="Calibri"/>
                <w:sz w:val="22"/>
                <w:szCs w:val="22"/>
              </w:rPr>
            </w:pPr>
            <w:r w:rsidRPr="001314CA">
              <w:rPr>
                <w:rFonts w:cs="Calibri"/>
                <w:sz w:val="22"/>
                <w:szCs w:val="22"/>
              </w:rPr>
              <w:t>8 922,90</w:t>
            </w:r>
          </w:p>
        </w:tc>
      </w:tr>
      <w:tr w:rsidR="00D215BD" w:rsidRPr="001314CA" w14:paraId="5B28A926"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3B085784"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Australie</w:t>
            </w:r>
          </w:p>
        </w:tc>
        <w:tc>
          <w:tcPr>
            <w:tcW w:w="1311" w:type="dxa"/>
            <w:tcBorders>
              <w:top w:val="nil"/>
              <w:left w:val="single" w:sz="4" w:space="0" w:color="auto"/>
              <w:bottom w:val="nil"/>
              <w:right w:val="single" w:sz="4" w:space="0" w:color="auto"/>
            </w:tcBorders>
            <w:shd w:val="clear" w:color="auto" w:fill="auto"/>
            <w:noWrap/>
            <w:vAlign w:val="bottom"/>
            <w:hideMark/>
          </w:tcPr>
          <w:p w14:paraId="4A1233CD"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375A18F0"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167B8462"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1B926B3C" w14:textId="77777777" w:rsidR="00D215BD" w:rsidRPr="001314CA" w:rsidRDefault="00D215BD" w:rsidP="00D215BD">
            <w:pPr>
              <w:spacing w:before="0"/>
              <w:rPr>
                <w:rFonts w:ascii="Times New Roman" w:hAnsi="Times New Roman"/>
                <w:sz w:val="22"/>
                <w:szCs w:val="22"/>
              </w:rPr>
            </w:pPr>
          </w:p>
        </w:tc>
      </w:tr>
      <w:tr w:rsidR="00D215BD" w:rsidRPr="001314CA" w14:paraId="6349325C"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41EDF42A"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r>
            <w:proofErr w:type="spellStart"/>
            <w:r w:rsidRPr="00513163">
              <w:rPr>
                <w:rFonts w:cs="Calibri"/>
                <w:sz w:val="22"/>
                <w:szCs w:val="22"/>
                <w:lang w:val="en-US"/>
              </w:rPr>
              <w:t>NewSat</w:t>
            </w:r>
            <w:proofErr w:type="spellEnd"/>
            <w:r w:rsidRPr="00513163">
              <w:rPr>
                <w:rFonts w:cs="Calibri"/>
                <w:sz w:val="22"/>
                <w:szCs w:val="22"/>
                <w:lang w:val="en-US"/>
              </w:rPr>
              <w:t xml:space="preserve"> Limited Pty. Ltd., Sydney</w:t>
            </w:r>
          </w:p>
        </w:tc>
        <w:tc>
          <w:tcPr>
            <w:tcW w:w="1311" w:type="dxa"/>
            <w:tcBorders>
              <w:top w:val="nil"/>
              <w:left w:val="single" w:sz="4" w:space="0" w:color="auto"/>
              <w:bottom w:val="nil"/>
              <w:right w:val="single" w:sz="4" w:space="0" w:color="auto"/>
            </w:tcBorders>
            <w:shd w:val="clear" w:color="auto" w:fill="auto"/>
            <w:noWrap/>
            <w:vAlign w:val="bottom"/>
            <w:hideMark/>
          </w:tcPr>
          <w:p w14:paraId="60BCD589" w14:textId="77777777" w:rsidR="00D215BD" w:rsidRPr="001314CA" w:rsidRDefault="00D215BD" w:rsidP="00D215BD">
            <w:pPr>
              <w:spacing w:before="0"/>
              <w:jc w:val="center"/>
              <w:rPr>
                <w:rFonts w:cs="Calibri"/>
                <w:sz w:val="22"/>
                <w:szCs w:val="22"/>
              </w:rPr>
            </w:pPr>
            <w:r w:rsidRPr="001314CA">
              <w:rPr>
                <w:rFonts w:cs="Calibri"/>
                <w:sz w:val="22"/>
                <w:szCs w:val="22"/>
              </w:rPr>
              <w:t>2015</w:t>
            </w:r>
          </w:p>
        </w:tc>
        <w:tc>
          <w:tcPr>
            <w:tcW w:w="1468" w:type="dxa"/>
            <w:tcBorders>
              <w:top w:val="nil"/>
              <w:left w:val="single" w:sz="4" w:space="0" w:color="auto"/>
              <w:bottom w:val="nil"/>
              <w:right w:val="single" w:sz="4" w:space="0" w:color="auto"/>
            </w:tcBorders>
            <w:shd w:val="clear" w:color="auto" w:fill="auto"/>
            <w:noWrap/>
            <w:vAlign w:val="bottom"/>
            <w:hideMark/>
          </w:tcPr>
          <w:p w14:paraId="4758C049" w14:textId="77777777" w:rsidR="00D215BD" w:rsidRPr="001314CA" w:rsidRDefault="00D215BD" w:rsidP="00D215BD">
            <w:pPr>
              <w:spacing w:before="0"/>
              <w:jc w:val="right"/>
              <w:rPr>
                <w:rFonts w:cs="Calibri"/>
                <w:sz w:val="22"/>
                <w:szCs w:val="22"/>
              </w:rPr>
            </w:pPr>
            <w:r w:rsidRPr="001314CA">
              <w:rPr>
                <w:rFonts w:cs="Calibri"/>
                <w:sz w:val="22"/>
                <w:szCs w:val="22"/>
              </w:rPr>
              <w:t>5 300,10</w:t>
            </w:r>
          </w:p>
        </w:tc>
        <w:tc>
          <w:tcPr>
            <w:tcW w:w="1333" w:type="dxa"/>
            <w:tcBorders>
              <w:top w:val="nil"/>
              <w:left w:val="single" w:sz="4" w:space="0" w:color="auto"/>
              <w:bottom w:val="nil"/>
              <w:right w:val="single" w:sz="4" w:space="0" w:color="auto"/>
            </w:tcBorders>
            <w:shd w:val="clear" w:color="auto" w:fill="auto"/>
            <w:noWrap/>
            <w:vAlign w:val="bottom"/>
            <w:hideMark/>
          </w:tcPr>
          <w:p w14:paraId="32D5905B"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460FB2BF" w14:textId="77777777" w:rsidR="00D215BD" w:rsidRPr="001314CA" w:rsidRDefault="00D215BD" w:rsidP="00D215BD">
            <w:pPr>
              <w:spacing w:before="0"/>
              <w:jc w:val="right"/>
              <w:rPr>
                <w:rFonts w:cs="Calibri"/>
                <w:sz w:val="22"/>
                <w:szCs w:val="22"/>
              </w:rPr>
            </w:pPr>
            <w:r w:rsidRPr="001314CA">
              <w:rPr>
                <w:rFonts w:cs="Calibri"/>
                <w:sz w:val="22"/>
                <w:szCs w:val="22"/>
              </w:rPr>
              <w:t>5 300,10</w:t>
            </w:r>
          </w:p>
        </w:tc>
      </w:tr>
      <w:tr w:rsidR="00D215BD" w:rsidRPr="001314CA" w14:paraId="6E18381C"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0A1DDF9F"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Bahamas</w:t>
            </w:r>
          </w:p>
        </w:tc>
        <w:tc>
          <w:tcPr>
            <w:tcW w:w="1311" w:type="dxa"/>
            <w:tcBorders>
              <w:top w:val="nil"/>
              <w:left w:val="single" w:sz="4" w:space="0" w:color="auto"/>
              <w:bottom w:val="nil"/>
              <w:right w:val="single" w:sz="4" w:space="0" w:color="auto"/>
            </w:tcBorders>
            <w:shd w:val="clear" w:color="auto" w:fill="auto"/>
            <w:noWrap/>
            <w:vAlign w:val="bottom"/>
            <w:hideMark/>
          </w:tcPr>
          <w:p w14:paraId="37189554"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452584B1"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4B605796"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4A0CF4CD" w14:textId="77777777" w:rsidR="00D215BD" w:rsidRPr="001314CA" w:rsidRDefault="00D215BD" w:rsidP="00D215BD">
            <w:pPr>
              <w:spacing w:before="0"/>
              <w:rPr>
                <w:rFonts w:ascii="Times New Roman" w:hAnsi="Times New Roman"/>
                <w:sz w:val="22"/>
                <w:szCs w:val="22"/>
              </w:rPr>
            </w:pPr>
          </w:p>
        </w:tc>
      </w:tr>
      <w:tr w:rsidR="00D215BD" w:rsidRPr="001314CA" w14:paraId="27150881" w14:textId="77777777" w:rsidTr="00D215BD">
        <w:trPr>
          <w:trHeight w:val="600"/>
          <w:jc w:val="center"/>
        </w:trPr>
        <w:tc>
          <w:tcPr>
            <w:tcW w:w="4530" w:type="dxa"/>
            <w:tcBorders>
              <w:top w:val="nil"/>
              <w:left w:val="single" w:sz="4" w:space="0" w:color="auto"/>
              <w:bottom w:val="nil"/>
              <w:right w:val="single" w:sz="4" w:space="0" w:color="auto"/>
            </w:tcBorders>
            <w:shd w:val="clear" w:color="auto" w:fill="auto"/>
            <w:vAlign w:val="bottom"/>
            <w:hideMark/>
          </w:tcPr>
          <w:p w14:paraId="322D69A2"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Bahamas Telecommunications </w:t>
            </w:r>
            <w:proofErr w:type="spellStart"/>
            <w:r w:rsidRPr="001314CA">
              <w:rPr>
                <w:rFonts w:cs="Calibri"/>
                <w:sz w:val="22"/>
                <w:szCs w:val="22"/>
              </w:rPr>
              <w:t>Company</w:t>
            </w:r>
            <w:proofErr w:type="spellEnd"/>
            <w:r w:rsidRPr="001314CA">
              <w:rPr>
                <w:rFonts w:cs="Calibri"/>
                <w:sz w:val="22"/>
                <w:szCs w:val="22"/>
              </w:rPr>
              <w:t>, Nassau</w:t>
            </w:r>
          </w:p>
        </w:tc>
        <w:tc>
          <w:tcPr>
            <w:tcW w:w="1311" w:type="dxa"/>
            <w:tcBorders>
              <w:top w:val="nil"/>
              <w:left w:val="single" w:sz="4" w:space="0" w:color="auto"/>
              <w:bottom w:val="nil"/>
              <w:right w:val="single" w:sz="4" w:space="0" w:color="auto"/>
            </w:tcBorders>
            <w:shd w:val="clear" w:color="auto" w:fill="auto"/>
            <w:noWrap/>
            <w:vAlign w:val="bottom"/>
            <w:hideMark/>
          </w:tcPr>
          <w:p w14:paraId="133A2F37" w14:textId="77777777" w:rsidR="00D215BD" w:rsidRPr="001314CA" w:rsidRDefault="00D215BD" w:rsidP="00D215BD">
            <w:pPr>
              <w:spacing w:before="0"/>
              <w:jc w:val="center"/>
              <w:rPr>
                <w:rFonts w:cs="Calibri"/>
                <w:sz w:val="22"/>
                <w:szCs w:val="22"/>
              </w:rPr>
            </w:pPr>
            <w:r w:rsidRPr="001314CA">
              <w:rPr>
                <w:rFonts w:cs="Calibri"/>
                <w:sz w:val="22"/>
                <w:szCs w:val="22"/>
              </w:rPr>
              <w:t>2018-2019</w:t>
            </w:r>
          </w:p>
        </w:tc>
        <w:tc>
          <w:tcPr>
            <w:tcW w:w="1468" w:type="dxa"/>
            <w:tcBorders>
              <w:top w:val="nil"/>
              <w:left w:val="single" w:sz="4" w:space="0" w:color="auto"/>
              <w:bottom w:val="nil"/>
              <w:right w:val="single" w:sz="4" w:space="0" w:color="auto"/>
            </w:tcBorders>
            <w:shd w:val="clear" w:color="auto" w:fill="auto"/>
            <w:noWrap/>
            <w:vAlign w:val="bottom"/>
            <w:hideMark/>
          </w:tcPr>
          <w:p w14:paraId="3A320FC5" w14:textId="77777777" w:rsidR="00D215BD" w:rsidRPr="001314CA" w:rsidRDefault="00D215BD" w:rsidP="00D215BD">
            <w:pPr>
              <w:spacing w:before="0"/>
              <w:jc w:val="right"/>
              <w:rPr>
                <w:rFonts w:cs="Calibri"/>
                <w:sz w:val="22"/>
                <w:szCs w:val="22"/>
              </w:rPr>
            </w:pPr>
            <w:r w:rsidRPr="001314CA">
              <w:rPr>
                <w:rFonts w:cs="Calibri"/>
                <w:sz w:val="22"/>
                <w:szCs w:val="22"/>
              </w:rPr>
              <w:t>75 570,45</w:t>
            </w:r>
          </w:p>
        </w:tc>
        <w:tc>
          <w:tcPr>
            <w:tcW w:w="1333" w:type="dxa"/>
            <w:tcBorders>
              <w:top w:val="nil"/>
              <w:left w:val="single" w:sz="4" w:space="0" w:color="auto"/>
              <w:bottom w:val="nil"/>
              <w:right w:val="single" w:sz="4" w:space="0" w:color="auto"/>
            </w:tcBorders>
            <w:shd w:val="clear" w:color="auto" w:fill="auto"/>
            <w:noWrap/>
            <w:vAlign w:val="bottom"/>
            <w:hideMark/>
          </w:tcPr>
          <w:p w14:paraId="2D93DAA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1C37E33B" w14:textId="77777777" w:rsidR="00D215BD" w:rsidRPr="001314CA" w:rsidRDefault="00D215BD" w:rsidP="00D215BD">
            <w:pPr>
              <w:spacing w:before="0"/>
              <w:jc w:val="right"/>
              <w:rPr>
                <w:rFonts w:cs="Calibri"/>
                <w:sz w:val="22"/>
                <w:szCs w:val="22"/>
              </w:rPr>
            </w:pPr>
            <w:r w:rsidRPr="001314CA">
              <w:rPr>
                <w:rFonts w:cs="Calibri"/>
                <w:sz w:val="22"/>
                <w:szCs w:val="22"/>
              </w:rPr>
              <w:t>75 570,45</w:t>
            </w:r>
          </w:p>
        </w:tc>
      </w:tr>
      <w:tr w:rsidR="00D215BD" w:rsidRPr="001314CA" w14:paraId="0AE8E5CC"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6CF40DEF"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Bahreïn</w:t>
            </w:r>
          </w:p>
        </w:tc>
        <w:tc>
          <w:tcPr>
            <w:tcW w:w="1311" w:type="dxa"/>
            <w:tcBorders>
              <w:top w:val="nil"/>
              <w:left w:val="single" w:sz="4" w:space="0" w:color="auto"/>
              <w:bottom w:val="nil"/>
              <w:right w:val="single" w:sz="4" w:space="0" w:color="auto"/>
            </w:tcBorders>
            <w:shd w:val="clear" w:color="auto" w:fill="auto"/>
            <w:noWrap/>
            <w:vAlign w:val="bottom"/>
            <w:hideMark/>
          </w:tcPr>
          <w:p w14:paraId="69C77831"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245ADF12"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4D2C8543"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40013F5F" w14:textId="77777777" w:rsidR="00D215BD" w:rsidRPr="001314CA" w:rsidRDefault="00D215BD" w:rsidP="00D215BD">
            <w:pPr>
              <w:spacing w:before="0"/>
              <w:rPr>
                <w:rFonts w:ascii="Times New Roman" w:hAnsi="Times New Roman"/>
                <w:sz w:val="22"/>
                <w:szCs w:val="22"/>
              </w:rPr>
            </w:pPr>
          </w:p>
        </w:tc>
      </w:tr>
      <w:tr w:rsidR="00D215BD" w:rsidRPr="001314CA" w14:paraId="4ECC5976" w14:textId="77777777" w:rsidTr="00D215BD">
        <w:trPr>
          <w:trHeight w:val="600"/>
          <w:jc w:val="center"/>
        </w:trPr>
        <w:tc>
          <w:tcPr>
            <w:tcW w:w="4530" w:type="dxa"/>
            <w:tcBorders>
              <w:top w:val="nil"/>
              <w:left w:val="single" w:sz="4" w:space="0" w:color="auto"/>
              <w:bottom w:val="nil"/>
              <w:right w:val="single" w:sz="4" w:space="0" w:color="auto"/>
            </w:tcBorders>
            <w:shd w:val="clear" w:color="auto" w:fill="auto"/>
            <w:vAlign w:val="bottom"/>
            <w:hideMark/>
          </w:tcPr>
          <w:p w14:paraId="23C48520"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Arab </w:t>
            </w:r>
            <w:proofErr w:type="spellStart"/>
            <w:r w:rsidRPr="001314CA">
              <w:rPr>
                <w:rFonts w:cs="Calibri"/>
                <w:sz w:val="22"/>
                <w:szCs w:val="22"/>
              </w:rPr>
              <w:t>Regional</w:t>
            </w:r>
            <w:proofErr w:type="spellEnd"/>
            <w:r w:rsidRPr="001314CA">
              <w:rPr>
                <w:rFonts w:cs="Calibri"/>
                <w:sz w:val="22"/>
                <w:szCs w:val="22"/>
              </w:rPr>
              <w:t xml:space="preserve"> </w:t>
            </w:r>
            <w:proofErr w:type="spellStart"/>
            <w:r w:rsidRPr="001314CA">
              <w:rPr>
                <w:rFonts w:cs="Calibri"/>
                <w:sz w:val="22"/>
                <w:szCs w:val="22"/>
              </w:rPr>
              <w:t>Isps</w:t>
            </w:r>
            <w:proofErr w:type="spellEnd"/>
            <w:r w:rsidRPr="001314CA">
              <w:rPr>
                <w:rFonts w:cs="Calibri"/>
                <w:sz w:val="22"/>
                <w:szCs w:val="22"/>
              </w:rPr>
              <w:t xml:space="preserve"> Association (ARISPA), Manama</w:t>
            </w:r>
          </w:p>
        </w:tc>
        <w:tc>
          <w:tcPr>
            <w:tcW w:w="1311" w:type="dxa"/>
            <w:tcBorders>
              <w:top w:val="nil"/>
              <w:left w:val="single" w:sz="4" w:space="0" w:color="auto"/>
              <w:bottom w:val="nil"/>
              <w:right w:val="single" w:sz="4" w:space="0" w:color="auto"/>
            </w:tcBorders>
            <w:shd w:val="clear" w:color="auto" w:fill="auto"/>
            <w:noWrap/>
            <w:vAlign w:val="bottom"/>
            <w:hideMark/>
          </w:tcPr>
          <w:p w14:paraId="4533D113" w14:textId="77777777" w:rsidR="00D215BD" w:rsidRPr="001314CA" w:rsidRDefault="00D215BD" w:rsidP="00D215BD">
            <w:pPr>
              <w:spacing w:before="0"/>
              <w:jc w:val="center"/>
              <w:rPr>
                <w:rFonts w:cs="Calibri"/>
                <w:sz w:val="22"/>
                <w:szCs w:val="22"/>
              </w:rPr>
            </w:pPr>
            <w:r w:rsidRPr="001314CA">
              <w:rPr>
                <w:rFonts w:cs="Calibri"/>
                <w:sz w:val="22"/>
                <w:szCs w:val="22"/>
              </w:rPr>
              <w:t>2009</w:t>
            </w:r>
          </w:p>
        </w:tc>
        <w:tc>
          <w:tcPr>
            <w:tcW w:w="1468" w:type="dxa"/>
            <w:tcBorders>
              <w:top w:val="nil"/>
              <w:left w:val="single" w:sz="4" w:space="0" w:color="auto"/>
              <w:bottom w:val="nil"/>
              <w:right w:val="single" w:sz="4" w:space="0" w:color="auto"/>
            </w:tcBorders>
            <w:shd w:val="clear" w:color="auto" w:fill="auto"/>
            <w:noWrap/>
            <w:vAlign w:val="bottom"/>
            <w:hideMark/>
          </w:tcPr>
          <w:p w14:paraId="6FE8A56F" w14:textId="77777777" w:rsidR="00D215BD" w:rsidRPr="001314CA" w:rsidRDefault="00D215BD" w:rsidP="00D215BD">
            <w:pPr>
              <w:spacing w:before="0"/>
              <w:jc w:val="right"/>
              <w:rPr>
                <w:rFonts w:cs="Calibri"/>
                <w:sz w:val="22"/>
                <w:szCs w:val="22"/>
              </w:rPr>
            </w:pPr>
            <w:r w:rsidRPr="001314CA">
              <w:rPr>
                <w:rFonts w:cs="Calibri"/>
                <w:sz w:val="22"/>
                <w:szCs w:val="22"/>
              </w:rPr>
              <w:t>7 828,75</w:t>
            </w:r>
          </w:p>
        </w:tc>
        <w:tc>
          <w:tcPr>
            <w:tcW w:w="1333" w:type="dxa"/>
            <w:tcBorders>
              <w:top w:val="nil"/>
              <w:left w:val="single" w:sz="4" w:space="0" w:color="auto"/>
              <w:bottom w:val="nil"/>
              <w:right w:val="single" w:sz="4" w:space="0" w:color="auto"/>
            </w:tcBorders>
            <w:shd w:val="clear" w:color="auto" w:fill="auto"/>
            <w:noWrap/>
            <w:vAlign w:val="bottom"/>
            <w:hideMark/>
          </w:tcPr>
          <w:p w14:paraId="4B1F83DE"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1312AEE6" w14:textId="77777777" w:rsidR="00D215BD" w:rsidRPr="001314CA" w:rsidRDefault="00D215BD" w:rsidP="00D215BD">
            <w:pPr>
              <w:spacing w:before="0"/>
              <w:jc w:val="right"/>
              <w:rPr>
                <w:rFonts w:cs="Calibri"/>
                <w:sz w:val="22"/>
                <w:szCs w:val="22"/>
              </w:rPr>
            </w:pPr>
            <w:r w:rsidRPr="001314CA">
              <w:rPr>
                <w:rFonts w:cs="Calibri"/>
                <w:sz w:val="22"/>
                <w:szCs w:val="22"/>
              </w:rPr>
              <w:t>7 828,75</w:t>
            </w:r>
          </w:p>
        </w:tc>
      </w:tr>
      <w:tr w:rsidR="00D215BD" w:rsidRPr="001314CA" w14:paraId="26973281"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1090EEA5"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Gateway Gulf LLC, Manama</w:t>
            </w:r>
          </w:p>
        </w:tc>
        <w:tc>
          <w:tcPr>
            <w:tcW w:w="1311" w:type="dxa"/>
            <w:tcBorders>
              <w:top w:val="nil"/>
              <w:left w:val="single" w:sz="4" w:space="0" w:color="auto"/>
              <w:bottom w:val="nil"/>
              <w:right w:val="single" w:sz="4" w:space="0" w:color="auto"/>
            </w:tcBorders>
            <w:shd w:val="clear" w:color="auto" w:fill="auto"/>
            <w:noWrap/>
            <w:vAlign w:val="bottom"/>
            <w:hideMark/>
          </w:tcPr>
          <w:p w14:paraId="231FDD33" w14:textId="77777777" w:rsidR="00D215BD" w:rsidRPr="001314CA" w:rsidRDefault="00D215BD" w:rsidP="00D215BD">
            <w:pPr>
              <w:spacing w:before="0"/>
              <w:jc w:val="center"/>
              <w:rPr>
                <w:rFonts w:cs="Calibri"/>
                <w:sz w:val="22"/>
                <w:szCs w:val="22"/>
              </w:rPr>
            </w:pPr>
            <w:r w:rsidRPr="001314CA">
              <w:rPr>
                <w:rFonts w:cs="Calibri"/>
                <w:sz w:val="22"/>
                <w:szCs w:val="22"/>
              </w:rPr>
              <w:t>2010</w:t>
            </w:r>
          </w:p>
        </w:tc>
        <w:tc>
          <w:tcPr>
            <w:tcW w:w="1468" w:type="dxa"/>
            <w:tcBorders>
              <w:top w:val="nil"/>
              <w:left w:val="single" w:sz="4" w:space="0" w:color="auto"/>
              <w:bottom w:val="nil"/>
              <w:right w:val="single" w:sz="4" w:space="0" w:color="auto"/>
            </w:tcBorders>
            <w:shd w:val="clear" w:color="auto" w:fill="auto"/>
            <w:noWrap/>
            <w:vAlign w:val="bottom"/>
            <w:hideMark/>
          </w:tcPr>
          <w:p w14:paraId="1875BC48" w14:textId="77777777" w:rsidR="00D215BD" w:rsidRPr="001314CA" w:rsidRDefault="00D215BD" w:rsidP="00D215BD">
            <w:pPr>
              <w:spacing w:before="0"/>
              <w:jc w:val="right"/>
              <w:rPr>
                <w:rFonts w:cs="Calibri"/>
                <w:sz w:val="22"/>
                <w:szCs w:val="22"/>
              </w:rPr>
            </w:pPr>
            <w:r w:rsidRPr="001314CA">
              <w:rPr>
                <w:rFonts w:cs="Calibri"/>
                <w:sz w:val="22"/>
                <w:szCs w:val="22"/>
              </w:rPr>
              <w:t>7 385,60</w:t>
            </w:r>
          </w:p>
        </w:tc>
        <w:tc>
          <w:tcPr>
            <w:tcW w:w="1333" w:type="dxa"/>
            <w:tcBorders>
              <w:top w:val="nil"/>
              <w:left w:val="single" w:sz="4" w:space="0" w:color="auto"/>
              <w:bottom w:val="nil"/>
              <w:right w:val="single" w:sz="4" w:space="0" w:color="auto"/>
            </w:tcBorders>
            <w:shd w:val="clear" w:color="auto" w:fill="auto"/>
            <w:noWrap/>
            <w:vAlign w:val="bottom"/>
            <w:hideMark/>
          </w:tcPr>
          <w:p w14:paraId="77C4C5F5"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52EB43DC" w14:textId="77777777" w:rsidR="00D215BD" w:rsidRPr="001314CA" w:rsidRDefault="00D215BD" w:rsidP="00D215BD">
            <w:pPr>
              <w:spacing w:before="0"/>
              <w:jc w:val="right"/>
              <w:rPr>
                <w:rFonts w:cs="Calibri"/>
                <w:sz w:val="22"/>
                <w:szCs w:val="22"/>
              </w:rPr>
            </w:pPr>
            <w:r w:rsidRPr="001314CA">
              <w:rPr>
                <w:rFonts w:cs="Calibri"/>
                <w:sz w:val="22"/>
                <w:szCs w:val="22"/>
              </w:rPr>
              <w:t>7 385,60</w:t>
            </w:r>
          </w:p>
        </w:tc>
      </w:tr>
      <w:tr w:rsidR="00D215BD" w:rsidRPr="001314CA" w14:paraId="3019DB27"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117941B4"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Bangladesh</w:t>
            </w:r>
          </w:p>
        </w:tc>
        <w:tc>
          <w:tcPr>
            <w:tcW w:w="1311" w:type="dxa"/>
            <w:tcBorders>
              <w:top w:val="nil"/>
              <w:left w:val="single" w:sz="4" w:space="0" w:color="auto"/>
              <w:bottom w:val="nil"/>
              <w:right w:val="single" w:sz="4" w:space="0" w:color="auto"/>
            </w:tcBorders>
            <w:shd w:val="clear" w:color="auto" w:fill="auto"/>
            <w:noWrap/>
            <w:vAlign w:val="bottom"/>
            <w:hideMark/>
          </w:tcPr>
          <w:p w14:paraId="73DA4AC3"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187319C5"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12B06905"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14B99F1D" w14:textId="77777777" w:rsidR="00D215BD" w:rsidRPr="001314CA" w:rsidRDefault="00D215BD" w:rsidP="00D215BD">
            <w:pPr>
              <w:spacing w:before="0"/>
              <w:rPr>
                <w:rFonts w:ascii="Times New Roman" w:hAnsi="Times New Roman"/>
                <w:sz w:val="22"/>
                <w:szCs w:val="22"/>
              </w:rPr>
            </w:pPr>
          </w:p>
        </w:tc>
      </w:tr>
      <w:tr w:rsidR="00D215BD" w:rsidRPr="001314CA" w14:paraId="1BCE02A8"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6AF922CF"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Daffodil</w:t>
            </w:r>
            <w:proofErr w:type="spellEnd"/>
            <w:r w:rsidRPr="001314CA">
              <w:rPr>
                <w:rFonts w:cs="Calibri"/>
                <w:sz w:val="22"/>
                <w:szCs w:val="22"/>
              </w:rPr>
              <w:t xml:space="preserve"> International </w:t>
            </w:r>
            <w:proofErr w:type="spellStart"/>
            <w:r w:rsidRPr="001314CA">
              <w:rPr>
                <w:rFonts w:cs="Calibri"/>
                <w:sz w:val="22"/>
                <w:szCs w:val="22"/>
              </w:rPr>
              <w:t>University</w:t>
            </w:r>
            <w:proofErr w:type="spellEnd"/>
            <w:r w:rsidRPr="001314CA">
              <w:rPr>
                <w:rFonts w:cs="Calibri"/>
                <w:sz w:val="22"/>
                <w:szCs w:val="22"/>
              </w:rPr>
              <w:t>, Dhaka</w:t>
            </w:r>
          </w:p>
        </w:tc>
        <w:tc>
          <w:tcPr>
            <w:tcW w:w="1311" w:type="dxa"/>
            <w:tcBorders>
              <w:top w:val="nil"/>
              <w:left w:val="single" w:sz="4" w:space="0" w:color="auto"/>
              <w:bottom w:val="nil"/>
              <w:right w:val="single" w:sz="4" w:space="0" w:color="auto"/>
            </w:tcBorders>
            <w:shd w:val="clear" w:color="auto" w:fill="auto"/>
            <w:noWrap/>
            <w:vAlign w:val="bottom"/>
            <w:hideMark/>
          </w:tcPr>
          <w:p w14:paraId="72B94F84"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4A2C5F95"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c>
          <w:tcPr>
            <w:tcW w:w="1333" w:type="dxa"/>
            <w:tcBorders>
              <w:top w:val="nil"/>
              <w:left w:val="single" w:sz="4" w:space="0" w:color="auto"/>
              <w:bottom w:val="nil"/>
              <w:right w:val="single" w:sz="4" w:space="0" w:color="auto"/>
            </w:tcBorders>
            <w:shd w:val="clear" w:color="auto" w:fill="auto"/>
            <w:noWrap/>
            <w:vAlign w:val="bottom"/>
            <w:hideMark/>
          </w:tcPr>
          <w:p w14:paraId="235BAED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0F506F64"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r>
      <w:tr w:rsidR="00D215BD" w:rsidRPr="001314CA" w14:paraId="6C152E0D"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4948AAC4"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Burundi</w:t>
            </w:r>
          </w:p>
        </w:tc>
        <w:tc>
          <w:tcPr>
            <w:tcW w:w="1311" w:type="dxa"/>
            <w:tcBorders>
              <w:top w:val="nil"/>
              <w:left w:val="single" w:sz="4" w:space="0" w:color="auto"/>
              <w:bottom w:val="nil"/>
              <w:right w:val="single" w:sz="4" w:space="0" w:color="auto"/>
            </w:tcBorders>
            <w:shd w:val="clear" w:color="auto" w:fill="auto"/>
            <w:noWrap/>
            <w:vAlign w:val="bottom"/>
            <w:hideMark/>
          </w:tcPr>
          <w:p w14:paraId="03CC02D7"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44959938"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3A23CC24"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0A5B4FE8" w14:textId="77777777" w:rsidR="00D215BD" w:rsidRPr="001314CA" w:rsidRDefault="00D215BD" w:rsidP="00D215BD">
            <w:pPr>
              <w:spacing w:before="0"/>
              <w:rPr>
                <w:rFonts w:ascii="Times New Roman" w:hAnsi="Times New Roman"/>
                <w:sz w:val="22"/>
                <w:szCs w:val="22"/>
              </w:rPr>
            </w:pPr>
          </w:p>
        </w:tc>
      </w:tr>
      <w:tr w:rsidR="00D215BD" w:rsidRPr="001314CA" w14:paraId="4CCB5E81"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0394A076"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Econet</w:t>
            </w:r>
            <w:proofErr w:type="spellEnd"/>
            <w:r w:rsidRPr="001314CA">
              <w:rPr>
                <w:rFonts w:cs="Calibri"/>
                <w:sz w:val="22"/>
                <w:szCs w:val="22"/>
              </w:rPr>
              <w:t xml:space="preserve"> Leo SA, Bujumbura</w:t>
            </w:r>
          </w:p>
        </w:tc>
        <w:tc>
          <w:tcPr>
            <w:tcW w:w="1311" w:type="dxa"/>
            <w:tcBorders>
              <w:top w:val="nil"/>
              <w:left w:val="single" w:sz="4" w:space="0" w:color="auto"/>
              <w:bottom w:val="nil"/>
              <w:right w:val="single" w:sz="4" w:space="0" w:color="auto"/>
            </w:tcBorders>
            <w:shd w:val="clear" w:color="auto" w:fill="auto"/>
            <w:noWrap/>
            <w:vAlign w:val="bottom"/>
            <w:hideMark/>
          </w:tcPr>
          <w:p w14:paraId="77DC8C88"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63082A0D" w14:textId="77777777" w:rsidR="00D215BD" w:rsidRPr="001314CA" w:rsidRDefault="00D215BD" w:rsidP="00D215BD">
            <w:pPr>
              <w:spacing w:before="0"/>
              <w:jc w:val="right"/>
              <w:rPr>
                <w:rFonts w:cs="Calibri"/>
                <w:sz w:val="22"/>
                <w:szCs w:val="22"/>
              </w:rPr>
            </w:pPr>
            <w:r w:rsidRPr="001314CA">
              <w:rPr>
                <w:rFonts w:cs="Calibri"/>
                <w:sz w:val="22"/>
                <w:szCs w:val="22"/>
              </w:rPr>
              <w:t>4 500,00</w:t>
            </w:r>
          </w:p>
        </w:tc>
        <w:tc>
          <w:tcPr>
            <w:tcW w:w="1333" w:type="dxa"/>
            <w:tcBorders>
              <w:top w:val="nil"/>
              <w:left w:val="single" w:sz="4" w:space="0" w:color="auto"/>
              <w:bottom w:val="nil"/>
              <w:right w:val="single" w:sz="4" w:space="0" w:color="auto"/>
            </w:tcBorders>
            <w:shd w:val="clear" w:color="auto" w:fill="auto"/>
            <w:noWrap/>
            <w:vAlign w:val="bottom"/>
            <w:hideMark/>
          </w:tcPr>
          <w:p w14:paraId="4B421D3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4268E2A3" w14:textId="77777777" w:rsidR="00D215BD" w:rsidRPr="001314CA" w:rsidRDefault="00D215BD" w:rsidP="00D215BD">
            <w:pPr>
              <w:spacing w:before="0"/>
              <w:jc w:val="right"/>
              <w:rPr>
                <w:rFonts w:cs="Calibri"/>
                <w:sz w:val="22"/>
                <w:szCs w:val="22"/>
              </w:rPr>
            </w:pPr>
            <w:r w:rsidRPr="001314CA">
              <w:rPr>
                <w:rFonts w:cs="Calibri"/>
                <w:sz w:val="22"/>
                <w:szCs w:val="22"/>
              </w:rPr>
              <w:t>4 500,00</w:t>
            </w:r>
          </w:p>
        </w:tc>
      </w:tr>
      <w:tr w:rsidR="00D215BD" w:rsidRPr="001314CA" w14:paraId="26123D3C" w14:textId="77777777" w:rsidTr="00D215BD">
        <w:trPr>
          <w:trHeight w:val="600"/>
          <w:jc w:val="center"/>
        </w:trPr>
        <w:tc>
          <w:tcPr>
            <w:tcW w:w="4530" w:type="dxa"/>
            <w:tcBorders>
              <w:top w:val="nil"/>
              <w:left w:val="single" w:sz="4" w:space="0" w:color="auto"/>
              <w:bottom w:val="nil"/>
              <w:right w:val="single" w:sz="4" w:space="0" w:color="auto"/>
            </w:tcBorders>
            <w:shd w:val="clear" w:color="auto" w:fill="auto"/>
            <w:vAlign w:val="bottom"/>
            <w:hideMark/>
          </w:tcPr>
          <w:p w14:paraId="30F56C28"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Office national des télécommunications du Burundi, Bujumbura </w:t>
            </w:r>
          </w:p>
        </w:tc>
        <w:tc>
          <w:tcPr>
            <w:tcW w:w="1311" w:type="dxa"/>
            <w:tcBorders>
              <w:top w:val="nil"/>
              <w:left w:val="single" w:sz="4" w:space="0" w:color="auto"/>
              <w:bottom w:val="nil"/>
              <w:right w:val="single" w:sz="4" w:space="0" w:color="auto"/>
            </w:tcBorders>
            <w:shd w:val="clear" w:color="auto" w:fill="auto"/>
            <w:noWrap/>
            <w:vAlign w:val="bottom"/>
            <w:hideMark/>
          </w:tcPr>
          <w:p w14:paraId="52430695" w14:textId="77777777" w:rsidR="00D215BD" w:rsidRPr="001314CA" w:rsidRDefault="00D215BD" w:rsidP="00D215BD">
            <w:pPr>
              <w:spacing w:before="0"/>
              <w:jc w:val="center"/>
              <w:rPr>
                <w:rFonts w:cs="Calibri"/>
                <w:sz w:val="22"/>
                <w:szCs w:val="22"/>
              </w:rPr>
            </w:pPr>
            <w:r w:rsidRPr="001314CA">
              <w:rPr>
                <w:rFonts w:cs="Calibri"/>
                <w:sz w:val="22"/>
                <w:szCs w:val="22"/>
              </w:rPr>
              <w:t>2015-2019</w:t>
            </w:r>
          </w:p>
        </w:tc>
        <w:tc>
          <w:tcPr>
            <w:tcW w:w="1468" w:type="dxa"/>
            <w:tcBorders>
              <w:top w:val="nil"/>
              <w:left w:val="single" w:sz="4" w:space="0" w:color="auto"/>
              <w:bottom w:val="nil"/>
              <w:right w:val="single" w:sz="4" w:space="0" w:color="auto"/>
            </w:tcBorders>
            <w:shd w:val="clear" w:color="auto" w:fill="auto"/>
            <w:noWrap/>
            <w:vAlign w:val="bottom"/>
            <w:hideMark/>
          </w:tcPr>
          <w:p w14:paraId="706069FA" w14:textId="77777777" w:rsidR="00D215BD" w:rsidRPr="001314CA" w:rsidRDefault="00D215BD" w:rsidP="00D215BD">
            <w:pPr>
              <w:spacing w:before="0"/>
              <w:jc w:val="right"/>
              <w:rPr>
                <w:rFonts w:cs="Calibri"/>
                <w:sz w:val="22"/>
                <w:szCs w:val="22"/>
              </w:rPr>
            </w:pPr>
            <w:r w:rsidRPr="001314CA">
              <w:rPr>
                <w:rFonts w:cs="Calibri"/>
                <w:sz w:val="22"/>
                <w:szCs w:val="22"/>
              </w:rPr>
              <w:t>4 532,45</w:t>
            </w:r>
          </w:p>
        </w:tc>
        <w:tc>
          <w:tcPr>
            <w:tcW w:w="1333" w:type="dxa"/>
            <w:tcBorders>
              <w:top w:val="nil"/>
              <w:left w:val="single" w:sz="4" w:space="0" w:color="auto"/>
              <w:bottom w:val="nil"/>
              <w:right w:val="single" w:sz="4" w:space="0" w:color="auto"/>
            </w:tcBorders>
            <w:shd w:val="clear" w:color="auto" w:fill="auto"/>
            <w:noWrap/>
            <w:vAlign w:val="bottom"/>
            <w:hideMark/>
          </w:tcPr>
          <w:p w14:paraId="3DCE9295"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38DA3439" w14:textId="77777777" w:rsidR="00D215BD" w:rsidRPr="001314CA" w:rsidRDefault="00D215BD" w:rsidP="00D215BD">
            <w:pPr>
              <w:spacing w:before="0"/>
              <w:jc w:val="right"/>
              <w:rPr>
                <w:rFonts w:cs="Calibri"/>
                <w:sz w:val="22"/>
                <w:szCs w:val="22"/>
              </w:rPr>
            </w:pPr>
            <w:r w:rsidRPr="001314CA">
              <w:rPr>
                <w:rFonts w:cs="Calibri"/>
                <w:sz w:val="22"/>
                <w:szCs w:val="22"/>
              </w:rPr>
              <w:t>4 532,45</w:t>
            </w:r>
          </w:p>
        </w:tc>
      </w:tr>
      <w:tr w:rsidR="00D215BD" w:rsidRPr="001314CA" w14:paraId="660C8698"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24C3E810"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Burkina Faso</w:t>
            </w:r>
          </w:p>
        </w:tc>
        <w:tc>
          <w:tcPr>
            <w:tcW w:w="1311" w:type="dxa"/>
            <w:tcBorders>
              <w:top w:val="nil"/>
              <w:left w:val="single" w:sz="4" w:space="0" w:color="auto"/>
              <w:bottom w:val="nil"/>
              <w:right w:val="single" w:sz="4" w:space="0" w:color="auto"/>
            </w:tcBorders>
            <w:shd w:val="clear" w:color="auto" w:fill="auto"/>
            <w:noWrap/>
            <w:vAlign w:val="bottom"/>
            <w:hideMark/>
          </w:tcPr>
          <w:p w14:paraId="0AAA694F"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4696B7B7"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1F12D447"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306677BE" w14:textId="77777777" w:rsidR="00D215BD" w:rsidRPr="001314CA" w:rsidRDefault="00D215BD" w:rsidP="00D215BD">
            <w:pPr>
              <w:spacing w:before="0"/>
              <w:rPr>
                <w:rFonts w:ascii="Times New Roman" w:hAnsi="Times New Roman"/>
                <w:sz w:val="22"/>
                <w:szCs w:val="22"/>
              </w:rPr>
            </w:pPr>
          </w:p>
        </w:tc>
      </w:tr>
      <w:tr w:rsidR="00D215BD" w:rsidRPr="001314CA" w14:paraId="0344A3D9"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09945581"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ONATEL, Ouagadougou</w:t>
            </w:r>
          </w:p>
        </w:tc>
        <w:tc>
          <w:tcPr>
            <w:tcW w:w="1311" w:type="dxa"/>
            <w:tcBorders>
              <w:top w:val="nil"/>
              <w:left w:val="single" w:sz="4" w:space="0" w:color="auto"/>
              <w:bottom w:val="nil"/>
              <w:right w:val="single" w:sz="4" w:space="0" w:color="auto"/>
            </w:tcBorders>
            <w:shd w:val="clear" w:color="auto" w:fill="auto"/>
            <w:noWrap/>
            <w:vAlign w:val="bottom"/>
            <w:hideMark/>
          </w:tcPr>
          <w:p w14:paraId="1AA0F900"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2C7D4540" w14:textId="77777777" w:rsidR="00D215BD" w:rsidRPr="001314CA" w:rsidRDefault="00D215BD" w:rsidP="00D215BD">
            <w:pPr>
              <w:spacing w:before="0"/>
              <w:jc w:val="right"/>
              <w:rPr>
                <w:rFonts w:cs="Calibri"/>
                <w:sz w:val="22"/>
                <w:szCs w:val="22"/>
              </w:rPr>
            </w:pPr>
            <w:r w:rsidRPr="001314CA">
              <w:rPr>
                <w:rFonts w:cs="Calibri"/>
                <w:sz w:val="22"/>
                <w:szCs w:val="22"/>
              </w:rPr>
              <w:t>4 371,50</w:t>
            </w:r>
          </w:p>
        </w:tc>
        <w:tc>
          <w:tcPr>
            <w:tcW w:w="1333" w:type="dxa"/>
            <w:tcBorders>
              <w:top w:val="nil"/>
              <w:left w:val="single" w:sz="4" w:space="0" w:color="auto"/>
              <w:bottom w:val="nil"/>
              <w:right w:val="single" w:sz="4" w:space="0" w:color="auto"/>
            </w:tcBorders>
            <w:shd w:val="clear" w:color="auto" w:fill="auto"/>
            <w:noWrap/>
            <w:vAlign w:val="bottom"/>
            <w:hideMark/>
          </w:tcPr>
          <w:p w14:paraId="5CD67054"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29A03CAE" w14:textId="77777777" w:rsidR="00D215BD" w:rsidRPr="001314CA" w:rsidRDefault="00D215BD" w:rsidP="00D215BD">
            <w:pPr>
              <w:spacing w:before="0"/>
              <w:jc w:val="right"/>
              <w:rPr>
                <w:rFonts w:cs="Calibri"/>
                <w:sz w:val="22"/>
                <w:szCs w:val="22"/>
              </w:rPr>
            </w:pPr>
            <w:r w:rsidRPr="001314CA">
              <w:rPr>
                <w:rFonts w:cs="Calibri"/>
                <w:sz w:val="22"/>
                <w:szCs w:val="22"/>
              </w:rPr>
              <w:t>4 371,50</w:t>
            </w:r>
          </w:p>
        </w:tc>
      </w:tr>
      <w:tr w:rsidR="00D215BD" w:rsidRPr="001314CA" w14:paraId="3B84BD42"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7B4E7DFE"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Chine (République populaire de)</w:t>
            </w:r>
          </w:p>
        </w:tc>
        <w:tc>
          <w:tcPr>
            <w:tcW w:w="1311" w:type="dxa"/>
            <w:tcBorders>
              <w:top w:val="nil"/>
              <w:left w:val="single" w:sz="4" w:space="0" w:color="auto"/>
              <w:bottom w:val="nil"/>
              <w:right w:val="single" w:sz="4" w:space="0" w:color="auto"/>
            </w:tcBorders>
            <w:shd w:val="clear" w:color="auto" w:fill="auto"/>
            <w:noWrap/>
            <w:vAlign w:val="bottom"/>
            <w:hideMark/>
          </w:tcPr>
          <w:p w14:paraId="0D446207"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13716E8D"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01AAE00F"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136241D8" w14:textId="77777777" w:rsidR="00D215BD" w:rsidRPr="001314CA" w:rsidRDefault="00D215BD" w:rsidP="00D215BD">
            <w:pPr>
              <w:spacing w:before="0"/>
              <w:rPr>
                <w:rFonts w:ascii="Times New Roman" w:hAnsi="Times New Roman"/>
                <w:sz w:val="22"/>
                <w:szCs w:val="22"/>
              </w:rPr>
            </w:pPr>
          </w:p>
        </w:tc>
      </w:tr>
      <w:tr w:rsidR="00D215BD" w:rsidRPr="001314CA" w14:paraId="3010A7DC"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6E5D69E3"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PCCW Limited, Hong Kong</w:t>
            </w:r>
          </w:p>
        </w:tc>
        <w:tc>
          <w:tcPr>
            <w:tcW w:w="1311" w:type="dxa"/>
            <w:tcBorders>
              <w:top w:val="nil"/>
              <w:left w:val="single" w:sz="4" w:space="0" w:color="auto"/>
              <w:bottom w:val="nil"/>
              <w:right w:val="single" w:sz="4" w:space="0" w:color="auto"/>
            </w:tcBorders>
            <w:shd w:val="clear" w:color="auto" w:fill="auto"/>
            <w:noWrap/>
            <w:vAlign w:val="bottom"/>
            <w:hideMark/>
          </w:tcPr>
          <w:p w14:paraId="10B40C4C" w14:textId="77777777" w:rsidR="00D215BD" w:rsidRPr="001314CA" w:rsidRDefault="00D215BD" w:rsidP="00D215BD">
            <w:pPr>
              <w:spacing w:before="0"/>
              <w:jc w:val="center"/>
              <w:rPr>
                <w:rFonts w:cs="Calibri"/>
                <w:sz w:val="22"/>
                <w:szCs w:val="22"/>
              </w:rPr>
            </w:pPr>
            <w:r w:rsidRPr="001314CA">
              <w:rPr>
                <w:rFonts w:cs="Calibri"/>
                <w:sz w:val="22"/>
                <w:szCs w:val="22"/>
              </w:rPr>
              <w:t>2002-2006</w:t>
            </w:r>
          </w:p>
        </w:tc>
        <w:tc>
          <w:tcPr>
            <w:tcW w:w="1468" w:type="dxa"/>
            <w:tcBorders>
              <w:top w:val="nil"/>
              <w:left w:val="single" w:sz="4" w:space="0" w:color="auto"/>
              <w:bottom w:val="nil"/>
              <w:right w:val="single" w:sz="4" w:space="0" w:color="auto"/>
            </w:tcBorders>
            <w:shd w:val="clear" w:color="auto" w:fill="auto"/>
            <w:noWrap/>
            <w:vAlign w:val="bottom"/>
            <w:hideMark/>
          </w:tcPr>
          <w:p w14:paraId="66488990" w14:textId="77777777" w:rsidR="00D215BD" w:rsidRPr="001314CA" w:rsidRDefault="00D215BD" w:rsidP="00D215BD">
            <w:pPr>
              <w:spacing w:before="0"/>
              <w:jc w:val="right"/>
              <w:rPr>
                <w:rFonts w:cs="Calibri"/>
                <w:sz w:val="22"/>
                <w:szCs w:val="22"/>
              </w:rPr>
            </w:pPr>
            <w:r w:rsidRPr="001314CA">
              <w:rPr>
                <w:rFonts w:cs="Calibri"/>
                <w:sz w:val="22"/>
                <w:szCs w:val="22"/>
              </w:rPr>
              <w:t>1 139 320,20</w:t>
            </w:r>
          </w:p>
        </w:tc>
        <w:tc>
          <w:tcPr>
            <w:tcW w:w="1333" w:type="dxa"/>
            <w:tcBorders>
              <w:top w:val="nil"/>
              <w:left w:val="single" w:sz="4" w:space="0" w:color="auto"/>
              <w:bottom w:val="nil"/>
              <w:right w:val="single" w:sz="4" w:space="0" w:color="auto"/>
            </w:tcBorders>
            <w:shd w:val="clear" w:color="auto" w:fill="auto"/>
            <w:noWrap/>
            <w:vAlign w:val="bottom"/>
            <w:hideMark/>
          </w:tcPr>
          <w:p w14:paraId="07D23DD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279C3E59" w14:textId="77777777" w:rsidR="00D215BD" w:rsidRPr="001314CA" w:rsidRDefault="00D215BD" w:rsidP="00D215BD">
            <w:pPr>
              <w:spacing w:before="0"/>
              <w:jc w:val="right"/>
              <w:rPr>
                <w:rFonts w:cs="Calibri"/>
                <w:sz w:val="22"/>
                <w:szCs w:val="22"/>
              </w:rPr>
            </w:pPr>
            <w:r w:rsidRPr="001314CA">
              <w:rPr>
                <w:rFonts w:cs="Calibri"/>
                <w:sz w:val="22"/>
                <w:szCs w:val="22"/>
              </w:rPr>
              <w:t>1 139 320,20</w:t>
            </w:r>
          </w:p>
        </w:tc>
      </w:tr>
      <w:tr w:rsidR="00D215BD" w:rsidRPr="001314CA" w14:paraId="51D9350A"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0A04805C"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Colombie</w:t>
            </w:r>
          </w:p>
        </w:tc>
        <w:tc>
          <w:tcPr>
            <w:tcW w:w="1311" w:type="dxa"/>
            <w:tcBorders>
              <w:top w:val="nil"/>
              <w:left w:val="single" w:sz="4" w:space="0" w:color="auto"/>
              <w:bottom w:val="nil"/>
              <w:right w:val="single" w:sz="4" w:space="0" w:color="auto"/>
            </w:tcBorders>
            <w:shd w:val="clear" w:color="auto" w:fill="auto"/>
            <w:noWrap/>
            <w:vAlign w:val="bottom"/>
            <w:hideMark/>
          </w:tcPr>
          <w:p w14:paraId="69BD104D"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152753BC"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20C40D25"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1C39009D" w14:textId="77777777" w:rsidR="00D215BD" w:rsidRPr="001314CA" w:rsidRDefault="00D215BD" w:rsidP="00D215BD">
            <w:pPr>
              <w:spacing w:before="0"/>
              <w:rPr>
                <w:rFonts w:ascii="Times New Roman" w:hAnsi="Times New Roman"/>
                <w:sz w:val="22"/>
                <w:szCs w:val="22"/>
              </w:rPr>
            </w:pPr>
          </w:p>
        </w:tc>
      </w:tr>
      <w:tr w:rsidR="00D215BD" w:rsidRPr="001314CA" w14:paraId="5AB863C3"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14D4AEB5"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Université ICESI, Cali</w:t>
            </w:r>
          </w:p>
        </w:tc>
        <w:tc>
          <w:tcPr>
            <w:tcW w:w="1311" w:type="dxa"/>
            <w:tcBorders>
              <w:top w:val="nil"/>
              <w:left w:val="single" w:sz="4" w:space="0" w:color="auto"/>
              <w:bottom w:val="nil"/>
              <w:right w:val="single" w:sz="4" w:space="0" w:color="auto"/>
            </w:tcBorders>
            <w:shd w:val="clear" w:color="auto" w:fill="auto"/>
            <w:noWrap/>
            <w:vAlign w:val="bottom"/>
            <w:hideMark/>
          </w:tcPr>
          <w:p w14:paraId="3E3F02B6"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1257D95C"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c>
          <w:tcPr>
            <w:tcW w:w="1333" w:type="dxa"/>
            <w:tcBorders>
              <w:top w:val="nil"/>
              <w:left w:val="single" w:sz="4" w:space="0" w:color="auto"/>
              <w:bottom w:val="nil"/>
              <w:right w:val="single" w:sz="4" w:space="0" w:color="auto"/>
            </w:tcBorders>
            <w:shd w:val="clear" w:color="auto" w:fill="auto"/>
            <w:noWrap/>
            <w:vAlign w:val="bottom"/>
            <w:hideMark/>
          </w:tcPr>
          <w:p w14:paraId="4F3A5EB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0D50401D"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r>
      <w:tr w:rsidR="00D215BD" w:rsidRPr="001314CA" w14:paraId="04B7BFAC"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6ED817C3"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Costa Rica</w:t>
            </w:r>
          </w:p>
        </w:tc>
        <w:tc>
          <w:tcPr>
            <w:tcW w:w="1311" w:type="dxa"/>
            <w:tcBorders>
              <w:top w:val="nil"/>
              <w:left w:val="single" w:sz="4" w:space="0" w:color="auto"/>
              <w:bottom w:val="nil"/>
              <w:right w:val="single" w:sz="4" w:space="0" w:color="auto"/>
            </w:tcBorders>
            <w:shd w:val="clear" w:color="auto" w:fill="auto"/>
            <w:noWrap/>
            <w:vAlign w:val="bottom"/>
            <w:hideMark/>
          </w:tcPr>
          <w:p w14:paraId="73149191"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77216015"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567001EF"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220714DA" w14:textId="77777777" w:rsidR="00D215BD" w:rsidRPr="001314CA" w:rsidRDefault="00D215BD" w:rsidP="00D215BD">
            <w:pPr>
              <w:spacing w:before="0"/>
              <w:rPr>
                <w:rFonts w:ascii="Times New Roman" w:hAnsi="Times New Roman"/>
                <w:sz w:val="22"/>
                <w:szCs w:val="22"/>
              </w:rPr>
            </w:pPr>
          </w:p>
        </w:tc>
      </w:tr>
      <w:tr w:rsidR="00D215BD" w:rsidRPr="001314CA" w14:paraId="79A826D0" w14:textId="77777777" w:rsidTr="00D215BD">
        <w:trPr>
          <w:trHeight w:val="300"/>
          <w:jc w:val="center"/>
        </w:trPr>
        <w:tc>
          <w:tcPr>
            <w:tcW w:w="4530" w:type="dxa"/>
            <w:tcBorders>
              <w:top w:val="nil"/>
              <w:left w:val="single" w:sz="4" w:space="0" w:color="auto"/>
              <w:bottom w:val="single" w:sz="4" w:space="0" w:color="auto"/>
              <w:right w:val="single" w:sz="4" w:space="0" w:color="auto"/>
            </w:tcBorders>
            <w:shd w:val="clear" w:color="auto" w:fill="auto"/>
            <w:vAlign w:val="bottom"/>
            <w:hideMark/>
          </w:tcPr>
          <w:p w14:paraId="1840E01C"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r w:rsidRPr="001314CA">
              <w:rPr>
                <w:bCs/>
                <w:sz w:val="22"/>
                <w:szCs w:val="22"/>
              </w:rPr>
              <w:t>Université de Costa Rica, San José</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0BE2559C" w14:textId="77777777" w:rsidR="00D215BD" w:rsidRPr="001314CA" w:rsidRDefault="00D215BD" w:rsidP="00D215BD">
            <w:pPr>
              <w:spacing w:before="0"/>
              <w:jc w:val="center"/>
              <w:rPr>
                <w:rFonts w:cs="Calibri"/>
                <w:sz w:val="22"/>
                <w:szCs w:val="22"/>
              </w:rPr>
            </w:pPr>
            <w:r w:rsidRPr="001314CA">
              <w:rPr>
                <w:rFonts w:cs="Calibri"/>
                <w:sz w:val="22"/>
                <w:szCs w:val="22"/>
              </w:rPr>
              <w:t>2017</w:t>
            </w:r>
          </w:p>
        </w:tc>
        <w:tc>
          <w:tcPr>
            <w:tcW w:w="1468" w:type="dxa"/>
            <w:tcBorders>
              <w:top w:val="nil"/>
              <w:left w:val="single" w:sz="4" w:space="0" w:color="auto"/>
              <w:bottom w:val="single" w:sz="4" w:space="0" w:color="auto"/>
              <w:right w:val="single" w:sz="4" w:space="0" w:color="auto"/>
            </w:tcBorders>
            <w:shd w:val="clear" w:color="auto" w:fill="auto"/>
            <w:noWrap/>
            <w:vAlign w:val="bottom"/>
            <w:hideMark/>
          </w:tcPr>
          <w:p w14:paraId="04FB076F" w14:textId="77777777" w:rsidR="00D215BD" w:rsidRPr="001314CA" w:rsidRDefault="00D215BD" w:rsidP="00D215BD">
            <w:pPr>
              <w:spacing w:before="0"/>
              <w:jc w:val="right"/>
              <w:rPr>
                <w:rFonts w:cs="Calibri"/>
                <w:sz w:val="22"/>
                <w:szCs w:val="22"/>
              </w:rPr>
            </w:pPr>
            <w:r w:rsidRPr="001314CA">
              <w:rPr>
                <w:rFonts w:cs="Calibri"/>
                <w:sz w:val="22"/>
                <w:szCs w:val="22"/>
              </w:rPr>
              <w:t>2 455,90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D58E4EC"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6530308" w14:textId="77777777" w:rsidR="00D215BD" w:rsidRPr="001314CA" w:rsidRDefault="00D215BD" w:rsidP="00D215BD">
            <w:pPr>
              <w:spacing w:before="0"/>
              <w:jc w:val="right"/>
              <w:rPr>
                <w:rFonts w:cs="Calibri"/>
                <w:sz w:val="22"/>
                <w:szCs w:val="22"/>
              </w:rPr>
            </w:pPr>
            <w:r w:rsidRPr="001314CA">
              <w:rPr>
                <w:rFonts w:cs="Calibri"/>
                <w:sz w:val="22"/>
                <w:szCs w:val="22"/>
              </w:rPr>
              <w:t>2 455,90</w:t>
            </w:r>
          </w:p>
        </w:tc>
      </w:tr>
    </w:tbl>
    <w:p w14:paraId="42E602C2" w14:textId="77777777" w:rsidR="00D215BD" w:rsidRPr="001314CA" w:rsidRDefault="00D215BD" w:rsidP="00D215BD"/>
    <w:p w14:paraId="0D04966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r w:rsidRPr="001314CA">
        <w:br w:type="page"/>
      </w:r>
    </w:p>
    <w:tbl>
      <w:tblPr>
        <w:tblW w:w="10060" w:type="dxa"/>
        <w:jc w:val="center"/>
        <w:tblLook w:val="04A0" w:firstRow="1" w:lastRow="0" w:firstColumn="1" w:lastColumn="0" w:noHBand="0" w:noVBand="1"/>
      </w:tblPr>
      <w:tblGrid>
        <w:gridCol w:w="4530"/>
        <w:gridCol w:w="1311"/>
        <w:gridCol w:w="1468"/>
        <w:gridCol w:w="1333"/>
        <w:gridCol w:w="1418"/>
      </w:tblGrid>
      <w:tr w:rsidR="00D215BD" w:rsidRPr="001314CA" w14:paraId="3F4EF569" w14:textId="77777777" w:rsidTr="00D215BD">
        <w:trPr>
          <w:trHeight w:val="300"/>
          <w:jc w:val="center"/>
        </w:trPr>
        <w:tc>
          <w:tcPr>
            <w:tcW w:w="4530" w:type="dxa"/>
            <w:tcBorders>
              <w:top w:val="single" w:sz="4" w:space="0" w:color="auto"/>
              <w:left w:val="single" w:sz="4" w:space="0" w:color="auto"/>
              <w:bottom w:val="single" w:sz="4" w:space="0" w:color="auto"/>
              <w:right w:val="single" w:sz="4" w:space="0" w:color="auto"/>
            </w:tcBorders>
            <w:shd w:val="clear" w:color="auto" w:fill="auto"/>
            <w:vAlign w:val="bottom"/>
          </w:tcPr>
          <w:p w14:paraId="040BDE85" w14:textId="77777777" w:rsidR="00D215BD" w:rsidRPr="001314CA" w:rsidRDefault="00D215BD" w:rsidP="00D215BD">
            <w:pPr>
              <w:spacing w:after="120"/>
              <w:rPr>
                <w:rFonts w:cs="Calibri"/>
                <w:b/>
                <w:bCs/>
                <w:sz w:val="22"/>
                <w:szCs w:val="22"/>
              </w:rPr>
            </w:pPr>
            <w:r w:rsidRPr="001314CA">
              <w:rPr>
                <w:rFonts w:asciiTheme="minorHAnsi" w:hAnsiTheme="minorHAnsi"/>
                <w:b/>
                <w:sz w:val="22"/>
                <w:szCs w:val="22"/>
              </w:rPr>
              <w:lastRenderedPageBreak/>
              <w:t>B</w:t>
            </w:r>
            <w:r w:rsidRPr="001314CA">
              <w:rPr>
                <w:rFonts w:asciiTheme="minorHAnsi" w:hAnsiTheme="minorHAnsi"/>
                <w:b/>
                <w:sz w:val="22"/>
                <w:szCs w:val="22"/>
              </w:rPr>
              <w:tab/>
              <w:t>Membres de Secteur et autres entités</w:t>
            </w:r>
          </w:p>
        </w:tc>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56643EA6" w14:textId="77777777" w:rsidR="00D215BD" w:rsidRPr="001314CA" w:rsidRDefault="00D215BD" w:rsidP="00D215BD">
            <w:pPr>
              <w:spacing w:after="120"/>
              <w:jc w:val="center"/>
              <w:rPr>
                <w:rFonts w:cs="Calibri"/>
                <w:b/>
                <w:bCs/>
                <w:sz w:val="22"/>
                <w:szCs w:val="22"/>
              </w:rPr>
            </w:pPr>
            <w:r w:rsidRPr="001314CA">
              <w:rPr>
                <w:rFonts w:asciiTheme="minorHAnsi" w:hAnsiTheme="minorHAnsi"/>
                <w:b/>
                <w:sz w:val="22"/>
                <w:szCs w:val="22"/>
                <w:lang w:eastAsia="zh-CN"/>
              </w:rPr>
              <w:t>Année</w:t>
            </w:r>
          </w:p>
        </w:tc>
        <w:tc>
          <w:tcPr>
            <w:tcW w:w="1468" w:type="dxa"/>
            <w:tcBorders>
              <w:top w:val="single" w:sz="4" w:space="0" w:color="auto"/>
              <w:left w:val="single" w:sz="4" w:space="0" w:color="auto"/>
              <w:bottom w:val="single" w:sz="4" w:space="0" w:color="auto"/>
              <w:right w:val="single" w:sz="4" w:space="0" w:color="auto"/>
            </w:tcBorders>
            <w:shd w:val="clear" w:color="auto" w:fill="auto"/>
            <w:noWrap/>
          </w:tcPr>
          <w:p w14:paraId="5EC45832" w14:textId="77777777" w:rsidR="00D215BD" w:rsidRPr="001314CA" w:rsidRDefault="00D215BD" w:rsidP="00D215BD">
            <w:pPr>
              <w:spacing w:after="120"/>
              <w:jc w:val="center"/>
              <w:rPr>
                <w:rFonts w:ascii="Times New Roman" w:hAnsi="Times New Roman"/>
                <w:sz w:val="22"/>
                <w:szCs w:val="22"/>
              </w:rPr>
            </w:pPr>
            <w:r w:rsidRPr="001314CA">
              <w:rPr>
                <w:rFonts w:asciiTheme="minorHAnsi" w:hAnsiTheme="minorHAnsi"/>
                <w:b/>
                <w:sz w:val="22"/>
                <w:szCs w:val="22"/>
                <w:lang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tcPr>
          <w:p w14:paraId="2D78539A" w14:textId="77777777" w:rsidR="00D215BD" w:rsidRPr="001314CA" w:rsidRDefault="00D215BD" w:rsidP="00D215BD">
            <w:pPr>
              <w:spacing w:after="120"/>
              <w:rPr>
                <w:rFonts w:ascii="Times New Roman" w:hAnsi="Times New Roman"/>
                <w:sz w:val="22"/>
                <w:szCs w:val="22"/>
              </w:rPr>
            </w:pPr>
            <w:r w:rsidRPr="001314CA">
              <w:rPr>
                <w:rFonts w:asciiTheme="minorHAnsi" w:hAnsiTheme="minorHAnsi"/>
                <w:b/>
                <w:sz w:val="22"/>
                <w:szCs w:val="22"/>
                <w:lang w:eastAsia="zh-CN"/>
              </w:rPr>
              <w:t>Publications</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C2C01D3" w14:textId="77777777" w:rsidR="00D215BD" w:rsidRPr="001314CA" w:rsidRDefault="00D215BD" w:rsidP="00D215BD">
            <w:pPr>
              <w:spacing w:after="120"/>
              <w:jc w:val="center"/>
              <w:rPr>
                <w:rFonts w:ascii="Times New Roman" w:hAnsi="Times New Roman"/>
                <w:sz w:val="22"/>
                <w:szCs w:val="22"/>
              </w:rPr>
            </w:pPr>
            <w:r w:rsidRPr="001314CA">
              <w:rPr>
                <w:rFonts w:asciiTheme="minorHAnsi" w:hAnsiTheme="minorHAnsi"/>
                <w:b/>
                <w:sz w:val="22"/>
                <w:szCs w:val="22"/>
                <w:lang w:eastAsia="zh-CN"/>
              </w:rPr>
              <w:t>Total</w:t>
            </w:r>
          </w:p>
        </w:tc>
      </w:tr>
      <w:tr w:rsidR="00D215BD" w:rsidRPr="001314CA" w14:paraId="41A99004" w14:textId="77777777" w:rsidTr="00D215BD">
        <w:trPr>
          <w:trHeight w:val="300"/>
          <w:jc w:val="center"/>
        </w:trPr>
        <w:tc>
          <w:tcPr>
            <w:tcW w:w="4530" w:type="dxa"/>
            <w:tcBorders>
              <w:top w:val="single" w:sz="4" w:space="0" w:color="auto"/>
              <w:left w:val="single" w:sz="4" w:space="0" w:color="auto"/>
              <w:bottom w:val="nil"/>
              <w:right w:val="single" w:sz="4" w:space="0" w:color="auto"/>
            </w:tcBorders>
            <w:shd w:val="clear" w:color="auto" w:fill="auto"/>
            <w:vAlign w:val="bottom"/>
            <w:hideMark/>
          </w:tcPr>
          <w:p w14:paraId="53299D6D" w14:textId="77777777" w:rsidR="00D215BD" w:rsidRPr="001314CA" w:rsidRDefault="00D215BD" w:rsidP="00D215BD">
            <w:pPr>
              <w:spacing w:before="0"/>
              <w:rPr>
                <w:rFonts w:cs="Calibri"/>
                <w:b/>
                <w:bCs/>
                <w:sz w:val="22"/>
                <w:szCs w:val="22"/>
              </w:rPr>
            </w:pPr>
            <w:r w:rsidRPr="001314CA">
              <w:rPr>
                <w:rFonts w:cs="Calibri"/>
                <w:b/>
                <w:bCs/>
                <w:sz w:val="22"/>
                <w:szCs w:val="22"/>
              </w:rPr>
              <w:t>Côte d'Ivoire</w:t>
            </w:r>
          </w:p>
        </w:tc>
        <w:tc>
          <w:tcPr>
            <w:tcW w:w="1311" w:type="dxa"/>
            <w:tcBorders>
              <w:top w:val="single" w:sz="4" w:space="0" w:color="auto"/>
              <w:left w:val="single" w:sz="4" w:space="0" w:color="auto"/>
              <w:bottom w:val="nil"/>
              <w:right w:val="single" w:sz="4" w:space="0" w:color="auto"/>
            </w:tcBorders>
            <w:shd w:val="clear" w:color="auto" w:fill="auto"/>
            <w:noWrap/>
            <w:vAlign w:val="bottom"/>
            <w:hideMark/>
          </w:tcPr>
          <w:p w14:paraId="7E894818" w14:textId="77777777" w:rsidR="00D215BD" w:rsidRPr="001314CA" w:rsidRDefault="00D215BD" w:rsidP="00D215BD">
            <w:pPr>
              <w:spacing w:before="0"/>
              <w:rPr>
                <w:rFonts w:cs="Calibri"/>
                <w:b/>
                <w:bCs/>
                <w:sz w:val="22"/>
                <w:szCs w:val="22"/>
              </w:rPr>
            </w:pPr>
          </w:p>
        </w:tc>
        <w:tc>
          <w:tcPr>
            <w:tcW w:w="1468" w:type="dxa"/>
            <w:tcBorders>
              <w:top w:val="single" w:sz="4" w:space="0" w:color="auto"/>
              <w:left w:val="single" w:sz="4" w:space="0" w:color="auto"/>
              <w:bottom w:val="nil"/>
              <w:right w:val="single" w:sz="4" w:space="0" w:color="auto"/>
            </w:tcBorders>
            <w:shd w:val="clear" w:color="auto" w:fill="auto"/>
            <w:noWrap/>
            <w:vAlign w:val="bottom"/>
            <w:hideMark/>
          </w:tcPr>
          <w:p w14:paraId="739FB754" w14:textId="77777777" w:rsidR="00D215BD" w:rsidRPr="001314CA" w:rsidRDefault="00D215BD" w:rsidP="00D215BD">
            <w:pPr>
              <w:spacing w:before="0"/>
              <w:jc w:val="center"/>
              <w:rPr>
                <w:rFonts w:ascii="Times New Roman" w:hAnsi="Times New Roman"/>
                <w:sz w:val="22"/>
                <w:szCs w:val="22"/>
              </w:rPr>
            </w:pP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51490009" w14:textId="77777777" w:rsidR="00D215BD" w:rsidRPr="001314CA" w:rsidRDefault="00D215BD" w:rsidP="00D215BD">
            <w:pPr>
              <w:spacing w:before="0"/>
              <w:rPr>
                <w:rFonts w:ascii="Times New Roman" w:hAnsi="Times New Roman"/>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14:paraId="7893301C" w14:textId="77777777" w:rsidR="00D215BD" w:rsidRPr="001314CA" w:rsidRDefault="00D215BD" w:rsidP="00D215BD">
            <w:pPr>
              <w:spacing w:before="0"/>
              <w:rPr>
                <w:rFonts w:ascii="Times New Roman" w:hAnsi="Times New Roman"/>
                <w:sz w:val="22"/>
                <w:szCs w:val="22"/>
              </w:rPr>
            </w:pPr>
          </w:p>
        </w:tc>
      </w:tr>
      <w:tr w:rsidR="00D215BD" w:rsidRPr="001314CA" w14:paraId="0B228398" w14:textId="77777777" w:rsidTr="00D215BD">
        <w:trPr>
          <w:trHeight w:val="600"/>
          <w:jc w:val="center"/>
        </w:trPr>
        <w:tc>
          <w:tcPr>
            <w:tcW w:w="4530" w:type="dxa"/>
            <w:tcBorders>
              <w:top w:val="nil"/>
              <w:left w:val="single" w:sz="4" w:space="0" w:color="auto"/>
              <w:bottom w:val="nil"/>
              <w:right w:val="single" w:sz="4" w:space="0" w:color="auto"/>
            </w:tcBorders>
            <w:shd w:val="clear" w:color="auto" w:fill="auto"/>
            <w:vAlign w:val="bottom"/>
            <w:hideMark/>
          </w:tcPr>
          <w:p w14:paraId="2106CE62"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Association des Consommateurs de Télécommunications, Abidjan</w:t>
            </w:r>
          </w:p>
        </w:tc>
        <w:tc>
          <w:tcPr>
            <w:tcW w:w="1311" w:type="dxa"/>
            <w:tcBorders>
              <w:top w:val="nil"/>
              <w:left w:val="single" w:sz="4" w:space="0" w:color="auto"/>
              <w:bottom w:val="nil"/>
              <w:right w:val="single" w:sz="4" w:space="0" w:color="auto"/>
            </w:tcBorders>
            <w:shd w:val="clear" w:color="auto" w:fill="auto"/>
            <w:noWrap/>
            <w:vAlign w:val="bottom"/>
            <w:hideMark/>
          </w:tcPr>
          <w:p w14:paraId="1D2852C8" w14:textId="77777777" w:rsidR="00D215BD" w:rsidRPr="001314CA" w:rsidRDefault="00D215BD" w:rsidP="00D215BD">
            <w:pPr>
              <w:spacing w:before="0"/>
              <w:jc w:val="center"/>
              <w:rPr>
                <w:rFonts w:cs="Calibri"/>
                <w:sz w:val="22"/>
                <w:szCs w:val="22"/>
              </w:rPr>
            </w:pPr>
            <w:r w:rsidRPr="001314CA">
              <w:rPr>
                <w:rFonts w:cs="Calibri"/>
                <w:sz w:val="22"/>
                <w:szCs w:val="22"/>
              </w:rPr>
              <w:t>2007-2008</w:t>
            </w:r>
          </w:p>
        </w:tc>
        <w:tc>
          <w:tcPr>
            <w:tcW w:w="1468" w:type="dxa"/>
            <w:tcBorders>
              <w:top w:val="nil"/>
              <w:left w:val="single" w:sz="4" w:space="0" w:color="auto"/>
              <w:bottom w:val="nil"/>
              <w:right w:val="single" w:sz="4" w:space="0" w:color="auto"/>
            </w:tcBorders>
            <w:shd w:val="clear" w:color="auto" w:fill="auto"/>
            <w:noWrap/>
            <w:vAlign w:val="bottom"/>
            <w:hideMark/>
          </w:tcPr>
          <w:p w14:paraId="2EFC7994" w14:textId="77777777" w:rsidR="00D215BD" w:rsidRPr="001314CA" w:rsidRDefault="00D215BD" w:rsidP="00D215BD">
            <w:pPr>
              <w:spacing w:before="0"/>
              <w:jc w:val="right"/>
              <w:rPr>
                <w:rFonts w:cs="Calibri"/>
                <w:sz w:val="22"/>
                <w:szCs w:val="22"/>
              </w:rPr>
            </w:pPr>
            <w:r w:rsidRPr="001314CA">
              <w:rPr>
                <w:rFonts w:cs="Calibri"/>
                <w:sz w:val="22"/>
                <w:szCs w:val="22"/>
              </w:rPr>
              <w:t>9 223,95</w:t>
            </w:r>
          </w:p>
        </w:tc>
        <w:tc>
          <w:tcPr>
            <w:tcW w:w="1333" w:type="dxa"/>
            <w:tcBorders>
              <w:top w:val="nil"/>
              <w:left w:val="single" w:sz="4" w:space="0" w:color="auto"/>
              <w:bottom w:val="nil"/>
              <w:right w:val="single" w:sz="4" w:space="0" w:color="auto"/>
            </w:tcBorders>
            <w:shd w:val="clear" w:color="auto" w:fill="auto"/>
            <w:noWrap/>
            <w:vAlign w:val="bottom"/>
            <w:hideMark/>
          </w:tcPr>
          <w:p w14:paraId="26D10214"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3B496E8A" w14:textId="77777777" w:rsidR="00D215BD" w:rsidRPr="001314CA" w:rsidRDefault="00D215BD" w:rsidP="00D215BD">
            <w:pPr>
              <w:spacing w:before="0"/>
              <w:jc w:val="right"/>
              <w:rPr>
                <w:rFonts w:cs="Calibri"/>
                <w:sz w:val="22"/>
                <w:szCs w:val="22"/>
              </w:rPr>
            </w:pPr>
            <w:r w:rsidRPr="001314CA">
              <w:rPr>
                <w:rFonts w:cs="Calibri"/>
                <w:sz w:val="22"/>
                <w:szCs w:val="22"/>
              </w:rPr>
              <w:t>9 223,95</w:t>
            </w:r>
          </w:p>
        </w:tc>
      </w:tr>
      <w:tr w:rsidR="00D215BD" w:rsidRPr="001314CA" w14:paraId="3602B0E3"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461F216E"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Côte d'Ivoire Telecom, Abidjan</w:t>
            </w:r>
          </w:p>
        </w:tc>
        <w:tc>
          <w:tcPr>
            <w:tcW w:w="1311" w:type="dxa"/>
            <w:tcBorders>
              <w:top w:val="nil"/>
              <w:left w:val="single" w:sz="4" w:space="0" w:color="auto"/>
              <w:bottom w:val="nil"/>
              <w:right w:val="single" w:sz="4" w:space="0" w:color="auto"/>
            </w:tcBorders>
            <w:shd w:val="clear" w:color="auto" w:fill="auto"/>
            <w:noWrap/>
            <w:vAlign w:val="bottom"/>
            <w:hideMark/>
          </w:tcPr>
          <w:p w14:paraId="3352502E" w14:textId="77777777" w:rsidR="00D215BD" w:rsidRPr="001314CA" w:rsidRDefault="00D215BD" w:rsidP="00D215BD">
            <w:pPr>
              <w:spacing w:before="0"/>
              <w:jc w:val="center"/>
              <w:rPr>
                <w:rFonts w:cs="Calibri"/>
                <w:sz w:val="22"/>
                <w:szCs w:val="22"/>
              </w:rPr>
            </w:pPr>
            <w:r w:rsidRPr="001314CA">
              <w:rPr>
                <w:rFonts w:cs="Calibri"/>
                <w:sz w:val="22"/>
                <w:szCs w:val="22"/>
              </w:rPr>
              <w:t>2002-2006</w:t>
            </w:r>
          </w:p>
        </w:tc>
        <w:tc>
          <w:tcPr>
            <w:tcW w:w="1468" w:type="dxa"/>
            <w:tcBorders>
              <w:top w:val="nil"/>
              <w:left w:val="single" w:sz="4" w:space="0" w:color="auto"/>
              <w:bottom w:val="nil"/>
              <w:right w:val="single" w:sz="4" w:space="0" w:color="auto"/>
            </w:tcBorders>
            <w:shd w:val="clear" w:color="auto" w:fill="auto"/>
            <w:noWrap/>
            <w:vAlign w:val="bottom"/>
            <w:hideMark/>
          </w:tcPr>
          <w:p w14:paraId="77DAB8AB" w14:textId="77777777" w:rsidR="00D215BD" w:rsidRPr="001314CA" w:rsidRDefault="00D215BD" w:rsidP="00D215BD">
            <w:pPr>
              <w:spacing w:before="0"/>
              <w:jc w:val="right"/>
              <w:rPr>
                <w:rFonts w:cs="Calibri"/>
                <w:sz w:val="22"/>
                <w:szCs w:val="22"/>
              </w:rPr>
            </w:pPr>
            <w:r w:rsidRPr="001314CA">
              <w:rPr>
                <w:rFonts w:cs="Calibri"/>
                <w:sz w:val="22"/>
                <w:szCs w:val="22"/>
              </w:rPr>
              <w:t>875 870,00</w:t>
            </w:r>
          </w:p>
        </w:tc>
        <w:tc>
          <w:tcPr>
            <w:tcW w:w="1333" w:type="dxa"/>
            <w:tcBorders>
              <w:top w:val="nil"/>
              <w:left w:val="single" w:sz="4" w:space="0" w:color="auto"/>
              <w:bottom w:val="nil"/>
              <w:right w:val="single" w:sz="4" w:space="0" w:color="auto"/>
            </w:tcBorders>
            <w:shd w:val="clear" w:color="auto" w:fill="auto"/>
            <w:noWrap/>
            <w:vAlign w:val="bottom"/>
            <w:hideMark/>
          </w:tcPr>
          <w:p w14:paraId="1CEB6EA9"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0F010AA9" w14:textId="77777777" w:rsidR="00D215BD" w:rsidRPr="001314CA" w:rsidRDefault="00D215BD" w:rsidP="00D215BD">
            <w:pPr>
              <w:spacing w:before="0"/>
              <w:jc w:val="right"/>
              <w:rPr>
                <w:rFonts w:cs="Calibri"/>
                <w:sz w:val="22"/>
                <w:szCs w:val="22"/>
              </w:rPr>
            </w:pPr>
            <w:r w:rsidRPr="001314CA">
              <w:rPr>
                <w:rFonts w:cs="Calibri"/>
                <w:sz w:val="22"/>
                <w:szCs w:val="22"/>
              </w:rPr>
              <w:t>875 870,00</w:t>
            </w:r>
          </w:p>
        </w:tc>
      </w:tr>
      <w:tr w:rsidR="00D215BD" w:rsidRPr="001314CA" w14:paraId="7CD7C64A"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2048D6D9"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VALSCH Consulting, Abidjan</w:t>
            </w:r>
          </w:p>
        </w:tc>
        <w:tc>
          <w:tcPr>
            <w:tcW w:w="1311" w:type="dxa"/>
            <w:tcBorders>
              <w:top w:val="nil"/>
              <w:left w:val="single" w:sz="4" w:space="0" w:color="auto"/>
              <w:bottom w:val="nil"/>
              <w:right w:val="single" w:sz="4" w:space="0" w:color="auto"/>
            </w:tcBorders>
            <w:shd w:val="clear" w:color="auto" w:fill="auto"/>
            <w:noWrap/>
            <w:vAlign w:val="bottom"/>
            <w:hideMark/>
          </w:tcPr>
          <w:p w14:paraId="25670944"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7CDB45A6" w14:textId="77777777" w:rsidR="00D215BD" w:rsidRPr="001314CA" w:rsidRDefault="00D215BD" w:rsidP="00D215BD">
            <w:pPr>
              <w:spacing w:before="0"/>
              <w:jc w:val="right"/>
              <w:rPr>
                <w:rFonts w:cs="Calibri"/>
                <w:sz w:val="22"/>
                <w:szCs w:val="22"/>
              </w:rPr>
            </w:pPr>
            <w:r w:rsidRPr="001314CA">
              <w:rPr>
                <w:rFonts w:cs="Calibri"/>
                <w:sz w:val="22"/>
                <w:szCs w:val="22"/>
              </w:rPr>
              <w:t>4 762,00</w:t>
            </w:r>
          </w:p>
        </w:tc>
        <w:tc>
          <w:tcPr>
            <w:tcW w:w="1333" w:type="dxa"/>
            <w:tcBorders>
              <w:top w:val="nil"/>
              <w:left w:val="single" w:sz="4" w:space="0" w:color="auto"/>
              <w:bottom w:val="nil"/>
              <w:right w:val="single" w:sz="4" w:space="0" w:color="auto"/>
            </w:tcBorders>
            <w:shd w:val="clear" w:color="auto" w:fill="auto"/>
            <w:noWrap/>
            <w:vAlign w:val="bottom"/>
            <w:hideMark/>
          </w:tcPr>
          <w:p w14:paraId="030BEA3E"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7B260697" w14:textId="77777777" w:rsidR="00D215BD" w:rsidRPr="001314CA" w:rsidRDefault="00D215BD" w:rsidP="00D215BD">
            <w:pPr>
              <w:spacing w:before="0"/>
              <w:jc w:val="right"/>
              <w:rPr>
                <w:rFonts w:cs="Calibri"/>
                <w:sz w:val="22"/>
                <w:szCs w:val="22"/>
              </w:rPr>
            </w:pPr>
            <w:r w:rsidRPr="001314CA">
              <w:rPr>
                <w:rFonts w:cs="Calibri"/>
                <w:sz w:val="22"/>
                <w:szCs w:val="22"/>
              </w:rPr>
              <w:t>4 762,00</w:t>
            </w:r>
          </w:p>
        </w:tc>
      </w:tr>
      <w:tr w:rsidR="00D215BD" w:rsidRPr="001314CA" w14:paraId="20674566"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7CDF0A54"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Égypte</w:t>
            </w:r>
          </w:p>
        </w:tc>
        <w:tc>
          <w:tcPr>
            <w:tcW w:w="1311" w:type="dxa"/>
            <w:tcBorders>
              <w:top w:val="nil"/>
              <w:left w:val="single" w:sz="4" w:space="0" w:color="auto"/>
              <w:bottom w:val="nil"/>
              <w:right w:val="single" w:sz="4" w:space="0" w:color="auto"/>
            </w:tcBorders>
            <w:shd w:val="clear" w:color="auto" w:fill="auto"/>
            <w:noWrap/>
            <w:vAlign w:val="bottom"/>
            <w:hideMark/>
          </w:tcPr>
          <w:p w14:paraId="139C25B0"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685E9D70"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10CABCFD"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4CC0ED95" w14:textId="77777777" w:rsidR="00D215BD" w:rsidRPr="001314CA" w:rsidRDefault="00D215BD" w:rsidP="00D215BD">
            <w:pPr>
              <w:spacing w:before="0"/>
              <w:rPr>
                <w:rFonts w:ascii="Times New Roman" w:hAnsi="Times New Roman"/>
                <w:sz w:val="22"/>
                <w:szCs w:val="22"/>
              </w:rPr>
            </w:pPr>
          </w:p>
        </w:tc>
      </w:tr>
      <w:tr w:rsidR="00D215BD" w:rsidRPr="001314CA" w14:paraId="25B6BEB9"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34DE0C7C"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Barkotel</w:t>
            </w:r>
            <w:proofErr w:type="spellEnd"/>
            <w:r w:rsidRPr="001314CA">
              <w:rPr>
                <w:rFonts w:cs="Calibri"/>
                <w:sz w:val="22"/>
                <w:szCs w:val="22"/>
              </w:rPr>
              <w:t xml:space="preserve"> Communications, Le Caire</w:t>
            </w:r>
          </w:p>
        </w:tc>
        <w:tc>
          <w:tcPr>
            <w:tcW w:w="1311" w:type="dxa"/>
            <w:tcBorders>
              <w:top w:val="nil"/>
              <w:left w:val="single" w:sz="4" w:space="0" w:color="auto"/>
              <w:bottom w:val="nil"/>
              <w:right w:val="single" w:sz="4" w:space="0" w:color="auto"/>
            </w:tcBorders>
            <w:shd w:val="clear" w:color="auto" w:fill="auto"/>
            <w:noWrap/>
            <w:vAlign w:val="bottom"/>
            <w:hideMark/>
          </w:tcPr>
          <w:p w14:paraId="4591ADE3" w14:textId="77777777" w:rsidR="00D215BD" w:rsidRPr="001314CA" w:rsidRDefault="00D215BD" w:rsidP="00D215BD">
            <w:pPr>
              <w:spacing w:before="0"/>
              <w:jc w:val="center"/>
              <w:rPr>
                <w:rFonts w:cs="Calibri"/>
                <w:sz w:val="22"/>
                <w:szCs w:val="22"/>
              </w:rPr>
            </w:pPr>
            <w:r w:rsidRPr="001314CA">
              <w:rPr>
                <w:rFonts w:cs="Calibri"/>
                <w:sz w:val="22"/>
                <w:szCs w:val="22"/>
              </w:rPr>
              <w:t>2002-2006</w:t>
            </w:r>
          </w:p>
        </w:tc>
        <w:tc>
          <w:tcPr>
            <w:tcW w:w="1468" w:type="dxa"/>
            <w:tcBorders>
              <w:top w:val="nil"/>
              <w:left w:val="single" w:sz="4" w:space="0" w:color="auto"/>
              <w:bottom w:val="nil"/>
              <w:right w:val="single" w:sz="4" w:space="0" w:color="auto"/>
            </w:tcBorders>
            <w:shd w:val="clear" w:color="auto" w:fill="auto"/>
            <w:noWrap/>
            <w:vAlign w:val="bottom"/>
            <w:hideMark/>
          </w:tcPr>
          <w:p w14:paraId="00C8CA31" w14:textId="77777777" w:rsidR="00D215BD" w:rsidRPr="001314CA" w:rsidRDefault="00D215BD" w:rsidP="00D215BD">
            <w:pPr>
              <w:spacing w:before="0"/>
              <w:jc w:val="right"/>
              <w:rPr>
                <w:rFonts w:cs="Calibri"/>
                <w:sz w:val="22"/>
                <w:szCs w:val="22"/>
              </w:rPr>
            </w:pPr>
            <w:r w:rsidRPr="001314CA">
              <w:rPr>
                <w:rFonts w:cs="Calibri"/>
                <w:sz w:val="22"/>
                <w:szCs w:val="22"/>
              </w:rPr>
              <w:t>49 893,10</w:t>
            </w:r>
          </w:p>
        </w:tc>
        <w:tc>
          <w:tcPr>
            <w:tcW w:w="1333" w:type="dxa"/>
            <w:tcBorders>
              <w:top w:val="nil"/>
              <w:left w:val="single" w:sz="4" w:space="0" w:color="auto"/>
              <w:bottom w:val="nil"/>
              <w:right w:val="single" w:sz="4" w:space="0" w:color="auto"/>
            </w:tcBorders>
            <w:shd w:val="clear" w:color="auto" w:fill="auto"/>
            <w:noWrap/>
            <w:vAlign w:val="bottom"/>
            <w:hideMark/>
          </w:tcPr>
          <w:p w14:paraId="32015C6B"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79434B90" w14:textId="77777777" w:rsidR="00D215BD" w:rsidRPr="001314CA" w:rsidRDefault="00D215BD" w:rsidP="00D215BD">
            <w:pPr>
              <w:spacing w:before="0"/>
              <w:jc w:val="right"/>
              <w:rPr>
                <w:rFonts w:cs="Calibri"/>
                <w:sz w:val="22"/>
                <w:szCs w:val="22"/>
              </w:rPr>
            </w:pPr>
            <w:r w:rsidRPr="001314CA">
              <w:rPr>
                <w:rFonts w:cs="Calibri"/>
                <w:sz w:val="22"/>
                <w:szCs w:val="22"/>
              </w:rPr>
              <w:t>49 893,10</w:t>
            </w:r>
          </w:p>
        </w:tc>
      </w:tr>
      <w:tr w:rsidR="00D215BD" w:rsidRPr="001314CA" w14:paraId="39EA6722" w14:textId="77777777" w:rsidTr="00D215BD">
        <w:trPr>
          <w:trHeight w:val="600"/>
          <w:jc w:val="center"/>
        </w:trPr>
        <w:tc>
          <w:tcPr>
            <w:tcW w:w="4530" w:type="dxa"/>
            <w:tcBorders>
              <w:top w:val="nil"/>
              <w:left w:val="single" w:sz="4" w:space="0" w:color="auto"/>
              <w:bottom w:val="nil"/>
              <w:right w:val="single" w:sz="4" w:space="0" w:color="auto"/>
            </w:tcBorders>
            <w:shd w:val="clear" w:color="auto" w:fill="auto"/>
            <w:vAlign w:val="bottom"/>
            <w:hideMark/>
          </w:tcPr>
          <w:p w14:paraId="6EBF948C"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Université des sciences et des technologies Égypte-Japon, Alexandrie</w:t>
            </w:r>
          </w:p>
        </w:tc>
        <w:tc>
          <w:tcPr>
            <w:tcW w:w="1311" w:type="dxa"/>
            <w:tcBorders>
              <w:top w:val="nil"/>
              <w:left w:val="single" w:sz="4" w:space="0" w:color="auto"/>
              <w:bottom w:val="nil"/>
              <w:right w:val="single" w:sz="4" w:space="0" w:color="auto"/>
            </w:tcBorders>
            <w:shd w:val="clear" w:color="auto" w:fill="auto"/>
            <w:noWrap/>
            <w:vAlign w:val="bottom"/>
            <w:hideMark/>
          </w:tcPr>
          <w:p w14:paraId="46B2BACA"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51B4C201"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c>
          <w:tcPr>
            <w:tcW w:w="1333" w:type="dxa"/>
            <w:tcBorders>
              <w:top w:val="nil"/>
              <w:left w:val="single" w:sz="4" w:space="0" w:color="auto"/>
              <w:bottom w:val="nil"/>
              <w:right w:val="single" w:sz="4" w:space="0" w:color="auto"/>
            </w:tcBorders>
            <w:shd w:val="clear" w:color="auto" w:fill="auto"/>
            <w:noWrap/>
            <w:vAlign w:val="bottom"/>
            <w:hideMark/>
          </w:tcPr>
          <w:p w14:paraId="1E838C6A"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37AE6F23"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r>
      <w:tr w:rsidR="00D215BD" w:rsidRPr="001314CA" w14:paraId="6AF7AA4B"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70835FE3"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LINKdoNET</w:t>
            </w:r>
            <w:proofErr w:type="spellEnd"/>
            <w:r w:rsidRPr="001314CA">
              <w:rPr>
                <w:rFonts w:cs="Calibri"/>
                <w:sz w:val="22"/>
                <w:szCs w:val="22"/>
              </w:rPr>
              <w:t>, Le Caire</w:t>
            </w:r>
          </w:p>
        </w:tc>
        <w:tc>
          <w:tcPr>
            <w:tcW w:w="1311" w:type="dxa"/>
            <w:tcBorders>
              <w:top w:val="nil"/>
              <w:left w:val="single" w:sz="4" w:space="0" w:color="auto"/>
              <w:bottom w:val="nil"/>
              <w:right w:val="single" w:sz="4" w:space="0" w:color="auto"/>
            </w:tcBorders>
            <w:shd w:val="clear" w:color="auto" w:fill="auto"/>
            <w:noWrap/>
            <w:vAlign w:val="bottom"/>
            <w:hideMark/>
          </w:tcPr>
          <w:p w14:paraId="7B026DD0" w14:textId="77777777" w:rsidR="00D215BD" w:rsidRPr="001314CA" w:rsidRDefault="00D215BD" w:rsidP="00D215BD">
            <w:pPr>
              <w:spacing w:before="0"/>
              <w:jc w:val="center"/>
              <w:rPr>
                <w:rFonts w:cs="Calibri"/>
                <w:sz w:val="22"/>
                <w:szCs w:val="22"/>
              </w:rPr>
            </w:pPr>
            <w:r w:rsidRPr="001314CA">
              <w:rPr>
                <w:rFonts w:cs="Calibri"/>
                <w:sz w:val="22"/>
                <w:szCs w:val="22"/>
              </w:rPr>
              <w:t>2008-2009</w:t>
            </w:r>
          </w:p>
        </w:tc>
        <w:tc>
          <w:tcPr>
            <w:tcW w:w="1468" w:type="dxa"/>
            <w:tcBorders>
              <w:top w:val="nil"/>
              <w:left w:val="single" w:sz="4" w:space="0" w:color="auto"/>
              <w:bottom w:val="nil"/>
              <w:right w:val="single" w:sz="4" w:space="0" w:color="auto"/>
            </w:tcBorders>
            <w:shd w:val="clear" w:color="auto" w:fill="auto"/>
            <w:noWrap/>
            <w:vAlign w:val="bottom"/>
            <w:hideMark/>
          </w:tcPr>
          <w:p w14:paraId="273BC990" w14:textId="77777777" w:rsidR="00D215BD" w:rsidRPr="001314CA" w:rsidRDefault="00D215BD" w:rsidP="00D215BD">
            <w:pPr>
              <w:spacing w:before="0"/>
              <w:jc w:val="right"/>
              <w:rPr>
                <w:rFonts w:cs="Calibri"/>
                <w:sz w:val="22"/>
                <w:szCs w:val="22"/>
              </w:rPr>
            </w:pPr>
            <w:r w:rsidRPr="001314CA">
              <w:rPr>
                <w:rFonts w:cs="Calibri"/>
                <w:sz w:val="22"/>
                <w:szCs w:val="22"/>
              </w:rPr>
              <w:t>7 950,65</w:t>
            </w:r>
          </w:p>
        </w:tc>
        <w:tc>
          <w:tcPr>
            <w:tcW w:w="1333" w:type="dxa"/>
            <w:tcBorders>
              <w:top w:val="nil"/>
              <w:left w:val="single" w:sz="4" w:space="0" w:color="auto"/>
              <w:bottom w:val="nil"/>
              <w:right w:val="single" w:sz="4" w:space="0" w:color="auto"/>
            </w:tcBorders>
            <w:shd w:val="clear" w:color="auto" w:fill="auto"/>
            <w:noWrap/>
            <w:vAlign w:val="bottom"/>
            <w:hideMark/>
          </w:tcPr>
          <w:p w14:paraId="3BB05CAC"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77E017A2" w14:textId="77777777" w:rsidR="00D215BD" w:rsidRPr="001314CA" w:rsidRDefault="00D215BD" w:rsidP="00D215BD">
            <w:pPr>
              <w:spacing w:before="0"/>
              <w:jc w:val="right"/>
              <w:rPr>
                <w:rFonts w:cs="Calibri"/>
                <w:sz w:val="22"/>
                <w:szCs w:val="22"/>
              </w:rPr>
            </w:pPr>
            <w:r w:rsidRPr="001314CA">
              <w:rPr>
                <w:rFonts w:cs="Calibri"/>
                <w:sz w:val="22"/>
                <w:szCs w:val="22"/>
              </w:rPr>
              <w:t>7 950,65</w:t>
            </w:r>
          </w:p>
        </w:tc>
      </w:tr>
      <w:tr w:rsidR="00D215BD" w:rsidRPr="001314CA" w14:paraId="5CE7C6D3"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3A4CF69C"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Orange </w:t>
            </w:r>
            <w:proofErr w:type="spellStart"/>
            <w:r w:rsidRPr="001314CA">
              <w:rPr>
                <w:rFonts w:cs="Calibri"/>
                <w:sz w:val="22"/>
                <w:szCs w:val="22"/>
              </w:rPr>
              <w:t>Egypt</w:t>
            </w:r>
            <w:proofErr w:type="spellEnd"/>
            <w:r w:rsidRPr="001314CA">
              <w:rPr>
                <w:rFonts w:cs="Calibri"/>
                <w:sz w:val="22"/>
                <w:szCs w:val="22"/>
              </w:rPr>
              <w:t>, Le Caire</w:t>
            </w:r>
          </w:p>
        </w:tc>
        <w:tc>
          <w:tcPr>
            <w:tcW w:w="1311" w:type="dxa"/>
            <w:tcBorders>
              <w:top w:val="nil"/>
              <w:left w:val="single" w:sz="4" w:space="0" w:color="auto"/>
              <w:bottom w:val="nil"/>
              <w:right w:val="single" w:sz="4" w:space="0" w:color="auto"/>
            </w:tcBorders>
            <w:shd w:val="clear" w:color="auto" w:fill="auto"/>
            <w:noWrap/>
            <w:vAlign w:val="bottom"/>
            <w:hideMark/>
          </w:tcPr>
          <w:p w14:paraId="359D7FC9" w14:textId="77777777" w:rsidR="00D215BD" w:rsidRPr="001314CA" w:rsidRDefault="00D215BD" w:rsidP="00D215BD">
            <w:pPr>
              <w:spacing w:before="0"/>
              <w:jc w:val="center"/>
              <w:rPr>
                <w:rFonts w:cs="Calibri"/>
                <w:sz w:val="22"/>
                <w:szCs w:val="22"/>
              </w:rPr>
            </w:pPr>
            <w:r w:rsidRPr="001314CA">
              <w:rPr>
                <w:rFonts w:cs="Calibri"/>
                <w:sz w:val="22"/>
                <w:szCs w:val="22"/>
              </w:rPr>
              <w:t>2018-2019</w:t>
            </w:r>
          </w:p>
        </w:tc>
        <w:tc>
          <w:tcPr>
            <w:tcW w:w="1468" w:type="dxa"/>
            <w:tcBorders>
              <w:top w:val="nil"/>
              <w:left w:val="single" w:sz="4" w:space="0" w:color="auto"/>
              <w:bottom w:val="nil"/>
              <w:right w:val="single" w:sz="4" w:space="0" w:color="auto"/>
            </w:tcBorders>
            <w:shd w:val="clear" w:color="auto" w:fill="auto"/>
            <w:noWrap/>
            <w:vAlign w:val="bottom"/>
            <w:hideMark/>
          </w:tcPr>
          <w:p w14:paraId="763C15F0" w14:textId="77777777" w:rsidR="00D215BD" w:rsidRPr="001314CA" w:rsidRDefault="00D215BD" w:rsidP="00D215BD">
            <w:pPr>
              <w:spacing w:before="0"/>
              <w:jc w:val="right"/>
              <w:rPr>
                <w:rFonts w:cs="Calibri"/>
                <w:sz w:val="22"/>
                <w:szCs w:val="22"/>
              </w:rPr>
            </w:pPr>
            <w:r w:rsidRPr="001314CA">
              <w:rPr>
                <w:rFonts w:cs="Calibri"/>
                <w:sz w:val="22"/>
                <w:szCs w:val="22"/>
              </w:rPr>
              <w:t>2 259,60</w:t>
            </w:r>
          </w:p>
        </w:tc>
        <w:tc>
          <w:tcPr>
            <w:tcW w:w="1333" w:type="dxa"/>
            <w:tcBorders>
              <w:top w:val="nil"/>
              <w:left w:val="single" w:sz="4" w:space="0" w:color="auto"/>
              <w:bottom w:val="nil"/>
              <w:right w:val="single" w:sz="4" w:space="0" w:color="auto"/>
            </w:tcBorders>
            <w:shd w:val="clear" w:color="auto" w:fill="auto"/>
            <w:noWrap/>
            <w:vAlign w:val="bottom"/>
            <w:hideMark/>
          </w:tcPr>
          <w:p w14:paraId="7A2282C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19012B53" w14:textId="77777777" w:rsidR="00D215BD" w:rsidRPr="001314CA" w:rsidRDefault="00D215BD" w:rsidP="00D215BD">
            <w:pPr>
              <w:spacing w:before="0"/>
              <w:jc w:val="right"/>
              <w:rPr>
                <w:rFonts w:cs="Calibri"/>
                <w:sz w:val="22"/>
                <w:szCs w:val="22"/>
              </w:rPr>
            </w:pPr>
            <w:r w:rsidRPr="001314CA">
              <w:rPr>
                <w:rFonts w:cs="Calibri"/>
                <w:sz w:val="22"/>
                <w:szCs w:val="22"/>
              </w:rPr>
              <w:t>2 259,60</w:t>
            </w:r>
          </w:p>
        </w:tc>
      </w:tr>
      <w:tr w:rsidR="00D215BD" w:rsidRPr="001314CA" w14:paraId="62C6E29E"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42C364EB"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Telecom Consultants, Le Caire</w:t>
            </w:r>
          </w:p>
        </w:tc>
        <w:tc>
          <w:tcPr>
            <w:tcW w:w="1311" w:type="dxa"/>
            <w:tcBorders>
              <w:top w:val="nil"/>
              <w:left w:val="single" w:sz="4" w:space="0" w:color="auto"/>
              <w:bottom w:val="nil"/>
              <w:right w:val="single" w:sz="4" w:space="0" w:color="auto"/>
            </w:tcBorders>
            <w:shd w:val="clear" w:color="auto" w:fill="auto"/>
            <w:noWrap/>
            <w:vAlign w:val="bottom"/>
            <w:hideMark/>
          </w:tcPr>
          <w:p w14:paraId="5D036429" w14:textId="77777777" w:rsidR="00D215BD" w:rsidRPr="001314CA" w:rsidRDefault="00D215BD" w:rsidP="00D215BD">
            <w:pPr>
              <w:spacing w:before="0"/>
              <w:jc w:val="center"/>
              <w:rPr>
                <w:rFonts w:cs="Calibri"/>
                <w:sz w:val="22"/>
                <w:szCs w:val="22"/>
              </w:rPr>
            </w:pPr>
            <w:r w:rsidRPr="001314CA">
              <w:rPr>
                <w:rFonts w:cs="Calibri"/>
                <w:sz w:val="22"/>
                <w:szCs w:val="22"/>
              </w:rPr>
              <w:t>2002-2006</w:t>
            </w:r>
          </w:p>
        </w:tc>
        <w:tc>
          <w:tcPr>
            <w:tcW w:w="1468" w:type="dxa"/>
            <w:tcBorders>
              <w:top w:val="nil"/>
              <w:left w:val="single" w:sz="4" w:space="0" w:color="auto"/>
              <w:bottom w:val="nil"/>
              <w:right w:val="single" w:sz="4" w:space="0" w:color="auto"/>
            </w:tcBorders>
            <w:shd w:val="clear" w:color="auto" w:fill="auto"/>
            <w:noWrap/>
            <w:vAlign w:val="bottom"/>
            <w:hideMark/>
          </w:tcPr>
          <w:p w14:paraId="66265C19" w14:textId="77777777" w:rsidR="00D215BD" w:rsidRPr="001314CA" w:rsidRDefault="00D215BD" w:rsidP="00D215BD">
            <w:pPr>
              <w:spacing w:before="0"/>
              <w:jc w:val="right"/>
              <w:rPr>
                <w:rFonts w:cs="Calibri"/>
                <w:sz w:val="22"/>
                <w:szCs w:val="22"/>
              </w:rPr>
            </w:pPr>
            <w:r w:rsidRPr="001314CA">
              <w:rPr>
                <w:rFonts w:cs="Calibri"/>
                <w:sz w:val="22"/>
                <w:szCs w:val="22"/>
              </w:rPr>
              <w:t>52 108,95</w:t>
            </w:r>
          </w:p>
        </w:tc>
        <w:tc>
          <w:tcPr>
            <w:tcW w:w="1333" w:type="dxa"/>
            <w:tcBorders>
              <w:top w:val="nil"/>
              <w:left w:val="single" w:sz="4" w:space="0" w:color="auto"/>
              <w:bottom w:val="nil"/>
              <w:right w:val="single" w:sz="4" w:space="0" w:color="auto"/>
            </w:tcBorders>
            <w:shd w:val="clear" w:color="auto" w:fill="auto"/>
            <w:noWrap/>
            <w:vAlign w:val="bottom"/>
            <w:hideMark/>
          </w:tcPr>
          <w:p w14:paraId="68A817CD"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13A602D2" w14:textId="77777777" w:rsidR="00D215BD" w:rsidRPr="001314CA" w:rsidRDefault="00D215BD" w:rsidP="00D215BD">
            <w:pPr>
              <w:spacing w:before="0"/>
              <w:jc w:val="right"/>
              <w:rPr>
                <w:rFonts w:cs="Calibri"/>
                <w:sz w:val="22"/>
                <w:szCs w:val="22"/>
              </w:rPr>
            </w:pPr>
            <w:r w:rsidRPr="001314CA">
              <w:rPr>
                <w:rFonts w:cs="Calibri"/>
                <w:sz w:val="22"/>
                <w:szCs w:val="22"/>
              </w:rPr>
              <w:t>52 108,95</w:t>
            </w:r>
          </w:p>
        </w:tc>
      </w:tr>
      <w:tr w:rsidR="00D215BD" w:rsidRPr="001314CA" w14:paraId="07CC2E56"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02F0A750"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Trade </w:t>
            </w:r>
            <w:proofErr w:type="spellStart"/>
            <w:r w:rsidRPr="001314CA">
              <w:rPr>
                <w:rFonts w:cs="Calibri"/>
                <w:sz w:val="22"/>
                <w:szCs w:val="22"/>
              </w:rPr>
              <w:t>Fairs</w:t>
            </w:r>
            <w:proofErr w:type="spellEnd"/>
            <w:r w:rsidRPr="001314CA">
              <w:rPr>
                <w:rFonts w:cs="Calibri"/>
                <w:sz w:val="22"/>
                <w:szCs w:val="22"/>
              </w:rPr>
              <w:t xml:space="preserve"> International, Le Caire</w:t>
            </w:r>
          </w:p>
        </w:tc>
        <w:tc>
          <w:tcPr>
            <w:tcW w:w="1311" w:type="dxa"/>
            <w:tcBorders>
              <w:top w:val="nil"/>
              <w:left w:val="single" w:sz="4" w:space="0" w:color="auto"/>
              <w:bottom w:val="nil"/>
              <w:right w:val="single" w:sz="4" w:space="0" w:color="auto"/>
            </w:tcBorders>
            <w:shd w:val="clear" w:color="auto" w:fill="auto"/>
            <w:noWrap/>
            <w:vAlign w:val="bottom"/>
            <w:hideMark/>
          </w:tcPr>
          <w:p w14:paraId="654F485B" w14:textId="77777777" w:rsidR="00D215BD" w:rsidRPr="001314CA" w:rsidRDefault="00D215BD" w:rsidP="00D215BD">
            <w:pPr>
              <w:spacing w:before="0"/>
              <w:jc w:val="center"/>
              <w:rPr>
                <w:rFonts w:cs="Calibri"/>
                <w:sz w:val="22"/>
                <w:szCs w:val="22"/>
              </w:rPr>
            </w:pPr>
            <w:r w:rsidRPr="001314CA">
              <w:rPr>
                <w:rFonts w:cs="Calibri"/>
                <w:sz w:val="22"/>
                <w:szCs w:val="22"/>
              </w:rPr>
              <w:t>2000-2006</w:t>
            </w:r>
          </w:p>
        </w:tc>
        <w:tc>
          <w:tcPr>
            <w:tcW w:w="1468" w:type="dxa"/>
            <w:tcBorders>
              <w:top w:val="nil"/>
              <w:left w:val="single" w:sz="4" w:space="0" w:color="auto"/>
              <w:bottom w:val="nil"/>
              <w:right w:val="single" w:sz="4" w:space="0" w:color="auto"/>
            </w:tcBorders>
            <w:shd w:val="clear" w:color="auto" w:fill="auto"/>
            <w:noWrap/>
            <w:vAlign w:val="bottom"/>
            <w:hideMark/>
          </w:tcPr>
          <w:p w14:paraId="2D97AFEA" w14:textId="77777777" w:rsidR="00D215BD" w:rsidRPr="001314CA" w:rsidRDefault="00D215BD" w:rsidP="00D215BD">
            <w:pPr>
              <w:spacing w:before="0"/>
              <w:jc w:val="right"/>
              <w:rPr>
                <w:rFonts w:cs="Calibri"/>
                <w:sz w:val="22"/>
                <w:szCs w:val="22"/>
              </w:rPr>
            </w:pPr>
            <w:r w:rsidRPr="001314CA">
              <w:rPr>
                <w:rFonts w:cs="Calibri"/>
                <w:sz w:val="22"/>
                <w:szCs w:val="22"/>
              </w:rPr>
              <w:t>68 599,90</w:t>
            </w:r>
          </w:p>
        </w:tc>
        <w:tc>
          <w:tcPr>
            <w:tcW w:w="1333" w:type="dxa"/>
            <w:tcBorders>
              <w:top w:val="nil"/>
              <w:left w:val="single" w:sz="4" w:space="0" w:color="auto"/>
              <w:bottom w:val="nil"/>
              <w:right w:val="single" w:sz="4" w:space="0" w:color="auto"/>
            </w:tcBorders>
            <w:shd w:val="clear" w:color="auto" w:fill="auto"/>
            <w:noWrap/>
            <w:vAlign w:val="bottom"/>
            <w:hideMark/>
          </w:tcPr>
          <w:p w14:paraId="2F448138"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721E19AE" w14:textId="77777777" w:rsidR="00D215BD" w:rsidRPr="001314CA" w:rsidRDefault="00D215BD" w:rsidP="00D215BD">
            <w:pPr>
              <w:spacing w:before="0"/>
              <w:jc w:val="right"/>
              <w:rPr>
                <w:rFonts w:cs="Calibri"/>
                <w:sz w:val="22"/>
                <w:szCs w:val="22"/>
              </w:rPr>
            </w:pPr>
            <w:r w:rsidRPr="001314CA">
              <w:rPr>
                <w:rFonts w:cs="Calibri"/>
                <w:sz w:val="22"/>
                <w:szCs w:val="22"/>
              </w:rPr>
              <w:t>68 599,90</w:t>
            </w:r>
          </w:p>
        </w:tc>
      </w:tr>
      <w:tr w:rsidR="00D215BD" w:rsidRPr="001314CA" w14:paraId="41255681"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3F1A521D" w14:textId="77777777" w:rsidR="00D215BD" w:rsidRPr="001314CA" w:rsidRDefault="00D215BD" w:rsidP="00D215BD">
            <w:pPr>
              <w:tabs>
                <w:tab w:val="clear" w:pos="567"/>
              </w:tabs>
              <w:spacing w:before="0"/>
              <w:ind w:left="317" w:hanging="317"/>
              <w:rPr>
                <w:rFonts w:cs="Calibri"/>
                <w:b/>
                <w:bCs/>
                <w:sz w:val="22"/>
                <w:szCs w:val="22"/>
              </w:rPr>
            </w:pPr>
            <w:r w:rsidRPr="001314CA">
              <w:rPr>
                <w:b/>
                <w:sz w:val="22"/>
                <w:szCs w:val="22"/>
              </w:rPr>
              <w:t>Guinée équatoriale</w:t>
            </w:r>
          </w:p>
        </w:tc>
        <w:tc>
          <w:tcPr>
            <w:tcW w:w="1311" w:type="dxa"/>
            <w:tcBorders>
              <w:top w:val="nil"/>
              <w:left w:val="single" w:sz="4" w:space="0" w:color="auto"/>
              <w:bottom w:val="nil"/>
              <w:right w:val="single" w:sz="4" w:space="0" w:color="auto"/>
            </w:tcBorders>
            <w:shd w:val="clear" w:color="auto" w:fill="auto"/>
            <w:noWrap/>
            <w:vAlign w:val="bottom"/>
            <w:hideMark/>
          </w:tcPr>
          <w:p w14:paraId="6FCCF734"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25346979"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66BF09DE"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49EA6B5B" w14:textId="77777777" w:rsidR="00D215BD" w:rsidRPr="001314CA" w:rsidRDefault="00D215BD" w:rsidP="00D215BD">
            <w:pPr>
              <w:spacing w:before="0"/>
              <w:rPr>
                <w:rFonts w:ascii="Times New Roman" w:hAnsi="Times New Roman"/>
                <w:sz w:val="22"/>
                <w:szCs w:val="22"/>
              </w:rPr>
            </w:pPr>
          </w:p>
        </w:tc>
      </w:tr>
      <w:tr w:rsidR="00D215BD" w:rsidRPr="001314CA" w14:paraId="4BCBD6BC"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5074618A"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GETESA, Malabo</w:t>
            </w:r>
          </w:p>
        </w:tc>
        <w:tc>
          <w:tcPr>
            <w:tcW w:w="1311" w:type="dxa"/>
            <w:tcBorders>
              <w:top w:val="nil"/>
              <w:left w:val="single" w:sz="4" w:space="0" w:color="auto"/>
              <w:bottom w:val="nil"/>
              <w:right w:val="single" w:sz="4" w:space="0" w:color="auto"/>
            </w:tcBorders>
            <w:shd w:val="clear" w:color="auto" w:fill="auto"/>
            <w:noWrap/>
            <w:vAlign w:val="bottom"/>
            <w:hideMark/>
          </w:tcPr>
          <w:p w14:paraId="1BCEBA56" w14:textId="77777777" w:rsidR="00D215BD" w:rsidRPr="001314CA" w:rsidRDefault="00D215BD" w:rsidP="00D215BD">
            <w:pPr>
              <w:spacing w:before="0"/>
              <w:jc w:val="center"/>
              <w:rPr>
                <w:rFonts w:cs="Calibri"/>
                <w:sz w:val="22"/>
                <w:szCs w:val="22"/>
              </w:rPr>
            </w:pPr>
            <w:r w:rsidRPr="001314CA">
              <w:rPr>
                <w:rFonts w:cs="Calibri"/>
                <w:sz w:val="22"/>
                <w:szCs w:val="22"/>
              </w:rPr>
              <w:t>2016-2018</w:t>
            </w:r>
          </w:p>
        </w:tc>
        <w:tc>
          <w:tcPr>
            <w:tcW w:w="1468" w:type="dxa"/>
            <w:tcBorders>
              <w:top w:val="nil"/>
              <w:left w:val="single" w:sz="4" w:space="0" w:color="auto"/>
              <w:bottom w:val="nil"/>
              <w:right w:val="single" w:sz="4" w:space="0" w:color="auto"/>
            </w:tcBorders>
            <w:shd w:val="clear" w:color="auto" w:fill="auto"/>
            <w:noWrap/>
            <w:vAlign w:val="bottom"/>
            <w:hideMark/>
          </w:tcPr>
          <w:p w14:paraId="64CF287E" w14:textId="77777777" w:rsidR="00D215BD" w:rsidRPr="001314CA" w:rsidRDefault="00D215BD" w:rsidP="00D215BD">
            <w:pPr>
              <w:spacing w:before="0"/>
              <w:jc w:val="right"/>
              <w:rPr>
                <w:rFonts w:cs="Calibri"/>
                <w:sz w:val="22"/>
                <w:szCs w:val="22"/>
              </w:rPr>
            </w:pPr>
            <w:r w:rsidRPr="001314CA">
              <w:rPr>
                <w:rFonts w:cs="Calibri"/>
                <w:sz w:val="22"/>
                <w:szCs w:val="22"/>
              </w:rPr>
              <w:t>2 138,72</w:t>
            </w:r>
          </w:p>
        </w:tc>
        <w:tc>
          <w:tcPr>
            <w:tcW w:w="1333" w:type="dxa"/>
            <w:tcBorders>
              <w:top w:val="nil"/>
              <w:left w:val="single" w:sz="4" w:space="0" w:color="auto"/>
              <w:bottom w:val="nil"/>
              <w:right w:val="single" w:sz="4" w:space="0" w:color="auto"/>
            </w:tcBorders>
            <w:shd w:val="clear" w:color="auto" w:fill="auto"/>
            <w:noWrap/>
            <w:vAlign w:val="bottom"/>
            <w:hideMark/>
          </w:tcPr>
          <w:p w14:paraId="7A514CE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1C001FAC" w14:textId="77777777" w:rsidR="00D215BD" w:rsidRPr="001314CA" w:rsidRDefault="00D215BD" w:rsidP="00D215BD">
            <w:pPr>
              <w:spacing w:before="0"/>
              <w:jc w:val="right"/>
              <w:rPr>
                <w:rFonts w:cs="Calibri"/>
                <w:sz w:val="22"/>
                <w:szCs w:val="22"/>
              </w:rPr>
            </w:pPr>
            <w:r w:rsidRPr="001314CA">
              <w:rPr>
                <w:rFonts w:cs="Calibri"/>
                <w:sz w:val="22"/>
                <w:szCs w:val="22"/>
              </w:rPr>
              <w:t>2 138,72</w:t>
            </w:r>
          </w:p>
        </w:tc>
      </w:tr>
      <w:tr w:rsidR="00D215BD" w:rsidRPr="001314CA" w14:paraId="33F09167"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65F9CE8D"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Fidji</w:t>
            </w:r>
          </w:p>
        </w:tc>
        <w:tc>
          <w:tcPr>
            <w:tcW w:w="1311" w:type="dxa"/>
            <w:tcBorders>
              <w:top w:val="nil"/>
              <w:left w:val="single" w:sz="4" w:space="0" w:color="auto"/>
              <w:bottom w:val="nil"/>
              <w:right w:val="single" w:sz="4" w:space="0" w:color="auto"/>
            </w:tcBorders>
            <w:shd w:val="clear" w:color="auto" w:fill="auto"/>
            <w:noWrap/>
            <w:vAlign w:val="bottom"/>
            <w:hideMark/>
          </w:tcPr>
          <w:p w14:paraId="3B75D269"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3215E228" w14:textId="77777777" w:rsidR="00D215BD" w:rsidRPr="001314CA" w:rsidRDefault="00D215BD" w:rsidP="00D215BD">
            <w:pPr>
              <w:spacing w:before="0"/>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0C91F479"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565C7490" w14:textId="77777777" w:rsidR="00D215BD" w:rsidRPr="001314CA" w:rsidRDefault="00D215BD" w:rsidP="00D215BD">
            <w:pPr>
              <w:spacing w:before="0"/>
              <w:rPr>
                <w:rFonts w:ascii="Times New Roman" w:hAnsi="Times New Roman"/>
                <w:sz w:val="22"/>
                <w:szCs w:val="22"/>
              </w:rPr>
            </w:pPr>
          </w:p>
        </w:tc>
      </w:tr>
      <w:tr w:rsidR="00D215BD" w:rsidRPr="001314CA" w14:paraId="68875C61"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2F06F522"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South Pacific Commission, Suva</w:t>
            </w:r>
          </w:p>
        </w:tc>
        <w:tc>
          <w:tcPr>
            <w:tcW w:w="1311" w:type="dxa"/>
            <w:tcBorders>
              <w:top w:val="nil"/>
              <w:left w:val="single" w:sz="4" w:space="0" w:color="auto"/>
              <w:bottom w:val="nil"/>
              <w:right w:val="single" w:sz="4" w:space="0" w:color="auto"/>
            </w:tcBorders>
            <w:shd w:val="clear" w:color="auto" w:fill="auto"/>
            <w:noWrap/>
            <w:vAlign w:val="bottom"/>
            <w:hideMark/>
          </w:tcPr>
          <w:p w14:paraId="38F6F597" w14:textId="77777777" w:rsidR="00D215BD" w:rsidRPr="001314CA" w:rsidRDefault="00D215BD" w:rsidP="00D215BD">
            <w:pPr>
              <w:spacing w:before="0"/>
              <w:jc w:val="center"/>
              <w:rPr>
                <w:rFonts w:cs="Calibri"/>
                <w:sz w:val="22"/>
                <w:szCs w:val="22"/>
              </w:rPr>
            </w:pPr>
            <w:r w:rsidRPr="001314CA">
              <w:rPr>
                <w:rFonts w:cs="Calibri"/>
                <w:sz w:val="22"/>
                <w:szCs w:val="22"/>
              </w:rPr>
              <w:t>2012-2013</w:t>
            </w:r>
          </w:p>
        </w:tc>
        <w:tc>
          <w:tcPr>
            <w:tcW w:w="1468" w:type="dxa"/>
            <w:tcBorders>
              <w:top w:val="nil"/>
              <w:left w:val="single" w:sz="4" w:space="0" w:color="auto"/>
              <w:bottom w:val="nil"/>
              <w:right w:val="single" w:sz="4" w:space="0" w:color="auto"/>
            </w:tcBorders>
            <w:shd w:val="clear" w:color="auto" w:fill="auto"/>
            <w:noWrap/>
            <w:vAlign w:val="bottom"/>
            <w:hideMark/>
          </w:tcPr>
          <w:p w14:paraId="75386C55" w14:textId="77777777" w:rsidR="00D215BD" w:rsidRPr="001314CA" w:rsidRDefault="00D215BD" w:rsidP="00D215BD">
            <w:pPr>
              <w:spacing w:before="0"/>
              <w:jc w:val="right"/>
              <w:rPr>
                <w:rFonts w:cs="Calibri"/>
                <w:sz w:val="22"/>
                <w:szCs w:val="22"/>
              </w:rPr>
            </w:pPr>
            <w:r w:rsidRPr="001314CA">
              <w:rPr>
                <w:rFonts w:cs="Calibri"/>
                <w:sz w:val="22"/>
                <w:szCs w:val="22"/>
              </w:rPr>
              <w:t>6 233,55</w:t>
            </w:r>
          </w:p>
        </w:tc>
        <w:tc>
          <w:tcPr>
            <w:tcW w:w="1333" w:type="dxa"/>
            <w:tcBorders>
              <w:top w:val="nil"/>
              <w:left w:val="single" w:sz="4" w:space="0" w:color="auto"/>
              <w:bottom w:val="nil"/>
              <w:right w:val="single" w:sz="4" w:space="0" w:color="auto"/>
            </w:tcBorders>
            <w:shd w:val="clear" w:color="auto" w:fill="auto"/>
            <w:noWrap/>
            <w:vAlign w:val="bottom"/>
            <w:hideMark/>
          </w:tcPr>
          <w:p w14:paraId="10A0E7DA"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07EB4A20" w14:textId="77777777" w:rsidR="00D215BD" w:rsidRPr="001314CA" w:rsidRDefault="00D215BD" w:rsidP="00D215BD">
            <w:pPr>
              <w:spacing w:before="0"/>
              <w:jc w:val="right"/>
              <w:rPr>
                <w:rFonts w:cs="Calibri"/>
                <w:sz w:val="22"/>
                <w:szCs w:val="22"/>
              </w:rPr>
            </w:pPr>
            <w:r w:rsidRPr="001314CA">
              <w:rPr>
                <w:rFonts w:cs="Calibri"/>
                <w:sz w:val="22"/>
                <w:szCs w:val="22"/>
              </w:rPr>
              <w:t>6 233,55</w:t>
            </w:r>
          </w:p>
        </w:tc>
      </w:tr>
      <w:tr w:rsidR="00D215BD" w:rsidRPr="001314CA" w14:paraId="40575A21"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2BEFDC44"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Finlande</w:t>
            </w:r>
          </w:p>
        </w:tc>
        <w:tc>
          <w:tcPr>
            <w:tcW w:w="1311" w:type="dxa"/>
            <w:tcBorders>
              <w:top w:val="nil"/>
              <w:left w:val="single" w:sz="4" w:space="0" w:color="auto"/>
              <w:bottom w:val="nil"/>
              <w:right w:val="single" w:sz="4" w:space="0" w:color="auto"/>
            </w:tcBorders>
            <w:shd w:val="clear" w:color="auto" w:fill="auto"/>
            <w:noWrap/>
            <w:vAlign w:val="bottom"/>
            <w:hideMark/>
          </w:tcPr>
          <w:p w14:paraId="2BE1ED2D"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1554B456"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6D970AAD"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56817AF8" w14:textId="77777777" w:rsidR="00D215BD" w:rsidRPr="001314CA" w:rsidRDefault="00D215BD" w:rsidP="00D215BD">
            <w:pPr>
              <w:spacing w:before="0"/>
              <w:rPr>
                <w:rFonts w:ascii="Times New Roman" w:hAnsi="Times New Roman"/>
                <w:sz w:val="22"/>
                <w:szCs w:val="22"/>
              </w:rPr>
            </w:pPr>
          </w:p>
        </w:tc>
      </w:tr>
      <w:tr w:rsidR="00D215BD" w:rsidRPr="001314CA" w14:paraId="732DF56F" w14:textId="77777777" w:rsidTr="00D215BD">
        <w:trPr>
          <w:trHeight w:val="600"/>
          <w:jc w:val="center"/>
        </w:trPr>
        <w:tc>
          <w:tcPr>
            <w:tcW w:w="4530" w:type="dxa"/>
            <w:tcBorders>
              <w:top w:val="nil"/>
              <w:left w:val="single" w:sz="4" w:space="0" w:color="auto"/>
              <w:bottom w:val="nil"/>
              <w:right w:val="single" w:sz="4" w:space="0" w:color="auto"/>
            </w:tcBorders>
            <w:shd w:val="clear" w:color="auto" w:fill="auto"/>
            <w:vAlign w:val="bottom"/>
            <w:hideMark/>
          </w:tcPr>
          <w:p w14:paraId="72297C40"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Octagon</w:t>
            </w:r>
            <w:proofErr w:type="spellEnd"/>
            <w:r w:rsidRPr="001314CA">
              <w:rPr>
                <w:rFonts w:cs="Calibri"/>
                <w:sz w:val="22"/>
                <w:szCs w:val="22"/>
              </w:rPr>
              <w:t xml:space="preserve"> Telecom Oy (Ex. Oy </w:t>
            </w:r>
            <w:proofErr w:type="spellStart"/>
            <w:r w:rsidRPr="001314CA">
              <w:rPr>
                <w:rFonts w:cs="Calibri"/>
                <w:sz w:val="22"/>
                <w:szCs w:val="22"/>
              </w:rPr>
              <w:t>Cubio</w:t>
            </w:r>
            <w:proofErr w:type="spellEnd"/>
            <w:r w:rsidRPr="001314CA">
              <w:rPr>
                <w:rFonts w:cs="Calibri"/>
                <w:sz w:val="22"/>
                <w:szCs w:val="22"/>
              </w:rPr>
              <w:t xml:space="preserve"> Communications Ltd.), Helsinki</w:t>
            </w:r>
          </w:p>
        </w:tc>
        <w:tc>
          <w:tcPr>
            <w:tcW w:w="1311" w:type="dxa"/>
            <w:tcBorders>
              <w:top w:val="nil"/>
              <w:left w:val="single" w:sz="4" w:space="0" w:color="auto"/>
              <w:bottom w:val="nil"/>
              <w:right w:val="single" w:sz="4" w:space="0" w:color="auto"/>
            </w:tcBorders>
            <w:shd w:val="clear" w:color="auto" w:fill="auto"/>
            <w:noWrap/>
            <w:vAlign w:val="bottom"/>
            <w:hideMark/>
          </w:tcPr>
          <w:p w14:paraId="3C90A267" w14:textId="77777777" w:rsidR="00D215BD" w:rsidRPr="001314CA" w:rsidRDefault="00D215BD" w:rsidP="00D215BD">
            <w:pPr>
              <w:spacing w:before="0"/>
              <w:jc w:val="center"/>
              <w:rPr>
                <w:rFonts w:cs="Calibri"/>
                <w:sz w:val="22"/>
                <w:szCs w:val="22"/>
              </w:rPr>
            </w:pPr>
            <w:r w:rsidRPr="001314CA">
              <w:rPr>
                <w:rFonts w:cs="Calibri"/>
                <w:sz w:val="22"/>
                <w:szCs w:val="22"/>
              </w:rPr>
              <w:t>2012-2013</w:t>
            </w:r>
          </w:p>
        </w:tc>
        <w:tc>
          <w:tcPr>
            <w:tcW w:w="1468" w:type="dxa"/>
            <w:tcBorders>
              <w:top w:val="nil"/>
              <w:left w:val="single" w:sz="4" w:space="0" w:color="auto"/>
              <w:bottom w:val="nil"/>
              <w:right w:val="single" w:sz="4" w:space="0" w:color="auto"/>
            </w:tcBorders>
            <w:shd w:val="clear" w:color="auto" w:fill="auto"/>
            <w:noWrap/>
            <w:vAlign w:val="bottom"/>
            <w:hideMark/>
          </w:tcPr>
          <w:p w14:paraId="13B32CB3" w14:textId="77777777" w:rsidR="00D215BD" w:rsidRPr="001314CA" w:rsidRDefault="00D215BD" w:rsidP="00D215BD">
            <w:pPr>
              <w:spacing w:before="0"/>
              <w:jc w:val="right"/>
              <w:rPr>
                <w:rFonts w:cs="Calibri"/>
                <w:sz w:val="22"/>
                <w:szCs w:val="22"/>
              </w:rPr>
            </w:pPr>
            <w:r w:rsidRPr="001314CA">
              <w:rPr>
                <w:rFonts w:cs="Calibri"/>
                <w:sz w:val="22"/>
                <w:szCs w:val="22"/>
              </w:rPr>
              <w:t>14 406,65</w:t>
            </w:r>
          </w:p>
        </w:tc>
        <w:tc>
          <w:tcPr>
            <w:tcW w:w="1333" w:type="dxa"/>
            <w:tcBorders>
              <w:top w:val="nil"/>
              <w:left w:val="single" w:sz="4" w:space="0" w:color="auto"/>
              <w:bottom w:val="nil"/>
              <w:right w:val="single" w:sz="4" w:space="0" w:color="auto"/>
            </w:tcBorders>
            <w:shd w:val="clear" w:color="auto" w:fill="auto"/>
            <w:noWrap/>
            <w:vAlign w:val="bottom"/>
            <w:hideMark/>
          </w:tcPr>
          <w:p w14:paraId="5BC69C5A"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6D6913EA" w14:textId="77777777" w:rsidR="00D215BD" w:rsidRPr="001314CA" w:rsidRDefault="00D215BD" w:rsidP="00D215BD">
            <w:pPr>
              <w:spacing w:before="0"/>
              <w:jc w:val="right"/>
              <w:rPr>
                <w:rFonts w:cs="Calibri"/>
                <w:sz w:val="22"/>
                <w:szCs w:val="22"/>
              </w:rPr>
            </w:pPr>
            <w:r w:rsidRPr="001314CA">
              <w:rPr>
                <w:rFonts w:cs="Calibri"/>
                <w:sz w:val="22"/>
                <w:szCs w:val="22"/>
              </w:rPr>
              <w:t>14 406,65</w:t>
            </w:r>
          </w:p>
        </w:tc>
      </w:tr>
      <w:tr w:rsidR="00D215BD" w:rsidRPr="001314CA" w14:paraId="11EA3549"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452DA639"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France</w:t>
            </w:r>
          </w:p>
        </w:tc>
        <w:tc>
          <w:tcPr>
            <w:tcW w:w="1311" w:type="dxa"/>
            <w:tcBorders>
              <w:top w:val="nil"/>
              <w:left w:val="single" w:sz="4" w:space="0" w:color="auto"/>
              <w:bottom w:val="nil"/>
              <w:right w:val="single" w:sz="4" w:space="0" w:color="auto"/>
            </w:tcBorders>
            <w:shd w:val="clear" w:color="auto" w:fill="auto"/>
            <w:noWrap/>
            <w:vAlign w:val="bottom"/>
            <w:hideMark/>
          </w:tcPr>
          <w:p w14:paraId="034EBF23"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7F0760CD"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5919966E"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45ACD167" w14:textId="77777777" w:rsidR="00D215BD" w:rsidRPr="001314CA" w:rsidRDefault="00D215BD" w:rsidP="00D215BD">
            <w:pPr>
              <w:spacing w:before="0"/>
              <w:rPr>
                <w:rFonts w:ascii="Times New Roman" w:hAnsi="Times New Roman"/>
                <w:sz w:val="22"/>
                <w:szCs w:val="22"/>
              </w:rPr>
            </w:pPr>
          </w:p>
        </w:tc>
      </w:tr>
      <w:tr w:rsidR="00D215BD" w:rsidRPr="001314CA" w14:paraId="2E4A9C93"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610AF554"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LegalBox</w:t>
            </w:r>
            <w:proofErr w:type="spellEnd"/>
            <w:r w:rsidRPr="001314CA">
              <w:rPr>
                <w:rFonts w:cs="Calibri"/>
                <w:sz w:val="22"/>
                <w:szCs w:val="22"/>
              </w:rPr>
              <w:t>, Paris</w:t>
            </w:r>
          </w:p>
        </w:tc>
        <w:tc>
          <w:tcPr>
            <w:tcW w:w="1311" w:type="dxa"/>
            <w:tcBorders>
              <w:top w:val="nil"/>
              <w:left w:val="single" w:sz="4" w:space="0" w:color="auto"/>
              <w:bottom w:val="nil"/>
              <w:right w:val="single" w:sz="4" w:space="0" w:color="auto"/>
            </w:tcBorders>
            <w:shd w:val="clear" w:color="auto" w:fill="auto"/>
            <w:noWrap/>
            <w:vAlign w:val="bottom"/>
            <w:hideMark/>
          </w:tcPr>
          <w:p w14:paraId="7C72801D" w14:textId="77777777" w:rsidR="00D215BD" w:rsidRPr="001314CA" w:rsidRDefault="00D215BD" w:rsidP="00D215BD">
            <w:pPr>
              <w:spacing w:before="0"/>
              <w:jc w:val="center"/>
              <w:rPr>
                <w:rFonts w:cs="Calibri"/>
                <w:sz w:val="22"/>
                <w:szCs w:val="22"/>
              </w:rPr>
            </w:pPr>
            <w:r w:rsidRPr="001314CA">
              <w:rPr>
                <w:rFonts w:cs="Calibri"/>
                <w:sz w:val="22"/>
                <w:szCs w:val="22"/>
              </w:rPr>
              <w:t>2016-2017</w:t>
            </w:r>
          </w:p>
        </w:tc>
        <w:tc>
          <w:tcPr>
            <w:tcW w:w="1468" w:type="dxa"/>
            <w:tcBorders>
              <w:top w:val="nil"/>
              <w:left w:val="single" w:sz="4" w:space="0" w:color="auto"/>
              <w:bottom w:val="nil"/>
              <w:right w:val="single" w:sz="4" w:space="0" w:color="auto"/>
            </w:tcBorders>
            <w:shd w:val="clear" w:color="auto" w:fill="auto"/>
            <w:noWrap/>
            <w:vAlign w:val="bottom"/>
            <w:hideMark/>
          </w:tcPr>
          <w:p w14:paraId="4FA9C841" w14:textId="77777777" w:rsidR="00D215BD" w:rsidRPr="001314CA" w:rsidRDefault="00D215BD" w:rsidP="00D215BD">
            <w:pPr>
              <w:spacing w:before="0"/>
              <w:jc w:val="right"/>
              <w:rPr>
                <w:rFonts w:cs="Calibri"/>
                <w:sz w:val="22"/>
                <w:szCs w:val="22"/>
              </w:rPr>
            </w:pPr>
            <w:r w:rsidRPr="001314CA">
              <w:rPr>
                <w:rFonts w:cs="Calibri"/>
                <w:sz w:val="22"/>
                <w:szCs w:val="22"/>
              </w:rPr>
              <w:t>17 217,13</w:t>
            </w:r>
          </w:p>
        </w:tc>
        <w:tc>
          <w:tcPr>
            <w:tcW w:w="1333" w:type="dxa"/>
            <w:tcBorders>
              <w:top w:val="nil"/>
              <w:left w:val="single" w:sz="4" w:space="0" w:color="auto"/>
              <w:bottom w:val="nil"/>
              <w:right w:val="single" w:sz="4" w:space="0" w:color="auto"/>
            </w:tcBorders>
            <w:shd w:val="clear" w:color="auto" w:fill="auto"/>
            <w:noWrap/>
            <w:vAlign w:val="bottom"/>
            <w:hideMark/>
          </w:tcPr>
          <w:p w14:paraId="3F7438DC"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68B62231" w14:textId="77777777" w:rsidR="00D215BD" w:rsidRPr="001314CA" w:rsidRDefault="00D215BD" w:rsidP="00D215BD">
            <w:pPr>
              <w:spacing w:before="0"/>
              <w:jc w:val="right"/>
              <w:rPr>
                <w:rFonts w:cs="Calibri"/>
                <w:sz w:val="22"/>
                <w:szCs w:val="22"/>
              </w:rPr>
            </w:pPr>
            <w:r w:rsidRPr="001314CA">
              <w:rPr>
                <w:rFonts w:cs="Calibri"/>
                <w:sz w:val="22"/>
                <w:szCs w:val="22"/>
              </w:rPr>
              <w:t>17 217,13</w:t>
            </w:r>
          </w:p>
        </w:tc>
      </w:tr>
      <w:tr w:rsidR="00D215BD" w:rsidRPr="001314CA" w14:paraId="18A84844"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7F658705"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PMI Conseil, Luynes</w:t>
            </w:r>
          </w:p>
        </w:tc>
        <w:tc>
          <w:tcPr>
            <w:tcW w:w="1311" w:type="dxa"/>
            <w:tcBorders>
              <w:top w:val="nil"/>
              <w:left w:val="single" w:sz="4" w:space="0" w:color="auto"/>
              <w:bottom w:val="nil"/>
              <w:right w:val="single" w:sz="4" w:space="0" w:color="auto"/>
            </w:tcBorders>
            <w:shd w:val="clear" w:color="auto" w:fill="auto"/>
            <w:noWrap/>
            <w:vAlign w:val="bottom"/>
            <w:hideMark/>
          </w:tcPr>
          <w:p w14:paraId="74F9BFED" w14:textId="77777777" w:rsidR="00D215BD" w:rsidRPr="001314CA" w:rsidRDefault="00D215BD" w:rsidP="00D215BD">
            <w:pPr>
              <w:spacing w:before="0"/>
              <w:jc w:val="center"/>
              <w:rPr>
                <w:rFonts w:cs="Calibri"/>
                <w:sz w:val="22"/>
                <w:szCs w:val="22"/>
              </w:rPr>
            </w:pPr>
            <w:r w:rsidRPr="001314CA">
              <w:rPr>
                <w:rFonts w:cs="Calibri"/>
                <w:sz w:val="22"/>
                <w:szCs w:val="22"/>
              </w:rPr>
              <w:t>2018</w:t>
            </w:r>
          </w:p>
        </w:tc>
        <w:tc>
          <w:tcPr>
            <w:tcW w:w="1468" w:type="dxa"/>
            <w:tcBorders>
              <w:top w:val="nil"/>
              <w:left w:val="single" w:sz="4" w:space="0" w:color="auto"/>
              <w:bottom w:val="nil"/>
              <w:right w:val="single" w:sz="4" w:space="0" w:color="auto"/>
            </w:tcBorders>
            <w:shd w:val="clear" w:color="auto" w:fill="auto"/>
            <w:noWrap/>
            <w:vAlign w:val="bottom"/>
            <w:hideMark/>
          </w:tcPr>
          <w:p w14:paraId="2C44E3B4" w14:textId="77777777" w:rsidR="00D215BD" w:rsidRPr="001314CA" w:rsidRDefault="00D215BD" w:rsidP="00D215BD">
            <w:pPr>
              <w:spacing w:before="0"/>
              <w:jc w:val="right"/>
              <w:rPr>
                <w:rFonts w:cs="Calibri"/>
                <w:sz w:val="22"/>
                <w:szCs w:val="22"/>
              </w:rPr>
            </w:pPr>
            <w:r w:rsidRPr="001314CA">
              <w:rPr>
                <w:rFonts w:cs="Calibri"/>
                <w:sz w:val="22"/>
                <w:szCs w:val="22"/>
              </w:rPr>
              <w:t>9 267,65</w:t>
            </w:r>
          </w:p>
        </w:tc>
        <w:tc>
          <w:tcPr>
            <w:tcW w:w="1333" w:type="dxa"/>
            <w:tcBorders>
              <w:top w:val="nil"/>
              <w:left w:val="single" w:sz="4" w:space="0" w:color="auto"/>
              <w:bottom w:val="nil"/>
              <w:right w:val="single" w:sz="4" w:space="0" w:color="auto"/>
            </w:tcBorders>
            <w:shd w:val="clear" w:color="auto" w:fill="auto"/>
            <w:noWrap/>
            <w:vAlign w:val="bottom"/>
            <w:hideMark/>
          </w:tcPr>
          <w:p w14:paraId="69E04CED"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5CF40673" w14:textId="77777777" w:rsidR="00D215BD" w:rsidRPr="001314CA" w:rsidRDefault="00D215BD" w:rsidP="00D215BD">
            <w:pPr>
              <w:spacing w:before="0"/>
              <w:jc w:val="right"/>
              <w:rPr>
                <w:rFonts w:cs="Calibri"/>
                <w:sz w:val="22"/>
                <w:szCs w:val="22"/>
              </w:rPr>
            </w:pPr>
            <w:r w:rsidRPr="001314CA">
              <w:rPr>
                <w:rFonts w:cs="Calibri"/>
                <w:sz w:val="22"/>
                <w:szCs w:val="22"/>
              </w:rPr>
              <w:t>9 267,65</w:t>
            </w:r>
          </w:p>
        </w:tc>
      </w:tr>
      <w:tr w:rsidR="00D215BD" w:rsidRPr="001314CA" w14:paraId="234E8C41"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0AE90E0E"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Ghana</w:t>
            </w:r>
          </w:p>
        </w:tc>
        <w:tc>
          <w:tcPr>
            <w:tcW w:w="1311" w:type="dxa"/>
            <w:tcBorders>
              <w:top w:val="nil"/>
              <w:left w:val="single" w:sz="4" w:space="0" w:color="auto"/>
              <w:bottom w:val="nil"/>
              <w:right w:val="single" w:sz="4" w:space="0" w:color="auto"/>
            </w:tcBorders>
            <w:shd w:val="clear" w:color="auto" w:fill="auto"/>
            <w:noWrap/>
            <w:vAlign w:val="bottom"/>
            <w:hideMark/>
          </w:tcPr>
          <w:p w14:paraId="29CCEF27"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35FF6A42"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229C3D92"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5EF2CA7A" w14:textId="77777777" w:rsidR="00D215BD" w:rsidRPr="001314CA" w:rsidRDefault="00D215BD" w:rsidP="00D215BD">
            <w:pPr>
              <w:spacing w:before="0"/>
              <w:rPr>
                <w:rFonts w:ascii="Times New Roman" w:hAnsi="Times New Roman"/>
                <w:sz w:val="22"/>
                <w:szCs w:val="22"/>
              </w:rPr>
            </w:pPr>
          </w:p>
        </w:tc>
      </w:tr>
      <w:tr w:rsidR="00D215BD" w:rsidRPr="001314CA" w14:paraId="2BED50EF"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17675C9A"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Université maritime régionale, Accra</w:t>
            </w:r>
          </w:p>
        </w:tc>
        <w:tc>
          <w:tcPr>
            <w:tcW w:w="1311" w:type="dxa"/>
            <w:tcBorders>
              <w:top w:val="nil"/>
              <w:left w:val="single" w:sz="4" w:space="0" w:color="auto"/>
              <w:bottom w:val="nil"/>
              <w:right w:val="single" w:sz="4" w:space="0" w:color="auto"/>
            </w:tcBorders>
            <w:shd w:val="clear" w:color="auto" w:fill="auto"/>
            <w:noWrap/>
            <w:vAlign w:val="bottom"/>
            <w:hideMark/>
          </w:tcPr>
          <w:p w14:paraId="73584241" w14:textId="77777777" w:rsidR="00D215BD" w:rsidRPr="001314CA" w:rsidRDefault="00D215BD" w:rsidP="00D215BD">
            <w:pPr>
              <w:spacing w:before="0"/>
              <w:jc w:val="center"/>
              <w:rPr>
                <w:rFonts w:cs="Calibri"/>
                <w:sz w:val="22"/>
                <w:szCs w:val="22"/>
              </w:rPr>
            </w:pPr>
            <w:r w:rsidRPr="001314CA">
              <w:rPr>
                <w:rFonts w:cs="Calibri"/>
                <w:sz w:val="22"/>
                <w:szCs w:val="22"/>
              </w:rPr>
              <w:t>2012</w:t>
            </w:r>
          </w:p>
        </w:tc>
        <w:tc>
          <w:tcPr>
            <w:tcW w:w="1468" w:type="dxa"/>
            <w:tcBorders>
              <w:top w:val="nil"/>
              <w:left w:val="single" w:sz="4" w:space="0" w:color="auto"/>
              <w:bottom w:val="nil"/>
              <w:right w:val="single" w:sz="4" w:space="0" w:color="auto"/>
            </w:tcBorders>
            <w:shd w:val="clear" w:color="auto" w:fill="auto"/>
            <w:noWrap/>
            <w:vAlign w:val="bottom"/>
            <w:hideMark/>
          </w:tcPr>
          <w:p w14:paraId="1BF2AE4D" w14:textId="77777777" w:rsidR="00D215BD" w:rsidRPr="001314CA" w:rsidRDefault="00D215BD" w:rsidP="00D215BD">
            <w:pPr>
              <w:spacing w:before="0"/>
              <w:jc w:val="right"/>
              <w:rPr>
                <w:rFonts w:cs="Calibri"/>
                <w:sz w:val="22"/>
                <w:szCs w:val="22"/>
              </w:rPr>
            </w:pPr>
            <w:r w:rsidRPr="001314CA">
              <w:rPr>
                <w:rFonts w:cs="Calibri"/>
                <w:sz w:val="22"/>
                <w:szCs w:val="22"/>
              </w:rPr>
              <w:t>2 495,16</w:t>
            </w:r>
          </w:p>
        </w:tc>
        <w:tc>
          <w:tcPr>
            <w:tcW w:w="1333" w:type="dxa"/>
            <w:tcBorders>
              <w:top w:val="nil"/>
              <w:left w:val="single" w:sz="4" w:space="0" w:color="auto"/>
              <w:bottom w:val="nil"/>
              <w:right w:val="single" w:sz="4" w:space="0" w:color="auto"/>
            </w:tcBorders>
            <w:shd w:val="clear" w:color="auto" w:fill="auto"/>
            <w:noWrap/>
            <w:vAlign w:val="bottom"/>
            <w:hideMark/>
          </w:tcPr>
          <w:p w14:paraId="48158F0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7E1CA4DB" w14:textId="77777777" w:rsidR="00D215BD" w:rsidRPr="001314CA" w:rsidRDefault="00D215BD" w:rsidP="00D215BD">
            <w:pPr>
              <w:spacing w:before="0"/>
              <w:jc w:val="right"/>
              <w:rPr>
                <w:rFonts w:cs="Calibri"/>
                <w:sz w:val="22"/>
                <w:szCs w:val="22"/>
              </w:rPr>
            </w:pPr>
            <w:r w:rsidRPr="001314CA">
              <w:rPr>
                <w:rFonts w:cs="Calibri"/>
                <w:sz w:val="22"/>
                <w:szCs w:val="22"/>
              </w:rPr>
              <w:t>2 495,16</w:t>
            </w:r>
          </w:p>
        </w:tc>
      </w:tr>
      <w:tr w:rsidR="00D215BD" w:rsidRPr="001314CA" w14:paraId="3ADD0042"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4A469F8A"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 xml:space="preserve">Honduras </w:t>
            </w:r>
          </w:p>
        </w:tc>
        <w:tc>
          <w:tcPr>
            <w:tcW w:w="1311" w:type="dxa"/>
            <w:tcBorders>
              <w:top w:val="nil"/>
              <w:left w:val="single" w:sz="4" w:space="0" w:color="auto"/>
              <w:bottom w:val="nil"/>
              <w:right w:val="single" w:sz="4" w:space="0" w:color="auto"/>
            </w:tcBorders>
            <w:shd w:val="clear" w:color="auto" w:fill="auto"/>
            <w:noWrap/>
            <w:vAlign w:val="bottom"/>
            <w:hideMark/>
          </w:tcPr>
          <w:p w14:paraId="12634C40"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0670E1EF"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33984785"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73FC8DE8" w14:textId="77777777" w:rsidR="00D215BD" w:rsidRPr="001314CA" w:rsidRDefault="00D215BD" w:rsidP="00D215BD">
            <w:pPr>
              <w:spacing w:before="0"/>
              <w:rPr>
                <w:rFonts w:ascii="Times New Roman" w:hAnsi="Times New Roman"/>
                <w:sz w:val="22"/>
                <w:szCs w:val="22"/>
              </w:rPr>
            </w:pPr>
          </w:p>
        </w:tc>
      </w:tr>
      <w:tr w:rsidR="00D215BD" w:rsidRPr="001314CA" w14:paraId="44C84F12"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4B5FAAEF"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UNITEC, Tegucigalpa</w:t>
            </w:r>
          </w:p>
        </w:tc>
        <w:tc>
          <w:tcPr>
            <w:tcW w:w="1311" w:type="dxa"/>
            <w:tcBorders>
              <w:top w:val="nil"/>
              <w:left w:val="single" w:sz="4" w:space="0" w:color="auto"/>
              <w:bottom w:val="nil"/>
              <w:right w:val="single" w:sz="4" w:space="0" w:color="auto"/>
            </w:tcBorders>
            <w:shd w:val="clear" w:color="auto" w:fill="auto"/>
            <w:noWrap/>
            <w:vAlign w:val="bottom"/>
            <w:hideMark/>
          </w:tcPr>
          <w:p w14:paraId="302D6D30" w14:textId="77777777" w:rsidR="00D215BD" w:rsidRPr="001314CA" w:rsidRDefault="00D215BD" w:rsidP="00D215BD">
            <w:pPr>
              <w:spacing w:before="0"/>
              <w:jc w:val="center"/>
              <w:rPr>
                <w:rFonts w:cs="Calibri"/>
                <w:sz w:val="22"/>
                <w:szCs w:val="22"/>
              </w:rPr>
            </w:pPr>
            <w:r w:rsidRPr="001314CA">
              <w:rPr>
                <w:rFonts w:cs="Calibri"/>
                <w:sz w:val="22"/>
                <w:szCs w:val="22"/>
              </w:rPr>
              <w:t>2012</w:t>
            </w:r>
          </w:p>
        </w:tc>
        <w:tc>
          <w:tcPr>
            <w:tcW w:w="1468" w:type="dxa"/>
            <w:tcBorders>
              <w:top w:val="nil"/>
              <w:left w:val="single" w:sz="4" w:space="0" w:color="auto"/>
              <w:bottom w:val="nil"/>
              <w:right w:val="single" w:sz="4" w:space="0" w:color="auto"/>
            </w:tcBorders>
            <w:shd w:val="clear" w:color="auto" w:fill="auto"/>
            <w:noWrap/>
            <w:vAlign w:val="bottom"/>
            <w:hideMark/>
          </w:tcPr>
          <w:p w14:paraId="59C2A686" w14:textId="77777777" w:rsidR="00D215BD" w:rsidRPr="001314CA" w:rsidRDefault="00D215BD" w:rsidP="00D215BD">
            <w:pPr>
              <w:spacing w:before="0"/>
              <w:jc w:val="right"/>
              <w:rPr>
                <w:rFonts w:cs="Calibri"/>
                <w:sz w:val="22"/>
                <w:szCs w:val="22"/>
              </w:rPr>
            </w:pPr>
            <w:r w:rsidRPr="001314CA">
              <w:rPr>
                <w:rFonts w:cs="Calibri"/>
                <w:sz w:val="22"/>
                <w:szCs w:val="22"/>
              </w:rPr>
              <w:t>3 286,55</w:t>
            </w:r>
          </w:p>
        </w:tc>
        <w:tc>
          <w:tcPr>
            <w:tcW w:w="1333" w:type="dxa"/>
            <w:tcBorders>
              <w:top w:val="nil"/>
              <w:left w:val="single" w:sz="4" w:space="0" w:color="auto"/>
              <w:bottom w:val="nil"/>
              <w:right w:val="single" w:sz="4" w:space="0" w:color="auto"/>
            </w:tcBorders>
            <w:shd w:val="clear" w:color="auto" w:fill="auto"/>
            <w:noWrap/>
            <w:vAlign w:val="bottom"/>
            <w:hideMark/>
          </w:tcPr>
          <w:p w14:paraId="1B7B459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63295C57" w14:textId="77777777" w:rsidR="00D215BD" w:rsidRPr="001314CA" w:rsidRDefault="00D215BD" w:rsidP="00D215BD">
            <w:pPr>
              <w:spacing w:before="0"/>
              <w:jc w:val="right"/>
              <w:rPr>
                <w:rFonts w:cs="Calibri"/>
                <w:sz w:val="22"/>
                <w:szCs w:val="22"/>
              </w:rPr>
            </w:pPr>
            <w:r w:rsidRPr="001314CA">
              <w:rPr>
                <w:rFonts w:cs="Calibri"/>
                <w:sz w:val="22"/>
                <w:szCs w:val="22"/>
              </w:rPr>
              <w:t>3 286,55</w:t>
            </w:r>
          </w:p>
        </w:tc>
      </w:tr>
      <w:tr w:rsidR="00D215BD" w:rsidRPr="001314CA" w14:paraId="5AC76959" w14:textId="77777777" w:rsidTr="00D215BD">
        <w:trPr>
          <w:trHeight w:val="300"/>
          <w:jc w:val="center"/>
        </w:trPr>
        <w:tc>
          <w:tcPr>
            <w:tcW w:w="4530" w:type="dxa"/>
            <w:tcBorders>
              <w:top w:val="nil"/>
              <w:left w:val="single" w:sz="4" w:space="0" w:color="auto"/>
              <w:bottom w:val="nil"/>
              <w:right w:val="single" w:sz="4" w:space="0" w:color="auto"/>
            </w:tcBorders>
            <w:shd w:val="clear" w:color="auto" w:fill="auto"/>
            <w:vAlign w:val="bottom"/>
            <w:hideMark/>
          </w:tcPr>
          <w:p w14:paraId="538E3ABB"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Hongrie</w:t>
            </w:r>
          </w:p>
        </w:tc>
        <w:tc>
          <w:tcPr>
            <w:tcW w:w="1311" w:type="dxa"/>
            <w:tcBorders>
              <w:top w:val="nil"/>
              <w:left w:val="single" w:sz="4" w:space="0" w:color="auto"/>
              <w:bottom w:val="nil"/>
              <w:right w:val="single" w:sz="4" w:space="0" w:color="auto"/>
            </w:tcBorders>
            <w:shd w:val="clear" w:color="auto" w:fill="auto"/>
            <w:noWrap/>
            <w:vAlign w:val="bottom"/>
            <w:hideMark/>
          </w:tcPr>
          <w:p w14:paraId="127005EE"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6EA047CF"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15EFD3ED"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2CA1EB2A" w14:textId="77777777" w:rsidR="00D215BD" w:rsidRPr="001314CA" w:rsidRDefault="00D215BD" w:rsidP="00D215BD">
            <w:pPr>
              <w:spacing w:before="0"/>
              <w:rPr>
                <w:rFonts w:ascii="Times New Roman" w:hAnsi="Times New Roman"/>
                <w:sz w:val="22"/>
                <w:szCs w:val="22"/>
              </w:rPr>
            </w:pPr>
          </w:p>
        </w:tc>
      </w:tr>
      <w:tr w:rsidR="00D215BD" w:rsidRPr="001314CA" w14:paraId="0DB6074A" w14:textId="77777777" w:rsidTr="00D215BD">
        <w:trPr>
          <w:trHeight w:val="600"/>
          <w:jc w:val="center"/>
        </w:trPr>
        <w:tc>
          <w:tcPr>
            <w:tcW w:w="4530" w:type="dxa"/>
            <w:tcBorders>
              <w:top w:val="nil"/>
              <w:left w:val="single" w:sz="4" w:space="0" w:color="auto"/>
              <w:right w:val="single" w:sz="4" w:space="0" w:color="auto"/>
            </w:tcBorders>
            <w:shd w:val="clear" w:color="auto" w:fill="auto"/>
            <w:vAlign w:val="bottom"/>
            <w:hideMark/>
          </w:tcPr>
          <w:p w14:paraId="2F2152ED"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Université de technologie et d'économie de Budapest, Budapest</w:t>
            </w:r>
          </w:p>
        </w:tc>
        <w:tc>
          <w:tcPr>
            <w:tcW w:w="1311" w:type="dxa"/>
            <w:tcBorders>
              <w:top w:val="nil"/>
              <w:left w:val="single" w:sz="4" w:space="0" w:color="auto"/>
              <w:right w:val="single" w:sz="4" w:space="0" w:color="auto"/>
            </w:tcBorders>
            <w:shd w:val="clear" w:color="auto" w:fill="auto"/>
            <w:noWrap/>
            <w:vAlign w:val="bottom"/>
            <w:hideMark/>
          </w:tcPr>
          <w:p w14:paraId="2C770E8A" w14:textId="77777777" w:rsidR="00D215BD" w:rsidRPr="001314CA" w:rsidRDefault="00D215BD" w:rsidP="00D215BD">
            <w:pPr>
              <w:spacing w:before="0"/>
              <w:jc w:val="center"/>
              <w:rPr>
                <w:rFonts w:cs="Calibri"/>
                <w:sz w:val="22"/>
                <w:szCs w:val="22"/>
              </w:rPr>
            </w:pPr>
            <w:r w:rsidRPr="001314CA">
              <w:rPr>
                <w:rFonts w:cs="Calibri"/>
                <w:sz w:val="22"/>
                <w:szCs w:val="22"/>
              </w:rPr>
              <w:t>2017-2019</w:t>
            </w:r>
          </w:p>
        </w:tc>
        <w:tc>
          <w:tcPr>
            <w:tcW w:w="1468" w:type="dxa"/>
            <w:tcBorders>
              <w:top w:val="nil"/>
              <w:left w:val="single" w:sz="4" w:space="0" w:color="auto"/>
              <w:right w:val="single" w:sz="4" w:space="0" w:color="auto"/>
            </w:tcBorders>
            <w:shd w:val="clear" w:color="auto" w:fill="auto"/>
            <w:noWrap/>
            <w:vAlign w:val="bottom"/>
            <w:hideMark/>
          </w:tcPr>
          <w:p w14:paraId="6E757FB3" w14:textId="77777777" w:rsidR="00D215BD" w:rsidRPr="001314CA" w:rsidRDefault="00D215BD" w:rsidP="00D215BD">
            <w:pPr>
              <w:spacing w:before="0"/>
              <w:jc w:val="right"/>
              <w:rPr>
                <w:rFonts w:cs="Calibri"/>
                <w:sz w:val="22"/>
                <w:szCs w:val="22"/>
              </w:rPr>
            </w:pPr>
            <w:r w:rsidRPr="001314CA">
              <w:rPr>
                <w:rFonts w:cs="Calibri"/>
                <w:sz w:val="22"/>
                <w:szCs w:val="22"/>
              </w:rPr>
              <w:t>4 605,35</w:t>
            </w:r>
          </w:p>
        </w:tc>
        <w:tc>
          <w:tcPr>
            <w:tcW w:w="1333" w:type="dxa"/>
            <w:tcBorders>
              <w:top w:val="nil"/>
              <w:left w:val="single" w:sz="4" w:space="0" w:color="auto"/>
              <w:right w:val="single" w:sz="4" w:space="0" w:color="auto"/>
            </w:tcBorders>
            <w:shd w:val="clear" w:color="auto" w:fill="auto"/>
            <w:noWrap/>
            <w:vAlign w:val="bottom"/>
            <w:hideMark/>
          </w:tcPr>
          <w:p w14:paraId="2CB0DF61"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right w:val="single" w:sz="4" w:space="0" w:color="auto"/>
            </w:tcBorders>
            <w:shd w:val="clear" w:color="auto" w:fill="auto"/>
            <w:noWrap/>
            <w:vAlign w:val="bottom"/>
            <w:hideMark/>
          </w:tcPr>
          <w:p w14:paraId="18764EB4" w14:textId="77777777" w:rsidR="00D215BD" w:rsidRPr="001314CA" w:rsidRDefault="00D215BD" w:rsidP="00D215BD">
            <w:pPr>
              <w:spacing w:before="0"/>
              <w:jc w:val="right"/>
              <w:rPr>
                <w:rFonts w:cs="Calibri"/>
                <w:sz w:val="22"/>
                <w:szCs w:val="22"/>
              </w:rPr>
            </w:pPr>
            <w:r w:rsidRPr="001314CA">
              <w:rPr>
                <w:rFonts w:cs="Calibri"/>
                <w:sz w:val="22"/>
                <w:szCs w:val="22"/>
              </w:rPr>
              <w:t>4 605,35</w:t>
            </w:r>
          </w:p>
        </w:tc>
      </w:tr>
      <w:tr w:rsidR="00D215BD" w:rsidRPr="001314CA" w14:paraId="280BF90A" w14:textId="77777777" w:rsidTr="00D215BD">
        <w:trPr>
          <w:trHeight w:val="300"/>
          <w:jc w:val="center"/>
        </w:trPr>
        <w:tc>
          <w:tcPr>
            <w:tcW w:w="4530" w:type="dxa"/>
            <w:tcBorders>
              <w:top w:val="nil"/>
              <w:left w:val="single" w:sz="4" w:space="0" w:color="auto"/>
              <w:bottom w:val="single" w:sz="4" w:space="0" w:color="auto"/>
              <w:right w:val="single" w:sz="4" w:space="0" w:color="auto"/>
            </w:tcBorders>
            <w:shd w:val="clear" w:color="auto" w:fill="auto"/>
            <w:vAlign w:val="bottom"/>
            <w:hideMark/>
          </w:tcPr>
          <w:p w14:paraId="1B4268B1"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MCNTelecom</w:t>
            </w:r>
            <w:proofErr w:type="spellEnd"/>
            <w:r w:rsidRPr="001314CA">
              <w:rPr>
                <w:rFonts w:cs="Calibri"/>
                <w:sz w:val="22"/>
                <w:szCs w:val="22"/>
              </w:rPr>
              <w:t xml:space="preserve">, Budapest (Ex. Tel2tel </w:t>
            </w:r>
            <w:proofErr w:type="spellStart"/>
            <w:r w:rsidRPr="001314CA">
              <w:rPr>
                <w:rFonts w:cs="Calibri"/>
                <w:sz w:val="22"/>
                <w:szCs w:val="22"/>
              </w:rPr>
              <w:t>Kft</w:t>
            </w:r>
            <w:proofErr w:type="spellEnd"/>
            <w:r w:rsidRPr="001314CA">
              <w:rPr>
                <w:rFonts w:cs="Calibri"/>
                <w:sz w:val="22"/>
                <w:szCs w:val="22"/>
              </w:rPr>
              <w:t>.)</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5DB71ABA" w14:textId="77777777" w:rsidR="00D215BD" w:rsidRPr="001314CA" w:rsidRDefault="00D215BD" w:rsidP="00D215BD">
            <w:pPr>
              <w:spacing w:before="0"/>
              <w:jc w:val="center"/>
              <w:rPr>
                <w:rFonts w:cs="Calibri"/>
                <w:sz w:val="22"/>
                <w:szCs w:val="22"/>
              </w:rPr>
            </w:pPr>
            <w:r w:rsidRPr="001314CA">
              <w:rPr>
                <w:rFonts w:cs="Calibri"/>
                <w:sz w:val="22"/>
                <w:szCs w:val="22"/>
              </w:rPr>
              <w:t>2017</w:t>
            </w:r>
          </w:p>
        </w:tc>
        <w:tc>
          <w:tcPr>
            <w:tcW w:w="1468" w:type="dxa"/>
            <w:tcBorders>
              <w:top w:val="nil"/>
              <w:left w:val="single" w:sz="4" w:space="0" w:color="auto"/>
              <w:bottom w:val="single" w:sz="4" w:space="0" w:color="auto"/>
              <w:right w:val="single" w:sz="4" w:space="0" w:color="auto"/>
            </w:tcBorders>
            <w:shd w:val="clear" w:color="auto" w:fill="auto"/>
            <w:noWrap/>
            <w:vAlign w:val="bottom"/>
            <w:hideMark/>
          </w:tcPr>
          <w:p w14:paraId="548935E6" w14:textId="77777777" w:rsidR="00D215BD" w:rsidRPr="001314CA" w:rsidRDefault="00D215BD" w:rsidP="00D215BD">
            <w:pPr>
              <w:spacing w:before="0"/>
              <w:jc w:val="right"/>
              <w:rPr>
                <w:rFonts w:cs="Calibri"/>
                <w:sz w:val="22"/>
                <w:szCs w:val="22"/>
              </w:rPr>
            </w:pPr>
            <w:r w:rsidRPr="001314CA">
              <w:rPr>
                <w:rFonts w:cs="Calibri"/>
                <w:sz w:val="22"/>
                <w:szCs w:val="22"/>
              </w:rPr>
              <w:t>13 098,20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EE59AB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96D1002" w14:textId="77777777" w:rsidR="00D215BD" w:rsidRPr="001314CA" w:rsidRDefault="00D215BD" w:rsidP="00D215BD">
            <w:pPr>
              <w:spacing w:before="0"/>
              <w:jc w:val="right"/>
              <w:rPr>
                <w:rFonts w:cs="Calibri"/>
                <w:sz w:val="22"/>
                <w:szCs w:val="22"/>
              </w:rPr>
            </w:pPr>
            <w:r w:rsidRPr="001314CA">
              <w:rPr>
                <w:rFonts w:cs="Calibri"/>
                <w:sz w:val="22"/>
                <w:szCs w:val="22"/>
              </w:rPr>
              <w:t>13 098,20</w:t>
            </w:r>
          </w:p>
        </w:tc>
      </w:tr>
    </w:tbl>
    <w:p w14:paraId="6E5DC61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p>
    <w:p w14:paraId="1E84D81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r w:rsidRPr="001314CA">
        <w:br w:type="page"/>
      </w:r>
    </w:p>
    <w:tbl>
      <w:tblPr>
        <w:tblW w:w="10343" w:type="dxa"/>
        <w:jc w:val="center"/>
        <w:tblLook w:val="04A0" w:firstRow="1" w:lastRow="0" w:firstColumn="1" w:lastColumn="0" w:noHBand="0" w:noVBand="1"/>
      </w:tblPr>
      <w:tblGrid>
        <w:gridCol w:w="4723"/>
        <w:gridCol w:w="1311"/>
        <w:gridCol w:w="1559"/>
        <w:gridCol w:w="1333"/>
        <w:gridCol w:w="1417"/>
      </w:tblGrid>
      <w:tr w:rsidR="00D215BD" w:rsidRPr="001314CA" w14:paraId="31CA52C2" w14:textId="77777777" w:rsidTr="00D215BD">
        <w:trPr>
          <w:trHeight w:val="300"/>
          <w:jc w:val="center"/>
        </w:trPr>
        <w:tc>
          <w:tcPr>
            <w:tcW w:w="4723" w:type="dxa"/>
            <w:tcBorders>
              <w:top w:val="single" w:sz="4" w:space="0" w:color="auto"/>
              <w:left w:val="single" w:sz="4" w:space="0" w:color="auto"/>
              <w:bottom w:val="single" w:sz="4" w:space="0" w:color="auto"/>
              <w:right w:val="single" w:sz="4" w:space="0" w:color="auto"/>
            </w:tcBorders>
            <w:shd w:val="clear" w:color="auto" w:fill="auto"/>
            <w:vAlign w:val="bottom"/>
          </w:tcPr>
          <w:p w14:paraId="6963AB45" w14:textId="77777777" w:rsidR="00D215BD" w:rsidRPr="001314CA" w:rsidRDefault="00D215BD" w:rsidP="00D215BD">
            <w:pPr>
              <w:spacing w:after="120"/>
              <w:rPr>
                <w:rFonts w:cs="Calibri"/>
                <w:b/>
                <w:bCs/>
                <w:sz w:val="22"/>
                <w:szCs w:val="22"/>
              </w:rPr>
            </w:pPr>
            <w:r w:rsidRPr="001314CA">
              <w:rPr>
                <w:rFonts w:asciiTheme="minorHAnsi" w:hAnsiTheme="minorHAnsi"/>
                <w:b/>
                <w:sz w:val="22"/>
                <w:szCs w:val="22"/>
              </w:rPr>
              <w:lastRenderedPageBreak/>
              <w:t>B</w:t>
            </w:r>
            <w:r w:rsidRPr="001314CA">
              <w:rPr>
                <w:rFonts w:asciiTheme="minorHAnsi" w:hAnsiTheme="minorHAnsi"/>
                <w:b/>
                <w:sz w:val="22"/>
                <w:szCs w:val="22"/>
              </w:rPr>
              <w:tab/>
              <w:t>Membres de Secteur et autres entités</w:t>
            </w:r>
          </w:p>
        </w:tc>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2FAE74FF" w14:textId="77777777" w:rsidR="00D215BD" w:rsidRPr="001314CA" w:rsidRDefault="00D215BD" w:rsidP="00D215BD">
            <w:pPr>
              <w:spacing w:after="120"/>
              <w:jc w:val="center"/>
              <w:rPr>
                <w:rFonts w:cs="Calibri"/>
                <w:b/>
                <w:bCs/>
                <w:sz w:val="22"/>
                <w:szCs w:val="22"/>
              </w:rPr>
            </w:pPr>
            <w:r w:rsidRPr="001314CA">
              <w:rPr>
                <w:rFonts w:asciiTheme="minorHAnsi" w:hAnsiTheme="minorHAnsi"/>
                <w:b/>
                <w:sz w:val="22"/>
                <w:szCs w:val="22"/>
                <w:lang w:eastAsia="zh-CN"/>
              </w:rPr>
              <w:t>Année</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2CB28F0" w14:textId="77777777" w:rsidR="00D215BD" w:rsidRPr="001314CA" w:rsidRDefault="00D215BD" w:rsidP="00D215BD">
            <w:pPr>
              <w:spacing w:after="120"/>
              <w:jc w:val="center"/>
              <w:rPr>
                <w:rFonts w:ascii="Times New Roman" w:hAnsi="Times New Roman"/>
                <w:sz w:val="22"/>
                <w:szCs w:val="22"/>
              </w:rPr>
            </w:pPr>
            <w:r w:rsidRPr="001314CA">
              <w:rPr>
                <w:rFonts w:asciiTheme="minorHAnsi" w:hAnsiTheme="minorHAnsi"/>
                <w:b/>
                <w:sz w:val="22"/>
                <w:szCs w:val="22"/>
                <w:lang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tcPr>
          <w:p w14:paraId="56EE51E8" w14:textId="77777777" w:rsidR="00D215BD" w:rsidRPr="001314CA" w:rsidRDefault="00D215BD" w:rsidP="00D215BD">
            <w:pPr>
              <w:spacing w:after="120"/>
              <w:jc w:val="center"/>
              <w:rPr>
                <w:rFonts w:ascii="Times New Roman" w:hAnsi="Times New Roman"/>
                <w:sz w:val="22"/>
                <w:szCs w:val="22"/>
              </w:rPr>
            </w:pPr>
            <w:r w:rsidRPr="001314CA">
              <w:rPr>
                <w:rFonts w:asciiTheme="minorHAnsi" w:hAnsiTheme="minorHAnsi"/>
                <w:b/>
                <w:sz w:val="22"/>
                <w:szCs w:val="22"/>
                <w:lang w:eastAsia="zh-CN"/>
              </w:rPr>
              <w:t>Publications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FC91F81" w14:textId="77777777" w:rsidR="00D215BD" w:rsidRPr="001314CA" w:rsidRDefault="00D215BD" w:rsidP="00D215BD">
            <w:pPr>
              <w:spacing w:after="120"/>
              <w:jc w:val="center"/>
              <w:rPr>
                <w:rFonts w:ascii="Times New Roman" w:hAnsi="Times New Roman"/>
                <w:sz w:val="22"/>
                <w:szCs w:val="22"/>
              </w:rPr>
            </w:pPr>
            <w:r w:rsidRPr="001314CA">
              <w:rPr>
                <w:rFonts w:asciiTheme="minorHAnsi" w:hAnsiTheme="minorHAnsi"/>
                <w:b/>
                <w:sz w:val="22"/>
                <w:szCs w:val="22"/>
                <w:lang w:eastAsia="zh-CN"/>
              </w:rPr>
              <w:t>Total</w:t>
            </w:r>
          </w:p>
        </w:tc>
      </w:tr>
      <w:tr w:rsidR="00D215BD" w:rsidRPr="001314CA" w14:paraId="7704631B" w14:textId="77777777" w:rsidTr="00D215BD">
        <w:trPr>
          <w:trHeight w:val="300"/>
          <w:jc w:val="center"/>
        </w:trPr>
        <w:tc>
          <w:tcPr>
            <w:tcW w:w="4723" w:type="dxa"/>
            <w:tcBorders>
              <w:top w:val="single" w:sz="4" w:space="0" w:color="auto"/>
              <w:left w:val="single" w:sz="4" w:space="0" w:color="auto"/>
              <w:bottom w:val="nil"/>
              <w:right w:val="single" w:sz="4" w:space="0" w:color="auto"/>
            </w:tcBorders>
            <w:shd w:val="clear" w:color="auto" w:fill="auto"/>
            <w:vAlign w:val="bottom"/>
            <w:hideMark/>
          </w:tcPr>
          <w:p w14:paraId="39D5AD7A"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Inde</w:t>
            </w:r>
          </w:p>
        </w:tc>
        <w:tc>
          <w:tcPr>
            <w:tcW w:w="1311" w:type="dxa"/>
            <w:tcBorders>
              <w:top w:val="single" w:sz="4" w:space="0" w:color="auto"/>
              <w:left w:val="single" w:sz="4" w:space="0" w:color="auto"/>
              <w:bottom w:val="nil"/>
              <w:right w:val="single" w:sz="4" w:space="0" w:color="auto"/>
            </w:tcBorders>
            <w:shd w:val="clear" w:color="auto" w:fill="auto"/>
            <w:noWrap/>
            <w:vAlign w:val="bottom"/>
            <w:hideMark/>
          </w:tcPr>
          <w:p w14:paraId="556CE25B" w14:textId="77777777" w:rsidR="00D215BD" w:rsidRPr="001314CA" w:rsidRDefault="00D215BD" w:rsidP="00D215BD">
            <w:pPr>
              <w:spacing w:before="0"/>
              <w:rPr>
                <w:rFonts w:cs="Calibri"/>
                <w:b/>
                <w:bCs/>
                <w:sz w:val="22"/>
                <w:szCs w:val="22"/>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4D34B05F" w14:textId="77777777" w:rsidR="00D215BD" w:rsidRPr="001314CA" w:rsidRDefault="00D215BD" w:rsidP="00D215BD">
            <w:pPr>
              <w:spacing w:before="0"/>
              <w:jc w:val="center"/>
              <w:rPr>
                <w:rFonts w:ascii="Times New Roman" w:hAnsi="Times New Roman"/>
                <w:sz w:val="22"/>
                <w:szCs w:val="22"/>
              </w:rPr>
            </w:pP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795F1B41" w14:textId="77777777" w:rsidR="00D215BD" w:rsidRPr="001314CA" w:rsidRDefault="00D215BD" w:rsidP="00D215BD">
            <w:pPr>
              <w:spacing w:before="0"/>
              <w:rPr>
                <w:rFonts w:ascii="Times New Roman" w:hAnsi="Times New Roman"/>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50A57849" w14:textId="77777777" w:rsidR="00D215BD" w:rsidRPr="001314CA" w:rsidRDefault="00D215BD" w:rsidP="00D215BD">
            <w:pPr>
              <w:spacing w:before="0"/>
              <w:rPr>
                <w:rFonts w:ascii="Times New Roman" w:hAnsi="Times New Roman"/>
                <w:sz w:val="22"/>
                <w:szCs w:val="22"/>
              </w:rPr>
            </w:pPr>
          </w:p>
        </w:tc>
      </w:tr>
      <w:tr w:rsidR="00D215BD" w:rsidRPr="001314CA" w14:paraId="1A85AD47"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7E5AF3CC"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Amity Institute of Telecom Engineering and Management, Noida</w:t>
            </w:r>
          </w:p>
        </w:tc>
        <w:tc>
          <w:tcPr>
            <w:tcW w:w="1311" w:type="dxa"/>
            <w:tcBorders>
              <w:top w:val="nil"/>
              <w:left w:val="single" w:sz="4" w:space="0" w:color="auto"/>
              <w:bottom w:val="nil"/>
              <w:right w:val="single" w:sz="4" w:space="0" w:color="auto"/>
            </w:tcBorders>
            <w:shd w:val="clear" w:color="auto" w:fill="auto"/>
            <w:noWrap/>
            <w:vAlign w:val="bottom"/>
            <w:hideMark/>
          </w:tcPr>
          <w:p w14:paraId="0247D605" w14:textId="77777777" w:rsidR="00D215BD" w:rsidRPr="001314CA" w:rsidRDefault="00D215BD" w:rsidP="00D215BD">
            <w:pPr>
              <w:spacing w:before="0"/>
              <w:jc w:val="center"/>
              <w:rPr>
                <w:rFonts w:cs="Calibri"/>
                <w:sz w:val="22"/>
                <w:szCs w:val="22"/>
              </w:rPr>
            </w:pPr>
            <w:r w:rsidRPr="001314CA">
              <w:rPr>
                <w:rFonts w:cs="Calibri"/>
                <w:sz w:val="22"/>
                <w:szCs w:val="22"/>
              </w:rPr>
              <w:t>2017</w:t>
            </w:r>
          </w:p>
        </w:tc>
        <w:tc>
          <w:tcPr>
            <w:tcW w:w="1559" w:type="dxa"/>
            <w:tcBorders>
              <w:top w:val="nil"/>
              <w:left w:val="single" w:sz="4" w:space="0" w:color="auto"/>
              <w:bottom w:val="nil"/>
              <w:right w:val="single" w:sz="4" w:space="0" w:color="auto"/>
            </w:tcBorders>
            <w:shd w:val="clear" w:color="auto" w:fill="auto"/>
            <w:noWrap/>
            <w:vAlign w:val="bottom"/>
            <w:hideMark/>
          </w:tcPr>
          <w:p w14:paraId="18EA2981" w14:textId="77777777" w:rsidR="00D215BD" w:rsidRPr="001314CA" w:rsidRDefault="00D215BD" w:rsidP="00D215BD">
            <w:pPr>
              <w:spacing w:before="0"/>
              <w:jc w:val="right"/>
              <w:rPr>
                <w:rFonts w:cs="Calibri"/>
                <w:sz w:val="22"/>
                <w:szCs w:val="22"/>
              </w:rPr>
            </w:pPr>
            <w:r w:rsidRPr="001314CA">
              <w:rPr>
                <w:rFonts w:cs="Calibri"/>
                <w:sz w:val="22"/>
                <w:szCs w:val="22"/>
              </w:rPr>
              <w:t>2 455,90</w:t>
            </w:r>
          </w:p>
        </w:tc>
        <w:tc>
          <w:tcPr>
            <w:tcW w:w="1333" w:type="dxa"/>
            <w:tcBorders>
              <w:top w:val="nil"/>
              <w:left w:val="single" w:sz="4" w:space="0" w:color="auto"/>
              <w:bottom w:val="nil"/>
              <w:right w:val="single" w:sz="4" w:space="0" w:color="auto"/>
            </w:tcBorders>
            <w:shd w:val="clear" w:color="auto" w:fill="auto"/>
            <w:noWrap/>
            <w:vAlign w:val="bottom"/>
            <w:hideMark/>
          </w:tcPr>
          <w:p w14:paraId="6A46E95E"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3D73B223" w14:textId="77777777" w:rsidR="00D215BD" w:rsidRPr="001314CA" w:rsidRDefault="00D215BD" w:rsidP="00D215BD">
            <w:pPr>
              <w:spacing w:before="0"/>
              <w:jc w:val="right"/>
              <w:rPr>
                <w:rFonts w:cs="Calibri"/>
                <w:sz w:val="22"/>
                <w:szCs w:val="22"/>
              </w:rPr>
            </w:pPr>
            <w:r w:rsidRPr="001314CA">
              <w:rPr>
                <w:rFonts w:cs="Calibri"/>
                <w:sz w:val="22"/>
                <w:szCs w:val="22"/>
              </w:rPr>
              <w:t>2 455,90</w:t>
            </w:r>
          </w:p>
        </w:tc>
      </w:tr>
      <w:tr w:rsidR="00D215BD" w:rsidRPr="001314CA" w14:paraId="23707866"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155537FD"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Bharat Sanchar Nigam Ltd (BSNL), New Delhi</w:t>
            </w:r>
          </w:p>
        </w:tc>
        <w:tc>
          <w:tcPr>
            <w:tcW w:w="1311" w:type="dxa"/>
            <w:tcBorders>
              <w:top w:val="nil"/>
              <w:left w:val="single" w:sz="4" w:space="0" w:color="auto"/>
              <w:bottom w:val="nil"/>
              <w:right w:val="single" w:sz="4" w:space="0" w:color="auto"/>
            </w:tcBorders>
            <w:shd w:val="clear" w:color="auto" w:fill="auto"/>
            <w:noWrap/>
            <w:vAlign w:val="bottom"/>
            <w:hideMark/>
          </w:tcPr>
          <w:p w14:paraId="0151AB6C" w14:textId="77777777" w:rsidR="00D215BD" w:rsidRPr="001314CA" w:rsidRDefault="00D215BD" w:rsidP="00D215BD">
            <w:pPr>
              <w:spacing w:before="0"/>
              <w:jc w:val="center"/>
              <w:rPr>
                <w:rFonts w:cs="Calibri"/>
                <w:sz w:val="22"/>
                <w:szCs w:val="22"/>
              </w:rPr>
            </w:pPr>
            <w:r w:rsidRPr="001314CA">
              <w:rPr>
                <w:rFonts w:cs="Calibri"/>
                <w:sz w:val="22"/>
                <w:szCs w:val="22"/>
              </w:rPr>
              <w:t>2017-2019</w:t>
            </w:r>
          </w:p>
        </w:tc>
        <w:tc>
          <w:tcPr>
            <w:tcW w:w="1559" w:type="dxa"/>
            <w:tcBorders>
              <w:top w:val="nil"/>
              <w:left w:val="single" w:sz="4" w:space="0" w:color="auto"/>
              <w:bottom w:val="nil"/>
              <w:right w:val="single" w:sz="4" w:space="0" w:color="auto"/>
            </w:tcBorders>
            <w:shd w:val="clear" w:color="auto" w:fill="auto"/>
            <w:noWrap/>
            <w:vAlign w:val="bottom"/>
            <w:hideMark/>
          </w:tcPr>
          <w:p w14:paraId="3529FECA" w14:textId="77777777" w:rsidR="00D215BD" w:rsidRPr="001314CA" w:rsidRDefault="00D215BD" w:rsidP="00D215BD">
            <w:pPr>
              <w:spacing w:before="0"/>
              <w:jc w:val="right"/>
              <w:rPr>
                <w:rFonts w:cs="Calibri"/>
                <w:sz w:val="22"/>
                <w:szCs w:val="22"/>
              </w:rPr>
            </w:pPr>
            <w:r w:rsidRPr="001314CA">
              <w:rPr>
                <w:rFonts w:cs="Calibri"/>
                <w:sz w:val="22"/>
                <w:szCs w:val="22"/>
              </w:rPr>
              <w:t>74 416,30</w:t>
            </w:r>
          </w:p>
        </w:tc>
        <w:tc>
          <w:tcPr>
            <w:tcW w:w="1333" w:type="dxa"/>
            <w:tcBorders>
              <w:top w:val="nil"/>
              <w:left w:val="single" w:sz="4" w:space="0" w:color="auto"/>
              <w:bottom w:val="nil"/>
              <w:right w:val="single" w:sz="4" w:space="0" w:color="auto"/>
            </w:tcBorders>
            <w:shd w:val="clear" w:color="auto" w:fill="auto"/>
            <w:noWrap/>
            <w:vAlign w:val="bottom"/>
            <w:hideMark/>
          </w:tcPr>
          <w:p w14:paraId="272059D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F232C8A" w14:textId="77777777" w:rsidR="00D215BD" w:rsidRPr="001314CA" w:rsidRDefault="00D215BD" w:rsidP="00D215BD">
            <w:pPr>
              <w:spacing w:before="0"/>
              <w:jc w:val="right"/>
              <w:rPr>
                <w:rFonts w:cs="Calibri"/>
                <w:sz w:val="22"/>
                <w:szCs w:val="22"/>
              </w:rPr>
            </w:pPr>
            <w:r w:rsidRPr="001314CA">
              <w:rPr>
                <w:rFonts w:cs="Calibri"/>
                <w:sz w:val="22"/>
                <w:szCs w:val="22"/>
              </w:rPr>
              <w:t>74 416,30</w:t>
            </w:r>
          </w:p>
        </w:tc>
      </w:tr>
      <w:tr w:rsidR="00D215BD" w:rsidRPr="001314CA" w14:paraId="431A7FD9"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2CC79D1C"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Centre for Internet and Society, Bangalore</w:t>
            </w:r>
          </w:p>
        </w:tc>
        <w:tc>
          <w:tcPr>
            <w:tcW w:w="1311" w:type="dxa"/>
            <w:tcBorders>
              <w:top w:val="nil"/>
              <w:left w:val="single" w:sz="4" w:space="0" w:color="auto"/>
              <w:bottom w:val="nil"/>
              <w:right w:val="single" w:sz="4" w:space="0" w:color="auto"/>
            </w:tcBorders>
            <w:shd w:val="clear" w:color="auto" w:fill="auto"/>
            <w:noWrap/>
            <w:vAlign w:val="bottom"/>
            <w:hideMark/>
          </w:tcPr>
          <w:p w14:paraId="00E31846" w14:textId="77777777" w:rsidR="00D215BD" w:rsidRPr="001314CA" w:rsidRDefault="00D215BD" w:rsidP="00D215BD">
            <w:pPr>
              <w:spacing w:before="0"/>
              <w:jc w:val="center"/>
              <w:rPr>
                <w:rFonts w:cs="Calibri"/>
                <w:sz w:val="22"/>
                <w:szCs w:val="22"/>
              </w:rPr>
            </w:pPr>
            <w:r w:rsidRPr="001314CA">
              <w:rPr>
                <w:rFonts w:cs="Calibri"/>
                <w:sz w:val="22"/>
                <w:szCs w:val="22"/>
              </w:rPr>
              <w:t>2014-2015</w:t>
            </w:r>
          </w:p>
        </w:tc>
        <w:tc>
          <w:tcPr>
            <w:tcW w:w="1559" w:type="dxa"/>
            <w:tcBorders>
              <w:top w:val="nil"/>
              <w:left w:val="single" w:sz="4" w:space="0" w:color="auto"/>
              <w:bottom w:val="nil"/>
              <w:right w:val="single" w:sz="4" w:space="0" w:color="auto"/>
            </w:tcBorders>
            <w:shd w:val="clear" w:color="auto" w:fill="auto"/>
            <w:noWrap/>
            <w:vAlign w:val="bottom"/>
            <w:hideMark/>
          </w:tcPr>
          <w:p w14:paraId="2326F023" w14:textId="77777777" w:rsidR="00D215BD" w:rsidRPr="001314CA" w:rsidRDefault="00D215BD" w:rsidP="00D215BD">
            <w:pPr>
              <w:spacing w:before="0"/>
              <w:jc w:val="right"/>
              <w:rPr>
                <w:rFonts w:cs="Calibri"/>
                <w:sz w:val="22"/>
                <w:szCs w:val="22"/>
              </w:rPr>
            </w:pPr>
            <w:r w:rsidRPr="001314CA">
              <w:rPr>
                <w:rFonts w:cs="Calibri"/>
                <w:sz w:val="22"/>
                <w:szCs w:val="22"/>
              </w:rPr>
              <w:t>5 542,45</w:t>
            </w:r>
          </w:p>
        </w:tc>
        <w:tc>
          <w:tcPr>
            <w:tcW w:w="1333" w:type="dxa"/>
            <w:tcBorders>
              <w:top w:val="nil"/>
              <w:left w:val="single" w:sz="4" w:space="0" w:color="auto"/>
              <w:bottom w:val="nil"/>
              <w:right w:val="single" w:sz="4" w:space="0" w:color="auto"/>
            </w:tcBorders>
            <w:shd w:val="clear" w:color="auto" w:fill="auto"/>
            <w:noWrap/>
            <w:vAlign w:val="bottom"/>
            <w:hideMark/>
          </w:tcPr>
          <w:p w14:paraId="27D7417A"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07F7A8FC" w14:textId="77777777" w:rsidR="00D215BD" w:rsidRPr="001314CA" w:rsidRDefault="00D215BD" w:rsidP="00D215BD">
            <w:pPr>
              <w:spacing w:before="0"/>
              <w:jc w:val="right"/>
              <w:rPr>
                <w:rFonts w:cs="Calibri"/>
                <w:sz w:val="22"/>
                <w:szCs w:val="22"/>
              </w:rPr>
            </w:pPr>
            <w:r w:rsidRPr="001314CA">
              <w:rPr>
                <w:rFonts w:cs="Calibri"/>
                <w:sz w:val="22"/>
                <w:szCs w:val="22"/>
              </w:rPr>
              <w:t>5 542,45</w:t>
            </w:r>
          </w:p>
        </w:tc>
      </w:tr>
      <w:tr w:rsidR="00D215BD" w:rsidRPr="001314CA" w14:paraId="50A65145"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6AA7796D"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HRM Inst, of Tech, &amp; Management, New Delhi</w:t>
            </w:r>
          </w:p>
        </w:tc>
        <w:tc>
          <w:tcPr>
            <w:tcW w:w="1311" w:type="dxa"/>
            <w:tcBorders>
              <w:top w:val="nil"/>
              <w:left w:val="single" w:sz="4" w:space="0" w:color="auto"/>
              <w:bottom w:val="nil"/>
              <w:right w:val="single" w:sz="4" w:space="0" w:color="auto"/>
            </w:tcBorders>
            <w:shd w:val="clear" w:color="auto" w:fill="auto"/>
            <w:noWrap/>
            <w:vAlign w:val="bottom"/>
            <w:hideMark/>
          </w:tcPr>
          <w:p w14:paraId="35EA4362" w14:textId="77777777" w:rsidR="00D215BD" w:rsidRPr="001314CA" w:rsidRDefault="00D215BD" w:rsidP="00D215BD">
            <w:pPr>
              <w:spacing w:before="0"/>
              <w:jc w:val="center"/>
              <w:rPr>
                <w:rFonts w:cs="Calibri"/>
                <w:sz w:val="22"/>
                <w:szCs w:val="22"/>
              </w:rPr>
            </w:pPr>
            <w:r w:rsidRPr="001314CA">
              <w:rPr>
                <w:rFonts w:cs="Calibri"/>
                <w:sz w:val="22"/>
                <w:szCs w:val="22"/>
              </w:rPr>
              <w:t>2016-2018</w:t>
            </w:r>
          </w:p>
        </w:tc>
        <w:tc>
          <w:tcPr>
            <w:tcW w:w="1559" w:type="dxa"/>
            <w:tcBorders>
              <w:top w:val="nil"/>
              <w:left w:val="single" w:sz="4" w:space="0" w:color="auto"/>
              <w:bottom w:val="nil"/>
              <w:right w:val="single" w:sz="4" w:space="0" w:color="auto"/>
            </w:tcBorders>
            <w:shd w:val="clear" w:color="auto" w:fill="auto"/>
            <w:noWrap/>
            <w:vAlign w:val="bottom"/>
            <w:hideMark/>
          </w:tcPr>
          <w:p w14:paraId="7727D8F2" w14:textId="77777777" w:rsidR="00D215BD" w:rsidRPr="001314CA" w:rsidRDefault="00D215BD" w:rsidP="00D215BD">
            <w:pPr>
              <w:spacing w:before="0"/>
              <w:jc w:val="right"/>
              <w:rPr>
                <w:rFonts w:cs="Calibri"/>
                <w:sz w:val="22"/>
                <w:szCs w:val="22"/>
              </w:rPr>
            </w:pPr>
            <w:r w:rsidRPr="001314CA">
              <w:rPr>
                <w:rFonts w:cs="Calibri"/>
                <w:sz w:val="22"/>
                <w:szCs w:val="22"/>
              </w:rPr>
              <w:t>2 391,45</w:t>
            </w:r>
          </w:p>
        </w:tc>
        <w:tc>
          <w:tcPr>
            <w:tcW w:w="1333" w:type="dxa"/>
            <w:tcBorders>
              <w:top w:val="nil"/>
              <w:left w:val="single" w:sz="4" w:space="0" w:color="auto"/>
              <w:bottom w:val="nil"/>
              <w:right w:val="single" w:sz="4" w:space="0" w:color="auto"/>
            </w:tcBorders>
            <w:shd w:val="clear" w:color="auto" w:fill="auto"/>
            <w:noWrap/>
            <w:vAlign w:val="bottom"/>
            <w:hideMark/>
          </w:tcPr>
          <w:p w14:paraId="4EBAADA8"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AA4D5AE" w14:textId="77777777" w:rsidR="00D215BD" w:rsidRPr="001314CA" w:rsidRDefault="00D215BD" w:rsidP="00D215BD">
            <w:pPr>
              <w:spacing w:before="0"/>
              <w:jc w:val="right"/>
              <w:rPr>
                <w:rFonts w:cs="Calibri"/>
                <w:sz w:val="22"/>
                <w:szCs w:val="22"/>
              </w:rPr>
            </w:pPr>
            <w:r w:rsidRPr="001314CA">
              <w:rPr>
                <w:rFonts w:cs="Calibri"/>
                <w:sz w:val="22"/>
                <w:szCs w:val="22"/>
              </w:rPr>
              <w:t>2 391,45</w:t>
            </w:r>
          </w:p>
        </w:tc>
      </w:tr>
      <w:tr w:rsidR="00D215BD" w:rsidRPr="001314CA" w14:paraId="2EFEE833"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1788B4D6"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Luna </w:t>
            </w:r>
            <w:proofErr w:type="spellStart"/>
            <w:r w:rsidRPr="001314CA">
              <w:rPr>
                <w:rFonts w:cs="Calibri"/>
                <w:sz w:val="22"/>
                <w:szCs w:val="22"/>
              </w:rPr>
              <w:t>Ergonomics</w:t>
            </w:r>
            <w:proofErr w:type="spellEnd"/>
            <w:r w:rsidRPr="001314CA">
              <w:rPr>
                <w:rFonts w:cs="Calibri"/>
                <w:sz w:val="22"/>
                <w:szCs w:val="22"/>
              </w:rPr>
              <w:t xml:space="preserve"> </w:t>
            </w:r>
            <w:proofErr w:type="spellStart"/>
            <w:r w:rsidRPr="001314CA">
              <w:rPr>
                <w:rFonts w:cs="Calibri"/>
                <w:sz w:val="22"/>
                <w:szCs w:val="22"/>
              </w:rPr>
              <w:t>Pvt</w:t>
            </w:r>
            <w:proofErr w:type="spellEnd"/>
            <w:r w:rsidRPr="001314CA">
              <w:rPr>
                <w:rFonts w:cs="Calibri"/>
                <w:sz w:val="22"/>
                <w:szCs w:val="22"/>
              </w:rPr>
              <w:t xml:space="preserve">, Ltd, </w:t>
            </w:r>
            <w:proofErr w:type="spellStart"/>
            <w:r w:rsidRPr="001314CA">
              <w:rPr>
                <w:rFonts w:cs="Calibri"/>
                <w:sz w:val="22"/>
                <w:szCs w:val="22"/>
              </w:rPr>
              <w:t>Noida</w:t>
            </w:r>
            <w:proofErr w:type="spellEnd"/>
            <w:r w:rsidRPr="001314CA">
              <w:rPr>
                <w:rFonts w:cs="Calibri"/>
                <w:sz w:val="22"/>
                <w:szCs w:val="22"/>
              </w:rPr>
              <w:t xml:space="preserve"> </w:t>
            </w:r>
          </w:p>
        </w:tc>
        <w:tc>
          <w:tcPr>
            <w:tcW w:w="1311" w:type="dxa"/>
            <w:tcBorders>
              <w:top w:val="nil"/>
              <w:left w:val="single" w:sz="4" w:space="0" w:color="auto"/>
              <w:bottom w:val="nil"/>
              <w:right w:val="single" w:sz="4" w:space="0" w:color="auto"/>
            </w:tcBorders>
            <w:shd w:val="clear" w:color="auto" w:fill="auto"/>
            <w:noWrap/>
            <w:vAlign w:val="bottom"/>
            <w:hideMark/>
          </w:tcPr>
          <w:p w14:paraId="728E3760" w14:textId="77777777" w:rsidR="00D215BD" w:rsidRPr="001314CA" w:rsidRDefault="00D215BD" w:rsidP="00D215BD">
            <w:pPr>
              <w:spacing w:before="0"/>
              <w:jc w:val="center"/>
              <w:rPr>
                <w:rFonts w:cs="Calibri"/>
                <w:sz w:val="22"/>
                <w:szCs w:val="22"/>
              </w:rPr>
            </w:pPr>
            <w:r w:rsidRPr="001314CA">
              <w:rPr>
                <w:rFonts w:cs="Calibri"/>
                <w:sz w:val="22"/>
                <w:szCs w:val="22"/>
              </w:rPr>
              <w:t>2011</w:t>
            </w:r>
          </w:p>
        </w:tc>
        <w:tc>
          <w:tcPr>
            <w:tcW w:w="1559" w:type="dxa"/>
            <w:tcBorders>
              <w:top w:val="nil"/>
              <w:left w:val="single" w:sz="4" w:space="0" w:color="auto"/>
              <w:bottom w:val="nil"/>
              <w:right w:val="single" w:sz="4" w:space="0" w:color="auto"/>
            </w:tcBorders>
            <w:shd w:val="clear" w:color="auto" w:fill="auto"/>
            <w:noWrap/>
            <w:vAlign w:val="bottom"/>
            <w:hideMark/>
          </w:tcPr>
          <w:p w14:paraId="54EF6292" w14:textId="77777777" w:rsidR="00D215BD" w:rsidRPr="001314CA" w:rsidRDefault="00D215BD" w:rsidP="00D215BD">
            <w:pPr>
              <w:spacing w:before="0"/>
              <w:jc w:val="right"/>
              <w:rPr>
                <w:rFonts w:cs="Calibri"/>
                <w:sz w:val="22"/>
                <w:szCs w:val="22"/>
              </w:rPr>
            </w:pPr>
            <w:r w:rsidRPr="001314CA">
              <w:rPr>
                <w:rFonts w:cs="Calibri"/>
                <w:sz w:val="22"/>
                <w:szCs w:val="22"/>
              </w:rPr>
              <w:t>6 967,55</w:t>
            </w:r>
          </w:p>
        </w:tc>
        <w:tc>
          <w:tcPr>
            <w:tcW w:w="1333" w:type="dxa"/>
            <w:tcBorders>
              <w:top w:val="nil"/>
              <w:left w:val="single" w:sz="4" w:space="0" w:color="auto"/>
              <w:bottom w:val="nil"/>
              <w:right w:val="single" w:sz="4" w:space="0" w:color="auto"/>
            </w:tcBorders>
            <w:shd w:val="clear" w:color="auto" w:fill="auto"/>
            <w:noWrap/>
            <w:vAlign w:val="bottom"/>
            <w:hideMark/>
          </w:tcPr>
          <w:p w14:paraId="7EA56F40"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2BA9DFE4" w14:textId="77777777" w:rsidR="00D215BD" w:rsidRPr="001314CA" w:rsidRDefault="00D215BD" w:rsidP="00D215BD">
            <w:pPr>
              <w:spacing w:before="0"/>
              <w:jc w:val="right"/>
              <w:rPr>
                <w:rFonts w:cs="Calibri"/>
                <w:sz w:val="22"/>
                <w:szCs w:val="22"/>
              </w:rPr>
            </w:pPr>
            <w:r w:rsidRPr="001314CA">
              <w:rPr>
                <w:rFonts w:cs="Calibri"/>
                <w:sz w:val="22"/>
                <w:szCs w:val="22"/>
              </w:rPr>
              <w:t>6 967,55</w:t>
            </w:r>
          </w:p>
        </w:tc>
      </w:tr>
      <w:tr w:rsidR="00D215BD" w:rsidRPr="001314CA" w14:paraId="4AC456F1"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041EB31D"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r>
            <w:proofErr w:type="spellStart"/>
            <w:r w:rsidRPr="00513163">
              <w:rPr>
                <w:rFonts w:cs="Calibri"/>
                <w:sz w:val="22"/>
                <w:szCs w:val="22"/>
                <w:lang w:val="en-US"/>
              </w:rPr>
              <w:t>Raitel</w:t>
            </w:r>
            <w:proofErr w:type="spellEnd"/>
            <w:r w:rsidRPr="00513163">
              <w:rPr>
                <w:rFonts w:cs="Calibri"/>
                <w:sz w:val="22"/>
                <w:szCs w:val="22"/>
                <w:lang w:val="en-US"/>
              </w:rPr>
              <w:t xml:space="preserve"> Corporation of India Ltd, New Delhi</w:t>
            </w:r>
          </w:p>
        </w:tc>
        <w:tc>
          <w:tcPr>
            <w:tcW w:w="1311" w:type="dxa"/>
            <w:tcBorders>
              <w:top w:val="nil"/>
              <w:left w:val="single" w:sz="4" w:space="0" w:color="auto"/>
              <w:bottom w:val="nil"/>
              <w:right w:val="single" w:sz="4" w:space="0" w:color="auto"/>
            </w:tcBorders>
            <w:shd w:val="clear" w:color="auto" w:fill="auto"/>
            <w:noWrap/>
            <w:vAlign w:val="bottom"/>
            <w:hideMark/>
          </w:tcPr>
          <w:p w14:paraId="28CA170F" w14:textId="77777777" w:rsidR="00D215BD" w:rsidRPr="001314CA" w:rsidRDefault="00D215BD" w:rsidP="00D215BD">
            <w:pPr>
              <w:spacing w:before="0"/>
              <w:jc w:val="center"/>
              <w:rPr>
                <w:rFonts w:cs="Calibri"/>
                <w:sz w:val="22"/>
                <w:szCs w:val="22"/>
              </w:rPr>
            </w:pPr>
            <w:r w:rsidRPr="001314CA">
              <w:rPr>
                <w:rFonts w:cs="Calibri"/>
                <w:sz w:val="22"/>
                <w:szCs w:val="22"/>
              </w:rPr>
              <w:t>2013</w:t>
            </w:r>
          </w:p>
        </w:tc>
        <w:tc>
          <w:tcPr>
            <w:tcW w:w="1559" w:type="dxa"/>
            <w:tcBorders>
              <w:top w:val="nil"/>
              <w:left w:val="single" w:sz="4" w:space="0" w:color="auto"/>
              <w:bottom w:val="nil"/>
              <w:right w:val="single" w:sz="4" w:space="0" w:color="auto"/>
            </w:tcBorders>
            <w:shd w:val="clear" w:color="auto" w:fill="auto"/>
            <w:noWrap/>
            <w:vAlign w:val="bottom"/>
            <w:hideMark/>
          </w:tcPr>
          <w:p w14:paraId="6BE364C7" w14:textId="77777777" w:rsidR="00D215BD" w:rsidRPr="001314CA" w:rsidRDefault="00D215BD" w:rsidP="00D215BD">
            <w:pPr>
              <w:spacing w:before="0"/>
              <w:jc w:val="right"/>
              <w:rPr>
                <w:rFonts w:cs="Calibri"/>
                <w:sz w:val="22"/>
                <w:szCs w:val="22"/>
              </w:rPr>
            </w:pPr>
            <w:r w:rsidRPr="001314CA">
              <w:rPr>
                <w:rFonts w:cs="Calibri"/>
                <w:sz w:val="22"/>
                <w:szCs w:val="22"/>
              </w:rPr>
              <w:t>6 201,10</w:t>
            </w:r>
          </w:p>
        </w:tc>
        <w:tc>
          <w:tcPr>
            <w:tcW w:w="1333" w:type="dxa"/>
            <w:tcBorders>
              <w:top w:val="nil"/>
              <w:left w:val="single" w:sz="4" w:space="0" w:color="auto"/>
              <w:bottom w:val="nil"/>
              <w:right w:val="single" w:sz="4" w:space="0" w:color="auto"/>
            </w:tcBorders>
            <w:shd w:val="clear" w:color="auto" w:fill="auto"/>
            <w:noWrap/>
            <w:vAlign w:val="bottom"/>
            <w:hideMark/>
          </w:tcPr>
          <w:p w14:paraId="0D9E0754"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028BDDB0" w14:textId="77777777" w:rsidR="00D215BD" w:rsidRPr="001314CA" w:rsidRDefault="00D215BD" w:rsidP="00D215BD">
            <w:pPr>
              <w:spacing w:before="0"/>
              <w:jc w:val="right"/>
              <w:rPr>
                <w:rFonts w:cs="Calibri"/>
                <w:sz w:val="22"/>
                <w:szCs w:val="22"/>
              </w:rPr>
            </w:pPr>
            <w:r w:rsidRPr="001314CA">
              <w:rPr>
                <w:rFonts w:cs="Calibri"/>
                <w:sz w:val="22"/>
                <w:szCs w:val="22"/>
              </w:rPr>
              <w:t>6 201,10</w:t>
            </w:r>
          </w:p>
        </w:tc>
      </w:tr>
      <w:tr w:rsidR="00D215BD" w:rsidRPr="001314CA" w14:paraId="591FA99A"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6948499F"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r>
            <w:proofErr w:type="spellStart"/>
            <w:r w:rsidRPr="00513163">
              <w:rPr>
                <w:rFonts w:cs="Calibri"/>
                <w:sz w:val="22"/>
                <w:szCs w:val="22"/>
                <w:lang w:val="en-US"/>
              </w:rPr>
              <w:t>Sinhgad</w:t>
            </w:r>
            <w:proofErr w:type="spellEnd"/>
            <w:r w:rsidRPr="00513163">
              <w:rPr>
                <w:rFonts w:cs="Calibri"/>
                <w:sz w:val="22"/>
                <w:szCs w:val="22"/>
                <w:lang w:val="en-US"/>
              </w:rPr>
              <w:t xml:space="preserve"> Tech, Education Society, Pune</w:t>
            </w:r>
          </w:p>
        </w:tc>
        <w:tc>
          <w:tcPr>
            <w:tcW w:w="1311" w:type="dxa"/>
            <w:tcBorders>
              <w:top w:val="nil"/>
              <w:left w:val="single" w:sz="4" w:space="0" w:color="auto"/>
              <w:bottom w:val="nil"/>
              <w:right w:val="single" w:sz="4" w:space="0" w:color="auto"/>
            </w:tcBorders>
            <w:shd w:val="clear" w:color="auto" w:fill="auto"/>
            <w:noWrap/>
            <w:vAlign w:val="bottom"/>
            <w:hideMark/>
          </w:tcPr>
          <w:p w14:paraId="153D4317" w14:textId="77777777" w:rsidR="00D215BD" w:rsidRPr="001314CA" w:rsidRDefault="00D215BD" w:rsidP="00D215BD">
            <w:pPr>
              <w:spacing w:before="0"/>
              <w:jc w:val="center"/>
              <w:rPr>
                <w:rFonts w:cs="Calibri"/>
                <w:sz w:val="22"/>
                <w:szCs w:val="22"/>
              </w:rPr>
            </w:pPr>
            <w:r w:rsidRPr="001314CA">
              <w:rPr>
                <w:rFonts w:cs="Calibri"/>
                <w:sz w:val="22"/>
                <w:szCs w:val="22"/>
              </w:rPr>
              <w:t>2011-2012</w:t>
            </w:r>
          </w:p>
        </w:tc>
        <w:tc>
          <w:tcPr>
            <w:tcW w:w="1559" w:type="dxa"/>
            <w:tcBorders>
              <w:top w:val="nil"/>
              <w:left w:val="single" w:sz="4" w:space="0" w:color="auto"/>
              <w:bottom w:val="nil"/>
              <w:right w:val="single" w:sz="4" w:space="0" w:color="auto"/>
            </w:tcBorders>
            <w:shd w:val="clear" w:color="auto" w:fill="auto"/>
            <w:noWrap/>
            <w:vAlign w:val="bottom"/>
            <w:hideMark/>
          </w:tcPr>
          <w:p w14:paraId="6A43732A" w14:textId="77777777" w:rsidR="00D215BD" w:rsidRPr="001314CA" w:rsidRDefault="00D215BD" w:rsidP="00D215BD">
            <w:pPr>
              <w:spacing w:before="0"/>
              <w:jc w:val="right"/>
              <w:rPr>
                <w:rFonts w:cs="Calibri"/>
                <w:sz w:val="22"/>
                <w:szCs w:val="22"/>
              </w:rPr>
            </w:pPr>
            <w:r w:rsidRPr="001314CA">
              <w:rPr>
                <w:rFonts w:cs="Calibri"/>
                <w:sz w:val="22"/>
                <w:szCs w:val="22"/>
              </w:rPr>
              <w:t>4 685,70</w:t>
            </w:r>
          </w:p>
        </w:tc>
        <w:tc>
          <w:tcPr>
            <w:tcW w:w="1333" w:type="dxa"/>
            <w:tcBorders>
              <w:top w:val="nil"/>
              <w:left w:val="single" w:sz="4" w:space="0" w:color="auto"/>
              <w:bottom w:val="nil"/>
              <w:right w:val="single" w:sz="4" w:space="0" w:color="auto"/>
            </w:tcBorders>
            <w:shd w:val="clear" w:color="auto" w:fill="auto"/>
            <w:noWrap/>
            <w:vAlign w:val="bottom"/>
            <w:hideMark/>
          </w:tcPr>
          <w:p w14:paraId="38A5F9BC"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26A7537" w14:textId="77777777" w:rsidR="00D215BD" w:rsidRPr="001314CA" w:rsidRDefault="00D215BD" w:rsidP="00D215BD">
            <w:pPr>
              <w:spacing w:before="0"/>
              <w:jc w:val="right"/>
              <w:rPr>
                <w:rFonts w:cs="Calibri"/>
                <w:sz w:val="22"/>
                <w:szCs w:val="22"/>
              </w:rPr>
            </w:pPr>
            <w:r w:rsidRPr="001314CA">
              <w:rPr>
                <w:rFonts w:cs="Calibri"/>
                <w:sz w:val="22"/>
                <w:szCs w:val="22"/>
              </w:rPr>
              <w:t>4 685,70</w:t>
            </w:r>
          </w:p>
        </w:tc>
      </w:tr>
      <w:tr w:rsidR="00D215BD" w:rsidRPr="001314CA" w14:paraId="7B589738"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2EBA64FE"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Tata Communications Ltd, New Delhi</w:t>
            </w:r>
          </w:p>
        </w:tc>
        <w:tc>
          <w:tcPr>
            <w:tcW w:w="1311" w:type="dxa"/>
            <w:tcBorders>
              <w:top w:val="nil"/>
              <w:left w:val="single" w:sz="4" w:space="0" w:color="auto"/>
              <w:bottom w:val="nil"/>
              <w:right w:val="single" w:sz="4" w:space="0" w:color="auto"/>
            </w:tcBorders>
            <w:shd w:val="clear" w:color="auto" w:fill="auto"/>
            <w:noWrap/>
            <w:vAlign w:val="bottom"/>
            <w:hideMark/>
          </w:tcPr>
          <w:p w14:paraId="3FC13B44" w14:textId="77777777" w:rsidR="00D215BD" w:rsidRPr="001314CA" w:rsidRDefault="00D215BD" w:rsidP="00D215BD">
            <w:pPr>
              <w:spacing w:before="0"/>
              <w:jc w:val="center"/>
              <w:rPr>
                <w:rFonts w:cs="Calibri"/>
                <w:sz w:val="22"/>
                <w:szCs w:val="22"/>
              </w:rPr>
            </w:pPr>
            <w:r w:rsidRPr="001314CA">
              <w:rPr>
                <w:rFonts w:cs="Calibri"/>
                <w:sz w:val="22"/>
                <w:szCs w:val="22"/>
              </w:rPr>
              <w:t>2013</w:t>
            </w:r>
          </w:p>
        </w:tc>
        <w:tc>
          <w:tcPr>
            <w:tcW w:w="1559" w:type="dxa"/>
            <w:tcBorders>
              <w:top w:val="nil"/>
              <w:left w:val="single" w:sz="4" w:space="0" w:color="auto"/>
              <w:bottom w:val="nil"/>
              <w:right w:val="single" w:sz="4" w:space="0" w:color="auto"/>
            </w:tcBorders>
            <w:shd w:val="clear" w:color="auto" w:fill="auto"/>
            <w:noWrap/>
            <w:vAlign w:val="bottom"/>
            <w:hideMark/>
          </w:tcPr>
          <w:p w14:paraId="730B751E" w14:textId="77777777" w:rsidR="00D215BD" w:rsidRPr="001314CA" w:rsidRDefault="00D215BD" w:rsidP="00D215BD">
            <w:pPr>
              <w:spacing w:before="0"/>
              <w:jc w:val="right"/>
              <w:rPr>
                <w:rFonts w:cs="Calibri"/>
                <w:sz w:val="22"/>
                <w:szCs w:val="22"/>
              </w:rPr>
            </w:pPr>
            <w:r w:rsidRPr="001314CA">
              <w:rPr>
                <w:rFonts w:cs="Calibri"/>
                <w:sz w:val="22"/>
                <w:szCs w:val="22"/>
              </w:rPr>
              <w:t>6 201,10</w:t>
            </w:r>
          </w:p>
        </w:tc>
        <w:tc>
          <w:tcPr>
            <w:tcW w:w="1333" w:type="dxa"/>
            <w:tcBorders>
              <w:top w:val="nil"/>
              <w:left w:val="single" w:sz="4" w:space="0" w:color="auto"/>
              <w:bottom w:val="nil"/>
              <w:right w:val="single" w:sz="4" w:space="0" w:color="auto"/>
            </w:tcBorders>
            <w:shd w:val="clear" w:color="auto" w:fill="auto"/>
            <w:noWrap/>
            <w:vAlign w:val="bottom"/>
            <w:hideMark/>
          </w:tcPr>
          <w:p w14:paraId="199902CD"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E0D328A" w14:textId="77777777" w:rsidR="00D215BD" w:rsidRPr="001314CA" w:rsidRDefault="00D215BD" w:rsidP="00D215BD">
            <w:pPr>
              <w:spacing w:before="0"/>
              <w:jc w:val="right"/>
              <w:rPr>
                <w:rFonts w:cs="Calibri"/>
                <w:sz w:val="22"/>
                <w:szCs w:val="22"/>
              </w:rPr>
            </w:pPr>
            <w:r w:rsidRPr="001314CA">
              <w:rPr>
                <w:rFonts w:cs="Calibri"/>
                <w:sz w:val="22"/>
                <w:szCs w:val="22"/>
              </w:rPr>
              <w:t>6 201,10</w:t>
            </w:r>
          </w:p>
        </w:tc>
      </w:tr>
      <w:tr w:rsidR="00D215BD" w:rsidRPr="001314CA" w14:paraId="0D2499CB"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10AE3D4D"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Telecommunications Consultants, New Delhi</w:t>
            </w:r>
          </w:p>
        </w:tc>
        <w:tc>
          <w:tcPr>
            <w:tcW w:w="1311" w:type="dxa"/>
            <w:tcBorders>
              <w:top w:val="nil"/>
              <w:left w:val="single" w:sz="4" w:space="0" w:color="auto"/>
              <w:bottom w:val="nil"/>
              <w:right w:val="single" w:sz="4" w:space="0" w:color="auto"/>
            </w:tcBorders>
            <w:shd w:val="clear" w:color="auto" w:fill="auto"/>
            <w:noWrap/>
            <w:vAlign w:val="bottom"/>
            <w:hideMark/>
          </w:tcPr>
          <w:p w14:paraId="0772737D" w14:textId="77777777" w:rsidR="00D215BD" w:rsidRPr="001314CA" w:rsidRDefault="00D215BD" w:rsidP="00D215BD">
            <w:pPr>
              <w:spacing w:before="0"/>
              <w:jc w:val="center"/>
              <w:rPr>
                <w:rFonts w:cs="Calibri"/>
                <w:sz w:val="22"/>
                <w:szCs w:val="22"/>
              </w:rPr>
            </w:pPr>
            <w:r w:rsidRPr="001314CA">
              <w:rPr>
                <w:rFonts w:cs="Calibri"/>
                <w:sz w:val="22"/>
                <w:szCs w:val="22"/>
              </w:rPr>
              <w:t>2006-2007</w:t>
            </w:r>
          </w:p>
        </w:tc>
        <w:tc>
          <w:tcPr>
            <w:tcW w:w="1559" w:type="dxa"/>
            <w:tcBorders>
              <w:top w:val="nil"/>
              <w:left w:val="single" w:sz="4" w:space="0" w:color="auto"/>
              <w:bottom w:val="nil"/>
              <w:right w:val="single" w:sz="4" w:space="0" w:color="auto"/>
            </w:tcBorders>
            <w:shd w:val="clear" w:color="auto" w:fill="auto"/>
            <w:noWrap/>
            <w:vAlign w:val="bottom"/>
            <w:hideMark/>
          </w:tcPr>
          <w:p w14:paraId="4CC544F2" w14:textId="77777777" w:rsidR="00D215BD" w:rsidRPr="001314CA" w:rsidRDefault="00D215BD" w:rsidP="00D215BD">
            <w:pPr>
              <w:spacing w:before="0"/>
              <w:jc w:val="right"/>
              <w:rPr>
                <w:rFonts w:cs="Calibri"/>
                <w:sz w:val="22"/>
                <w:szCs w:val="22"/>
              </w:rPr>
            </w:pPr>
            <w:r w:rsidRPr="001314CA">
              <w:rPr>
                <w:rFonts w:cs="Calibri"/>
                <w:sz w:val="22"/>
                <w:szCs w:val="22"/>
              </w:rPr>
              <w:t>144 963,35</w:t>
            </w:r>
          </w:p>
        </w:tc>
        <w:tc>
          <w:tcPr>
            <w:tcW w:w="1333" w:type="dxa"/>
            <w:tcBorders>
              <w:top w:val="nil"/>
              <w:left w:val="single" w:sz="4" w:space="0" w:color="auto"/>
              <w:bottom w:val="nil"/>
              <w:right w:val="single" w:sz="4" w:space="0" w:color="auto"/>
            </w:tcBorders>
            <w:shd w:val="clear" w:color="auto" w:fill="auto"/>
            <w:noWrap/>
            <w:vAlign w:val="bottom"/>
            <w:hideMark/>
          </w:tcPr>
          <w:p w14:paraId="46F2DD24"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E1A9720" w14:textId="77777777" w:rsidR="00D215BD" w:rsidRPr="001314CA" w:rsidRDefault="00D215BD" w:rsidP="00D215BD">
            <w:pPr>
              <w:spacing w:before="0"/>
              <w:jc w:val="right"/>
              <w:rPr>
                <w:rFonts w:cs="Calibri"/>
                <w:sz w:val="22"/>
                <w:szCs w:val="22"/>
              </w:rPr>
            </w:pPr>
            <w:r w:rsidRPr="001314CA">
              <w:rPr>
                <w:rFonts w:cs="Calibri"/>
                <w:sz w:val="22"/>
                <w:szCs w:val="22"/>
              </w:rPr>
              <w:t>144 963,35</w:t>
            </w:r>
          </w:p>
        </w:tc>
      </w:tr>
      <w:tr w:rsidR="00D215BD" w:rsidRPr="001314CA" w14:paraId="78633AFA"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502CBB44"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Vihaan Networks Ltd, Gurgaon</w:t>
            </w:r>
          </w:p>
        </w:tc>
        <w:tc>
          <w:tcPr>
            <w:tcW w:w="1311" w:type="dxa"/>
            <w:tcBorders>
              <w:top w:val="nil"/>
              <w:left w:val="single" w:sz="4" w:space="0" w:color="auto"/>
              <w:bottom w:val="nil"/>
              <w:right w:val="single" w:sz="4" w:space="0" w:color="auto"/>
            </w:tcBorders>
            <w:shd w:val="clear" w:color="auto" w:fill="auto"/>
            <w:noWrap/>
            <w:vAlign w:val="bottom"/>
            <w:hideMark/>
          </w:tcPr>
          <w:p w14:paraId="5F18F438" w14:textId="77777777" w:rsidR="00D215BD" w:rsidRPr="001314CA" w:rsidRDefault="00D215BD" w:rsidP="00D215BD">
            <w:pPr>
              <w:spacing w:before="0"/>
              <w:jc w:val="center"/>
              <w:rPr>
                <w:rFonts w:cs="Calibri"/>
                <w:sz w:val="22"/>
                <w:szCs w:val="22"/>
              </w:rPr>
            </w:pPr>
            <w:r w:rsidRPr="001314CA">
              <w:rPr>
                <w:rFonts w:cs="Calibri"/>
                <w:sz w:val="22"/>
                <w:szCs w:val="22"/>
              </w:rPr>
              <w:t>2013</w:t>
            </w:r>
          </w:p>
        </w:tc>
        <w:tc>
          <w:tcPr>
            <w:tcW w:w="1559" w:type="dxa"/>
            <w:tcBorders>
              <w:top w:val="nil"/>
              <w:left w:val="single" w:sz="4" w:space="0" w:color="auto"/>
              <w:bottom w:val="nil"/>
              <w:right w:val="single" w:sz="4" w:space="0" w:color="auto"/>
            </w:tcBorders>
            <w:shd w:val="clear" w:color="auto" w:fill="auto"/>
            <w:noWrap/>
            <w:vAlign w:val="bottom"/>
            <w:hideMark/>
          </w:tcPr>
          <w:p w14:paraId="5B5E0459" w14:textId="77777777" w:rsidR="00D215BD" w:rsidRPr="001314CA" w:rsidRDefault="00D215BD" w:rsidP="00D215BD">
            <w:pPr>
              <w:spacing w:before="0"/>
              <w:jc w:val="right"/>
              <w:rPr>
                <w:rFonts w:cs="Calibri"/>
                <w:sz w:val="22"/>
                <w:szCs w:val="22"/>
              </w:rPr>
            </w:pPr>
            <w:r w:rsidRPr="001314CA">
              <w:rPr>
                <w:rFonts w:cs="Calibri"/>
                <w:sz w:val="22"/>
                <w:szCs w:val="22"/>
              </w:rPr>
              <w:t>55 809,60</w:t>
            </w:r>
          </w:p>
        </w:tc>
        <w:tc>
          <w:tcPr>
            <w:tcW w:w="1333" w:type="dxa"/>
            <w:tcBorders>
              <w:top w:val="nil"/>
              <w:left w:val="single" w:sz="4" w:space="0" w:color="auto"/>
              <w:bottom w:val="nil"/>
              <w:right w:val="single" w:sz="4" w:space="0" w:color="auto"/>
            </w:tcBorders>
            <w:shd w:val="clear" w:color="auto" w:fill="auto"/>
            <w:noWrap/>
            <w:vAlign w:val="bottom"/>
            <w:hideMark/>
          </w:tcPr>
          <w:p w14:paraId="40D9BBC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C0574EA" w14:textId="77777777" w:rsidR="00D215BD" w:rsidRPr="001314CA" w:rsidRDefault="00D215BD" w:rsidP="00D215BD">
            <w:pPr>
              <w:spacing w:before="0"/>
              <w:jc w:val="right"/>
              <w:rPr>
                <w:rFonts w:cs="Calibri"/>
                <w:sz w:val="22"/>
                <w:szCs w:val="22"/>
              </w:rPr>
            </w:pPr>
            <w:r w:rsidRPr="001314CA">
              <w:rPr>
                <w:rFonts w:cs="Calibri"/>
                <w:sz w:val="22"/>
                <w:szCs w:val="22"/>
              </w:rPr>
              <w:t>55 809,60</w:t>
            </w:r>
          </w:p>
        </w:tc>
      </w:tr>
      <w:tr w:rsidR="00D215BD" w:rsidRPr="001314CA" w14:paraId="41ABBDC8"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11DA8056"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Iran</w:t>
            </w:r>
          </w:p>
        </w:tc>
        <w:tc>
          <w:tcPr>
            <w:tcW w:w="1311" w:type="dxa"/>
            <w:tcBorders>
              <w:top w:val="nil"/>
              <w:left w:val="single" w:sz="4" w:space="0" w:color="auto"/>
              <w:bottom w:val="nil"/>
              <w:right w:val="single" w:sz="4" w:space="0" w:color="auto"/>
            </w:tcBorders>
            <w:shd w:val="clear" w:color="auto" w:fill="auto"/>
            <w:noWrap/>
            <w:vAlign w:val="bottom"/>
            <w:hideMark/>
          </w:tcPr>
          <w:p w14:paraId="067A0BEF"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13287524"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1222AB17"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570A4FFF" w14:textId="77777777" w:rsidR="00D215BD" w:rsidRPr="001314CA" w:rsidRDefault="00D215BD" w:rsidP="00D215BD">
            <w:pPr>
              <w:spacing w:before="0"/>
              <w:rPr>
                <w:rFonts w:ascii="Times New Roman" w:hAnsi="Times New Roman"/>
                <w:sz w:val="22"/>
                <w:szCs w:val="22"/>
              </w:rPr>
            </w:pPr>
          </w:p>
        </w:tc>
      </w:tr>
      <w:tr w:rsidR="00D215BD" w:rsidRPr="001314CA" w14:paraId="63F183B2" w14:textId="77777777" w:rsidTr="00D215BD">
        <w:trPr>
          <w:trHeight w:val="600"/>
          <w:jc w:val="center"/>
        </w:trPr>
        <w:tc>
          <w:tcPr>
            <w:tcW w:w="4723" w:type="dxa"/>
            <w:tcBorders>
              <w:top w:val="nil"/>
              <w:left w:val="single" w:sz="4" w:space="0" w:color="auto"/>
              <w:bottom w:val="nil"/>
              <w:right w:val="single" w:sz="4" w:space="0" w:color="auto"/>
            </w:tcBorders>
            <w:shd w:val="clear" w:color="auto" w:fill="auto"/>
            <w:vAlign w:val="bottom"/>
            <w:hideMark/>
          </w:tcPr>
          <w:p w14:paraId="749C7AD1"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Iranian</w:t>
            </w:r>
            <w:proofErr w:type="spellEnd"/>
            <w:r w:rsidRPr="001314CA">
              <w:rPr>
                <w:rFonts w:cs="Calibri"/>
                <w:sz w:val="22"/>
                <w:szCs w:val="22"/>
              </w:rPr>
              <w:t xml:space="preserve"> Net Communications &amp; </w:t>
            </w:r>
            <w:proofErr w:type="spellStart"/>
            <w:r w:rsidRPr="001314CA">
              <w:rPr>
                <w:rFonts w:cs="Calibri"/>
                <w:sz w:val="22"/>
                <w:szCs w:val="22"/>
              </w:rPr>
              <w:t>Electronic</w:t>
            </w:r>
            <w:proofErr w:type="spellEnd"/>
            <w:r w:rsidRPr="001314CA">
              <w:rPr>
                <w:rFonts w:cs="Calibri"/>
                <w:sz w:val="22"/>
                <w:szCs w:val="22"/>
              </w:rPr>
              <w:t xml:space="preserve"> Services Co, Téhéran</w:t>
            </w:r>
          </w:p>
        </w:tc>
        <w:tc>
          <w:tcPr>
            <w:tcW w:w="1311" w:type="dxa"/>
            <w:tcBorders>
              <w:top w:val="nil"/>
              <w:left w:val="single" w:sz="4" w:space="0" w:color="auto"/>
              <w:bottom w:val="nil"/>
              <w:right w:val="single" w:sz="4" w:space="0" w:color="auto"/>
            </w:tcBorders>
            <w:shd w:val="clear" w:color="auto" w:fill="auto"/>
            <w:noWrap/>
            <w:vAlign w:val="bottom"/>
            <w:hideMark/>
          </w:tcPr>
          <w:p w14:paraId="3220A9F9"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559" w:type="dxa"/>
            <w:tcBorders>
              <w:top w:val="nil"/>
              <w:left w:val="single" w:sz="4" w:space="0" w:color="auto"/>
              <w:bottom w:val="nil"/>
              <w:right w:val="single" w:sz="4" w:space="0" w:color="auto"/>
            </w:tcBorders>
            <w:shd w:val="clear" w:color="auto" w:fill="auto"/>
            <w:noWrap/>
            <w:vAlign w:val="bottom"/>
            <w:hideMark/>
          </w:tcPr>
          <w:p w14:paraId="2A258DA6"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c>
          <w:tcPr>
            <w:tcW w:w="1333" w:type="dxa"/>
            <w:tcBorders>
              <w:top w:val="nil"/>
              <w:left w:val="single" w:sz="4" w:space="0" w:color="auto"/>
              <w:bottom w:val="nil"/>
              <w:right w:val="single" w:sz="4" w:space="0" w:color="auto"/>
            </w:tcBorders>
            <w:shd w:val="clear" w:color="auto" w:fill="auto"/>
            <w:noWrap/>
            <w:vAlign w:val="bottom"/>
            <w:hideMark/>
          </w:tcPr>
          <w:p w14:paraId="7DB7EB1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3C411F4"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r>
      <w:tr w:rsidR="00D215BD" w:rsidRPr="001314CA" w14:paraId="02FF9A7C"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43563D7F"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 xml:space="preserve">Israël </w:t>
            </w:r>
          </w:p>
        </w:tc>
        <w:tc>
          <w:tcPr>
            <w:tcW w:w="1311" w:type="dxa"/>
            <w:tcBorders>
              <w:top w:val="nil"/>
              <w:left w:val="single" w:sz="4" w:space="0" w:color="auto"/>
              <w:bottom w:val="nil"/>
              <w:right w:val="single" w:sz="4" w:space="0" w:color="auto"/>
            </w:tcBorders>
            <w:shd w:val="clear" w:color="auto" w:fill="auto"/>
            <w:noWrap/>
            <w:vAlign w:val="bottom"/>
            <w:hideMark/>
          </w:tcPr>
          <w:p w14:paraId="5E821850"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3FEB9379"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4B855DB3"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56688693" w14:textId="77777777" w:rsidR="00D215BD" w:rsidRPr="001314CA" w:rsidRDefault="00D215BD" w:rsidP="00D215BD">
            <w:pPr>
              <w:spacing w:before="0"/>
              <w:rPr>
                <w:rFonts w:ascii="Times New Roman" w:hAnsi="Times New Roman"/>
                <w:sz w:val="22"/>
                <w:szCs w:val="22"/>
              </w:rPr>
            </w:pPr>
          </w:p>
        </w:tc>
      </w:tr>
      <w:tr w:rsidR="00D215BD" w:rsidRPr="001314CA" w14:paraId="010D2AB9"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22D63BCC"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IP Light, </w:t>
            </w:r>
            <w:proofErr w:type="spellStart"/>
            <w:r w:rsidRPr="001314CA">
              <w:rPr>
                <w:rFonts w:cs="Calibri"/>
                <w:sz w:val="22"/>
                <w:szCs w:val="22"/>
              </w:rPr>
              <w:t>Petah</w:t>
            </w:r>
            <w:proofErr w:type="spellEnd"/>
            <w:r w:rsidRPr="001314CA">
              <w:rPr>
                <w:rFonts w:cs="Calibri"/>
                <w:sz w:val="22"/>
                <w:szCs w:val="22"/>
              </w:rPr>
              <w:t xml:space="preserve"> </w:t>
            </w:r>
            <w:proofErr w:type="spellStart"/>
            <w:r w:rsidRPr="001314CA">
              <w:rPr>
                <w:rFonts w:cs="Calibri"/>
                <w:sz w:val="22"/>
                <w:szCs w:val="22"/>
              </w:rPr>
              <w:t>Tikva</w:t>
            </w:r>
            <w:proofErr w:type="spellEnd"/>
          </w:p>
        </w:tc>
        <w:tc>
          <w:tcPr>
            <w:tcW w:w="1311" w:type="dxa"/>
            <w:tcBorders>
              <w:top w:val="nil"/>
              <w:left w:val="single" w:sz="4" w:space="0" w:color="auto"/>
              <w:bottom w:val="nil"/>
              <w:right w:val="single" w:sz="4" w:space="0" w:color="auto"/>
            </w:tcBorders>
            <w:shd w:val="clear" w:color="auto" w:fill="auto"/>
            <w:noWrap/>
            <w:vAlign w:val="bottom"/>
            <w:hideMark/>
          </w:tcPr>
          <w:p w14:paraId="0FC0D629" w14:textId="77777777" w:rsidR="00D215BD" w:rsidRPr="001314CA" w:rsidRDefault="00D215BD" w:rsidP="00D215BD">
            <w:pPr>
              <w:spacing w:before="0"/>
              <w:jc w:val="center"/>
              <w:rPr>
                <w:rFonts w:cs="Calibri"/>
                <w:sz w:val="22"/>
                <w:szCs w:val="22"/>
              </w:rPr>
            </w:pPr>
            <w:r w:rsidRPr="001314CA">
              <w:rPr>
                <w:rFonts w:cs="Calibri"/>
                <w:sz w:val="22"/>
                <w:szCs w:val="22"/>
              </w:rPr>
              <w:t>2017</w:t>
            </w:r>
          </w:p>
        </w:tc>
        <w:tc>
          <w:tcPr>
            <w:tcW w:w="1559" w:type="dxa"/>
            <w:tcBorders>
              <w:top w:val="nil"/>
              <w:left w:val="single" w:sz="4" w:space="0" w:color="auto"/>
              <w:bottom w:val="nil"/>
              <w:right w:val="single" w:sz="4" w:space="0" w:color="auto"/>
            </w:tcBorders>
            <w:shd w:val="clear" w:color="auto" w:fill="auto"/>
            <w:noWrap/>
            <w:vAlign w:val="bottom"/>
            <w:hideMark/>
          </w:tcPr>
          <w:p w14:paraId="73E48D3A" w14:textId="77777777" w:rsidR="00D215BD" w:rsidRPr="001314CA" w:rsidRDefault="00D215BD" w:rsidP="00D215BD">
            <w:pPr>
              <w:spacing w:before="0"/>
              <w:jc w:val="right"/>
              <w:rPr>
                <w:rFonts w:cs="Calibri"/>
                <w:sz w:val="22"/>
                <w:szCs w:val="22"/>
              </w:rPr>
            </w:pPr>
            <w:r w:rsidRPr="001314CA">
              <w:rPr>
                <w:rFonts w:cs="Calibri"/>
                <w:sz w:val="22"/>
                <w:szCs w:val="22"/>
              </w:rPr>
              <w:t>13 098,20</w:t>
            </w:r>
          </w:p>
        </w:tc>
        <w:tc>
          <w:tcPr>
            <w:tcW w:w="1333" w:type="dxa"/>
            <w:tcBorders>
              <w:top w:val="nil"/>
              <w:left w:val="single" w:sz="4" w:space="0" w:color="auto"/>
              <w:bottom w:val="nil"/>
              <w:right w:val="single" w:sz="4" w:space="0" w:color="auto"/>
            </w:tcBorders>
            <w:shd w:val="clear" w:color="auto" w:fill="auto"/>
            <w:noWrap/>
            <w:vAlign w:val="bottom"/>
            <w:hideMark/>
          </w:tcPr>
          <w:p w14:paraId="220ADBF7"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5A549CE" w14:textId="77777777" w:rsidR="00D215BD" w:rsidRPr="001314CA" w:rsidRDefault="00D215BD" w:rsidP="00D215BD">
            <w:pPr>
              <w:spacing w:before="0"/>
              <w:jc w:val="right"/>
              <w:rPr>
                <w:rFonts w:cs="Calibri"/>
                <w:sz w:val="22"/>
                <w:szCs w:val="22"/>
              </w:rPr>
            </w:pPr>
            <w:r w:rsidRPr="001314CA">
              <w:rPr>
                <w:rFonts w:cs="Calibri"/>
                <w:sz w:val="22"/>
                <w:szCs w:val="22"/>
              </w:rPr>
              <w:t>13 098,20</w:t>
            </w:r>
          </w:p>
        </w:tc>
      </w:tr>
      <w:tr w:rsidR="00D215BD" w:rsidRPr="001314CA" w14:paraId="4781F64A"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712CA83C"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r>
            <w:proofErr w:type="spellStart"/>
            <w:r w:rsidRPr="00513163">
              <w:rPr>
                <w:rFonts w:cs="Calibri"/>
                <w:sz w:val="22"/>
                <w:szCs w:val="22"/>
                <w:lang w:val="en-US"/>
              </w:rPr>
              <w:t>JpU</w:t>
            </w:r>
            <w:proofErr w:type="spellEnd"/>
            <w:r w:rsidRPr="00513163">
              <w:rPr>
                <w:rFonts w:cs="Calibri"/>
                <w:sz w:val="22"/>
                <w:szCs w:val="22"/>
                <w:lang w:val="en-US"/>
              </w:rPr>
              <w:t xml:space="preserve"> Io, Ltd, Petah </w:t>
            </w:r>
            <w:proofErr w:type="spellStart"/>
            <w:r w:rsidRPr="00513163">
              <w:rPr>
                <w:rFonts w:cs="Calibri"/>
                <w:sz w:val="22"/>
                <w:szCs w:val="22"/>
                <w:lang w:val="en-US"/>
              </w:rPr>
              <w:t>Tikva</w:t>
            </w:r>
            <w:proofErr w:type="spellEnd"/>
          </w:p>
        </w:tc>
        <w:tc>
          <w:tcPr>
            <w:tcW w:w="1311" w:type="dxa"/>
            <w:tcBorders>
              <w:top w:val="nil"/>
              <w:left w:val="single" w:sz="4" w:space="0" w:color="auto"/>
              <w:bottom w:val="nil"/>
              <w:right w:val="single" w:sz="4" w:space="0" w:color="auto"/>
            </w:tcBorders>
            <w:shd w:val="clear" w:color="auto" w:fill="auto"/>
            <w:noWrap/>
            <w:vAlign w:val="bottom"/>
            <w:hideMark/>
          </w:tcPr>
          <w:p w14:paraId="593F0C5E"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559" w:type="dxa"/>
            <w:tcBorders>
              <w:top w:val="nil"/>
              <w:left w:val="single" w:sz="4" w:space="0" w:color="auto"/>
              <w:bottom w:val="nil"/>
              <w:right w:val="single" w:sz="4" w:space="0" w:color="auto"/>
            </w:tcBorders>
            <w:shd w:val="clear" w:color="auto" w:fill="auto"/>
            <w:noWrap/>
            <w:vAlign w:val="bottom"/>
            <w:hideMark/>
          </w:tcPr>
          <w:p w14:paraId="62CA6037" w14:textId="77777777" w:rsidR="00D215BD" w:rsidRPr="001314CA" w:rsidRDefault="00D215BD" w:rsidP="00D215BD">
            <w:pPr>
              <w:spacing w:before="0"/>
              <w:jc w:val="right"/>
              <w:rPr>
                <w:rFonts w:cs="Calibri"/>
                <w:sz w:val="22"/>
                <w:szCs w:val="22"/>
              </w:rPr>
            </w:pPr>
            <w:r w:rsidRPr="001314CA">
              <w:rPr>
                <w:rFonts w:cs="Calibri"/>
                <w:sz w:val="22"/>
                <w:szCs w:val="22"/>
              </w:rPr>
              <w:t>3 885,78</w:t>
            </w:r>
          </w:p>
        </w:tc>
        <w:tc>
          <w:tcPr>
            <w:tcW w:w="1333" w:type="dxa"/>
            <w:tcBorders>
              <w:top w:val="nil"/>
              <w:left w:val="single" w:sz="4" w:space="0" w:color="auto"/>
              <w:bottom w:val="nil"/>
              <w:right w:val="single" w:sz="4" w:space="0" w:color="auto"/>
            </w:tcBorders>
            <w:shd w:val="clear" w:color="auto" w:fill="auto"/>
            <w:noWrap/>
            <w:vAlign w:val="bottom"/>
            <w:hideMark/>
          </w:tcPr>
          <w:p w14:paraId="08DA17AB"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31CAAE00" w14:textId="77777777" w:rsidR="00D215BD" w:rsidRPr="001314CA" w:rsidRDefault="00D215BD" w:rsidP="00D215BD">
            <w:pPr>
              <w:spacing w:before="0"/>
              <w:jc w:val="right"/>
              <w:rPr>
                <w:rFonts w:cs="Calibri"/>
                <w:sz w:val="22"/>
                <w:szCs w:val="22"/>
              </w:rPr>
            </w:pPr>
            <w:r w:rsidRPr="001314CA">
              <w:rPr>
                <w:rFonts w:cs="Calibri"/>
                <w:sz w:val="22"/>
                <w:szCs w:val="22"/>
              </w:rPr>
              <w:t>3 885,78</w:t>
            </w:r>
          </w:p>
        </w:tc>
      </w:tr>
      <w:tr w:rsidR="00D215BD" w:rsidRPr="001314CA" w14:paraId="70744F92"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5FD248E0"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TangoTec</w:t>
            </w:r>
            <w:proofErr w:type="spellEnd"/>
            <w:r w:rsidRPr="001314CA">
              <w:rPr>
                <w:rFonts w:cs="Calibri"/>
                <w:sz w:val="22"/>
                <w:szCs w:val="22"/>
              </w:rPr>
              <w:t xml:space="preserve"> Il, Haïfa</w:t>
            </w:r>
          </w:p>
        </w:tc>
        <w:tc>
          <w:tcPr>
            <w:tcW w:w="1311" w:type="dxa"/>
            <w:tcBorders>
              <w:top w:val="nil"/>
              <w:left w:val="single" w:sz="4" w:space="0" w:color="auto"/>
              <w:bottom w:val="nil"/>
              <w:right w:val="single" w:sz="4" w:space="0" w:color="auto"/>
            </w:tcBorders>
            <w:shd w:val="clear" w:color="auto" w:fill="auto"/>
            <w:noWrap/>
            <w:vAlign w:val="bottom"/>
            <w:hideMark/>
          </w:tcPr>
          <w:p w14:paraId="2142AAF8" w14:textId="77777777" w:rsidR="00D215BD" w:rsidRPr="001314CA" w:rsidRDefault="00D215BD" w:rsidP="00D215BD">
            <w:pPr>
              <w:spacing w:before="0"/>
              <w:jc w:val="center"/>
              <w:rPr>
                <w:rFonts w:cs="Calibri"/>
                <w:sz w:val="22"/>
                <w:szCs w:val="22"/>
              </w:rPr>
            </w:pPr>
            <w:r w:rsidRPr="001314CA">
              <w:rPr>
                <w:rFonts w:cs="Calibri"/>
                <w:sz w:val="22"/>
                <w:szCs w:val="22"/>
              </w:rPr>
              <w:t>2015-2016</w:t>
            </w:r>
          </w:p>
        </w:tc>
        <w:tc>
          <w:tcPr>
            <w:tcW w:w="1559" w:type="dxa"/>
            <w:tcBorders>
              <w:top w:val="nil"/>
              <w:left w:val="single" w:sz="4" w:space="0" w:color="auto"/>
              <w:bottom w:val="nil"/>
              <w:right w:val="single" w:sz="4" w:space="0" w:color="auto"/>
            </w:tcBorders>
            <w:shd w:val="clear" w:color="auto" w:fill="auto"/>
            <w:noWrap/>
            <w:vAlign w:val="bottom"/>
            <w:hideMark/>
          </w:tcPr>
          <w:p w14:paraId="15A5ADA9" w14:textId="77777777" w:rsidR="00D215BD" w:rsidRPr="001314CA" w:rsidRDefault="00D215BD" w:rsidP="00D215BD">
            <w:pPr>
              <w:spacing w:before="0"/>
              <w:jc w:val="right"/>
              <w:rPr>
                <w:rFonts w:cs="Calibri"/>
                <w:sz w:val="22"/>
                <w:szCs w:val="22"/>
              </w:rPr>
            </w:pPr>
            <w:r w:rsidRPr="001314CA">
              <w:rPr>
                <w:rFonts w:cs="Calibri"/>
                <w:sz w:val="22"/>
                <w:szCs w:val="22"/>
              </w:rPr>
              <w:t>11 880,85</w:t>
            </w:r>
          </w:p>
        </w:tc>
        <w:tc>
          <w:tcPr>
            <w:tcW w:w="1333" w:type="dxa"/>
            <w:tcBorders>
              <w:top w:val="nil"/>
              <w:left w:val="single" w:sz="4" w:space="0" w:color="auto"/>
              <w:bottom w:val="nil"/>
              <w:right w:val="single" w:sz="4" w:space="0" w:color="auto"/>
            </w:tcBorders>
            <w:shd w:val="clear" w:color="auto" w:fill="auto"/>
            <w:noWrap/>
            <w:vAlign w:val="bottom"/>
            <w:hideMark/>
          </w:tcPr>
          <w:p w14:paraId="1003DD67"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F5163F3" w14:textId="77777777" w:rsidR="00D215BD" w:rsidRPr="001314CA" w:rsidRDefault="00D215BD" w:rsidP="00D215BD">
            <w:pPr>
              <w:spacing w:before="0"/>
              <w:jc w:val="right"/>
              <w:rPr>
                <w:rFonts w:cs="Calibri"/>
                <w:sz w:val="22"/>
                <w:szCs w:val="22"/>
              </w:rPr>
            </w:pPr>
            <w:r w:rsidRPr="001314CA">
              <w:rPr>
                <w:rFonts w:cs="Calibri"/>
                <w:sz w:val="22"/>
                <w:szCs w:val="22"/>
              </w:rPr>
              <w:t>11 880,85</w:t>
            </w:r>
          </w:p>
        </w:tc>
      </w:tr>
      <w:tr w:rsidR="00D215BD" w:rsidRPr="001314CA" w14:paraId="7D8FCFA7"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391D7C44"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Italie</w:t>
            </w:r>
          </w:p>
        </w:tc>
        <w:tc>
          <w:tcPr>
            <w:tcW w:w="1311" w:type="dxa"/>
            <w:tcBorders>
              <w:top w:val="nil"/>
              <w:left w:val="single" w:sz="4" w:space="0" w:color="auto"/>
              <w:bottom w:val="nil"/>
              <w:right w:val="single" w:sz="4" w:space="0" w:color="auto"/>
            </w:tcBorders>
            <w:shd w:val="clear" w:color="auto" w:fill="auto"/>
            <w:noWrap/>
            <w:vAlign w:val="bottom"/>
            <w:hideMark/>
          </w:tcPr>
          <w:p w14:paraId="3B3509A8" w14:textId="77777777" w:rsidR="00D215BD" w:rsidRPr="001314CA" w:rsidRDefault="00D215BD" w:rsidP="00D215BD">
            <w:pPr>
              <w:spacing w:before="0"/>
              <w:jc w:val="center"/>
              <w:rPr>
                <w:rFonts w:cs="Calibri"/>
                <w:sz w:val="22"/>
                <w:szCs w:val="22"/>
              </w:rPr>
            </w:pPr>
            <w:r w:rsidRPr="001314CA">
              <w:rPr>
                <w:rFonts w:cs="Calibri"/>
                <w:sz w:val="22"/>
                <w:szCs w:val="22"/>
              </w:rPr>
              <w:t xml:space="preserve"> </w:t>
            </w:r>
          </w:p>
        </w:tc>
        <w:tc>
          <w:tcPr>
            <w:tcW w:w="1559" w:type="dxa"/>
            <w:tcBorders>
              <w:top w:val="nil"/>
              <w:left w:val="single" w:sz="4" w:space="0" w:color="auto"/>
              <w:bottom w:val="nil"/>
              <w:right w:val="single" w:sz="4" w:space="0" w:color="auto"/>
            </w:tcBorders>
            <w:shd w:val="clear" w:color="auto" w:fill="auto"/>
            <w:noWrap/>
            <w:vAlign w:val="bottom"/>
            <w:hideMark/>
          </w:tcPr>
          <w:p w14:paraId="7CC03A69" w14:textId="77777777" w:rsidR="00D215BD" w:rsidRPr="001314CA" w:rsidRDefault="00D215BD" w:rsidP="00D215BD">
            <w:pPr>
              <w:spacing w:before="0"/>
              <w:rPr>
                <w:rFonts w:cs="Calibri"/>
                <w:sz w:val="22"/>
                <w:szCs w:val="22"/>
              </w:rPr>
            </w:pPr>
            <w:r w:rsidRPr="001314CA">
              <w:rPr>
                <w:rFonts w:cs="Calibri"/>
                <w:sz w:val="22"/>
                <w:szCs w:val="22"/>
              </w:rPr>
              <w:t xml:space="preserve"> </w:t>
            </w:r>
          </w:p>
        </w:tc>
        <w:tc>
          <w:tcPr>
            <w:tcW w:w="1333" w:type="dxa"/>
            <w:tcBorders>
              <w:top w:val="nil"/>
              <w:left w:val="single" w:sz="4" w:space="0" w:color="auto"/>
              <w:bottom w:val="nil"/>
              <w:right w:val="single" w:sz="4" w:space="0" w:color="auto"/>
            </w:tcBorders>
            <w:shd w:val="clear" w:color="auto" w:fill="auto"/>
            <w:noWrap/>
            <w:vAlign w:val="bottom"/>
            <w:hideMark/>
          </w:tcPr>
          <w:p w14:paraId="758DB9D0" w14:textId="77777777" w:rsidR="00D215BD" w:rsidRPr="001314CA" w:rsidRDefault="00D215BD" w:rsidP="00D215BD">
            <w:pPr>
              <w:spacing w:before="0"/>
              <w:rPr>
                <w:rFonts w:cs="Calibri"/>
                <w:sz w:val="22"/>
                <w:szCs w:val="22"/>
              </w:rPr>
            </w:pPr>
            <w:r w:rsidRPr="001314CA">
              <w:rPr>
                <w:rFonts w:cs="Calibri"/>
                <w:sz w:val="22"/>
                <w:szCs w:val="22"/>
              </w:rPr>
              <w:t xml:space="preserve"> </w:t>
            </w:r>
          </w:p>
        </w:tc>
        <w:tc>
          <w:tcPr>
            <w:tcW w:w="1417" w:type="dxa"/>
            <w:tcBorders>
              <w:top w:val="nil"/>
              <w:left w:val="single" w:sz="4" w:space="0" w:color="auto"/>
              <w:bottom w:val="nil"/>
              <w:right w:val="single" w:sz="4" w:space="0" w:color="auto"/>
            </w:tcBorders>
            <w:shd w:val="clear" w:color="auto" w:fill="auto"/>
            <w:noWrap/>
            <w:vAlign w:val="bottom"/>
            <w:hideMark/>
          </w:tcPr>
          <w:p w14:paraId="591E6183" w14:textId="77777777" w:rsidR="00D215BD" w:rsidRPr="001314CA" w:rsidRDefault="00D215BD" w:rsidP="00D215BD">
            <w:pPr>
              <w:spacing w:before="0"/>
              <w:rPr>
                <w:rFonts w:cs="Calibri"/>
                <w:sz w:val="22"/>
                <w:szCs w:val="22"/>
              </w:rPr>
            </w:pPr>
            <w:r w:rsidRPr="001314CA">
              <w:rPr>
                <w:rFonts w:cs="Calibri"/>
                <w:sz w:val="22"/>
                <w:szCs w:val="22"/>
              </w:rPr>
              <w:t xml:space="preserve"> </w:t>
            </w:r>
          </w:p>
        </w:tc>
      </w:tr>
      <w:tr w:rsidR="00D215BD" w:rsidRPr="001314CA" w14:paraId="38FC1ADF"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111E3D8C"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 xml:space="preserve">Aethra S.p.A, </w:t>
            </w:r>
            <w:proofErr w:type="spellStart"/>
            <w:r w:rsidRPr="00513163">
              <w:rPr>
                <w:rFonts w:cs="Calibri"/>
                <w:sz w:val="22"/>
                <w:szCs w:val="22"/>
                <w:lang w:val="en-US"/>
              </w:rPr>
              <w:t>Palombina</w:t>
            </w:r>
            <w:proofErr w:type="spellEnd"/>
          </w:p>
        </w:tc>
        <w:tc>
          <w:tcPr>
            <w:tcW w:w="1311" w:type="dxa"/>
            <w:tcBorders>
              <w:top w:val="nil"/>
              <w:left w:val="single" w:sz="4" w:space="0" w:color="auto"/>
              <w:bottom w:val="nil"/>
              <w:right w:val="single" w:sz="4" w:space="0" w:color="auto"/>
            </w:tcBorders>
            <w:shd w:val="clear" w:color="auto" w:fill="auto"/>
            <w:noWrap/>
            <w:vAlign w:val="bottom"/>
            <w:hideMark/>
          </w:tcPr>
          <w:p w14:paraId="502BCB59" w14:textId="77777777" w:rsidR="00D215BD" w:rsidRPr="001314CA" w:rsidRDefault="00D215BD" w:rsidP="00D215BD">
            <w:pPr>
              <w:spacing w:before="0"/>
              <w:jc w:val="center"/>
              <w:rPr>
                <w:rFonts w:cs="Calibri"/>
                <w:sz w:val="22"/>
                <w:szCs w:val="22"/>
              </w:rPr>
            </w:pPr>
            <w:r w:rsidRPr="001314CA">
              <w:rPr>
                <w:rFonts w:cs="Calibri"/>
                <w:sz w:val="22"/>
                <w:szCs w:val="22"/>
              </w:rPr>
              <w:t>2007-2008</w:t>
            </w:r>
          </w:p>
        </w:tc>
        <w:tc>
          <w:tcPr>
            <w:tcW w:w="1559" w:type="dxa"/>
            <w:tcBorders>
              <w:top w:val="nil"/>
              <w:left w:val="single" w:sz="4" w:space="0" w:color="auto"/>
              <w:bottom w:val="nil"/>
              <w:right w:val="single" w:sz="4" w:space="0" w:color="auto"/>
            </w:tcBorders>
            <w:shd w:val="clear" w:color="auto" w:fill="auto"/>
            <w:noWrap/>
            <w:vAlign w:val="bottom"/>
            <w:hideMark/>
          </w:tcPr>
          <w:p w14:paraId="3B24E49B" w14:textId="77777777" w:rsidR="00D215BD" w:rsidRPr="001314CA" w:rsidRDefault="00D215BD" w:rsidP="00D215BD">
            <w:pPr>
              <w:spacing w:before="0"/>
              <w:jc w:val="right"/>
              <w:rPr>
                <w:rFonts w:cs="Calibri"/>
                <w:sz w:val="22"/>
                <w:szCs w:val="22"/>
              </w:rPr>
            </w:pPr>
            <w:r w:rsidRPr="001314CA">
              <w:rPr>
                <w:rFonts w:cs="Calibri"/>
                <w:sz w:val="22"/>
                <w:szCs w:val="22"/>
              </w:rPr>
              <w:t>35 276,45</w:t>
            </w:r>
          </w:p>
        </w:tc>
        <w:tc>
          <w:tcPr>
            <w:tcW w:w="1333" w:type="dxa"/>
            <w:tcBorders>
              <w:top w:val="nil"/>
              <w:left w:val="single" w:sz="4" w:space="0" w:color="auto"/>
              <w:bottom w:val="nil"/>
              <w:right w:val="single" w:sz="4" w:space="0" w:color="auto"/>
            </w:tcBorders>
            <w:shd w:val="clear" w:color="auto" w:fill="auto"/>
            <w:noWrap/>
            <w:vAlign w:val="bottom"/>
            <w:hideMark/>
          </w:tcPr>
          <w:p w14:paraId="1162EEE5"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B737FD7" w14:textId="77777777" w:rsidR="00D215BD" w:rsidRPr="001314CA" w:rsidRDefault="00D215BD" w:rsidP="00D215BD">
            <w:pPr>
              <w:spacing w:before="0"/>
              <w:jc w:val="right"/>
              <w:rPr>
                <w:rFonts w:cs="Calibri"/>
                <w:sz w:val="22"/>
                <w:szCs w:val="22"/>
              </w:rPr>
            </w:pPr>
            <w:r w:rsidRPr="001314CA">
              <w:rPr>
                <w:rFonts w:cs="Calibri"/>
                <w:sz w:val="22"/>
                <w:szCs w:val="22"/>
              </w:rPr>
              <w:t>35 276,45</w:t>
            </w:r>
          </w:p>
        </w:tc>
      </w:tr>
      <w:tr w:rsidR="00D215BD" w:rsidRPr="001314CA" w14:paraId="31007E00"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3A9FA698"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ComProve</w:t>
            </w:r>
            <w:proofErr w:type="spellEnd"/>
            <w:r w:rsidRPr="001314CA">
              <w:rPr>
                <w:rFonts w:cs="Calibri"/>
                <w:sz w:val="22"/>
                <w:szCs w:val="22"/>
              </w:rPr>
              <w:t xml:space="preserve"> Technologies </w:t>
            </w:r>
            <w:proofErr w:type="spellStart"/>
            <w:r w:rsidRPr="001314CA">
              <w:rPr>
                <w:rFonts w:cs="Calibri"/>
                <w:sz w:val="22"/>
                <w:szCs w:val="22"/>
              </w:rPr>
              <w:t>S.p.A</w:t>
            </w:r>
            <w:proofErr w:type="spellEnd"/>
          </w:p>
        </w:tc>
        <w:tc>
          <w:tcPr>
            <w:tcW w:w="1311" w:type="dxa"/>
            <w:tcBorders>
              <w:top w:val="nil"/>
              <w:left w:val="single" w:sz="4" w:space="0" w:color="auto"/>
              <w:bottom w:val="nil"/>
              <w:right w:val="single" w:sz="4" w:space="0" w:color="auto"/>
            </w:tcBorders>
            <w:shd w:val="clear" w:color="auto" w:fill="auto"/>
            <w:noWrap/>
            <w:vAlign w:val="bottom"/>
            <w:hideMark/>
          </w:tcPr>
          <w:p w14:paraId="19C6D6EF" w14:textId="77777777" w:rsidR="00D215BD" w:rsidRPr="001314CA" w:rsidRDefault="00D215BD" w:rsidP="00D215BD">
            <w:pPr>
              <w:spacing w:before="0"/>
              <w:jc w:val="center"/>
              <w:rPr>
                <w:rFonts w:cs="Calibri"/>
                <w:sz w:val="22"/>
                <w:szCs w:val="22"/>
              </w:rPr>
            </w:pPr>
            <w:r w:rsidRPr="001314CA">
              <w:rPr>
                <w:rFonts w:cs="Calibri"/>
                <w:sz w:val="22"/>
                <w:szCs w:val="22"/>
              </w:rPr>
              <w:t>2018</w:t>
            </w:r>
          </w:p>
        </w:tc>
        <w:tc>
          <w:tcPr>
            <w:tcW w:w="1559" w:type="dxa"/>
            <w:tcBorders>
              <w:top w:val="nil"/>
              <w:left w:val="single" w:sz="4" w:space="0" w:color="auto"/>
              <w:bottom w:val="nil"/>
              <w:right w:val="single" w:sz="4" w:space="0" w:color="auto"/>
            </w:tcBorders>
            <w:shd w:val="clear" w:color="auto" w:fill="auto"/>
            <w:noWrap/>
            <w:vAlign w:val="bottom"/>
            <w:hideMark/>
          </w:tcPr>
          <w:p w14:paraId="7C304DC3" w14:textId="77777777" w:rsidR="00D215BD" w:rsidRPr="001314CA" w:rsidRDefault="00D215BD" w:rsidP="00D215BD">
            <w:pPr>
              <w:spacing w:before="0"/>
              <w:jc w:val="right"/>
              <w:rPr>
                <w:rFonts w:cs="Calibri"/>
                <w:sz w:val="22"/>
                <w:szCs w:val="22"/>
              </w:rPr>
            </w:pPr>
            <w:r w:rsidRPr="001314CA">
              <w:rPr>
                <w:rFonts w:cs="Calibri"/>
                <w:sz w:val="22"/>
                <w:szCs w:val="22"/>
              </w:rPr>
              <w:t>4 118,93</w:t>
            </w:r>
          </w:p>
        </w:tc>
        <w:tc>
          <w:tcPr>
            <w:tcW w:w="1333" w:type="dxa"/>
            <w:tcBorders>
              <w:top w:val="nil"/>
              <w:left w:val="single" w:sz="4" w:space="0" w:color="auto"/>
              <w:bottom w:val="nil"/>
              <w:right w:val="single" w:sz="4" w:space="0" w:color="auto"/>
            </w:tcBorders>
            <w:shd w:val="clear" w:color="auto" w:fill="auto"/>
            <w:noWrap/>
            <w:vAlign w:val="bottom"/>
            <w:hideMark/>
          </w:tcPr>
          <w:p w14:paraId="642421DB"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933BDAD" w14:textId="77777777" w:rsidR="00D215BD" w:rsidRPr="001314CA" w:rsidRDefault="00D215BD" w:rsidP="00D215BD">
            <w:pPr>
              <w:spacing w:before="0"/>
              <w:jc w:val="right"/>
              <w:rPr>
                <w:rFonts w:cs="Calibri"/>
                <w:sz w:val="22"/>
                <w:szCs w:val="22"/>
              </w:rPr>
            </w:pPr>
            <w:r w:rsidRPr="001314CA">
              <w:rPr>
                <w:rFonts w:cs="Calibri"/>
                <w:sz w:val="22"/>
                <w:szCs w:val="22"/>
              </w:rPr>
              <w:t>4 118,93</w:t>
            </w:r>
          </w:p>
        </w:tc>
      </w:tr>
      <w:tr w:rsidR="00D215BD" w:rsidRPr="001314CA" w14:paraId="6A884DEF"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7AEE8BE8"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Jordanie</w:t>
            </w:r>
          </w:p>
        </w:tc>
        <w:tc>
          <w:tcPr>
            <w:tcW w:w="1311" w:type="dxa"/>
            <w:tcBorders>
              <w:top w:val="nil"/>
              <w:left w:val="single" w:sz="4" w:space="0" w:color="auto"/>
              <w:bottom w:val="nil"/>
              <w:right w:val="single" w:sz="4" w:space="0" w:color="auto"/>
            </w:tcBorders>
            <w:shd w:val="clear" w:color="auto" w:fill="auto"/>
            <w:noWrap/>
            <w:vAlign w:val="bottom"/>
            <w:hideMark/>
          </w:tcPr>
          <w:p w14:paraId="2C7A2F2E"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6670C0C4"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0E9FFCDE"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2AB48613" w14:textId="77777777" w:rsidR="00D215BD" w:rsidRPr="001314CA" w:rsidRDefault="00D215BD" w:rsidP="00D215BD">
            <w:pPr>
              <w:spacing w:before="0"/>
              <w:rPr>
                <w:rFonts w:ascii="Times New Roman" w:hAnsi="Times New Roman"/>
                <w:sz w:val="22"/>
                <w:szCs w:val="22"/>
              </w:rPr>
            </w:pPr>
          </w:p>
        </w:tc>
      </w:tr>
      <w:tr w:rsidR="00D215BD" w:rsidRPr="001314CA" w14:paraId="4D62DDEC"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0A22AB29"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Jordan Mobile Telecom, Amman</w:t>
            </w:r>
          </w:p>
        </w:tc>
        <w:tc>
          <w:tcPr>
            <w:tcW w:w="1311" w:type="dxa"/>
            <w:tcBorders>
              <w:top w:val="nil"/>
              <w:left w:val="single" w:sz="4" w:space="0" w:color="auto"/>
              <w:bottom w:val="nil"/>
              <w:right w:val="single" w:sz="4" w:space="0" w:color="auto"/>
            </w:tcBorders>
            <w:shd w:val="clear" w:color="auto" w:fill="auto"/>
            <w:noWrap/>
            <w:vAlign w:val="bottom"/>
            <w:hideMark/>
          </w:tcPr>
          <w:p w14:paraId="6F0CF57F" w14:textId="77777777" w:rsidR="00D215BD" w:rsidRPr="001314CA" w:rsidRDefault="00D215BD" w:rsidP="00D215BD">
            <w:pPr>
              <w:spacing w:before="0"/>
              <w:jc w:val="center"/>
              <w:rPr>
                <w:rFonts w:cs="Calibri"/>
                <w:sz w:val="22"/>
                <w:szCs w:val="22"/>
              </w:rPr>
            </w:pPr>
            <w:r w:rsidRPr="001314CA">
              <w:rPr>
                <w:rFonts w:cs="Calibri"/>
                <w:sz w:val="22"/>
                <w:szCs w:val="22"/>
              </w:rPr>
              <w:t>2016</w:t>
            </w:r>
          </w:p>
        </w:tc>
        <w:tc>
          <w:tcPr>
            <w:tcW w:w="1559" w:type="dxa"/>
            <w:tcBorders>
              <w:top w:val="nil"/>
              <w:left w:val="single" w:sz="4" w:space="0" w:color="auto"/>
              <w:bottom w:val="nil"/>
              <w:right w:val="single" w:sz="4" w:space="0" w:color="auto"/>
            </w:tcBorders>
            <w:shd w:val="clear" w:color="auto" w:fill="auto"/>
            <w:noWrap/>
            <w:vAlign w:val="bottom"/>
            <w:hideMark/>
          </w:tcPr>
          <w:p w14:paraId="5F32EC6A" w14:textId="77777777" w:rsidR="00D215BD" w:rsidRPr="001314CA" w:rsidRDefault="00D215BD" w:rsidP="00D215BD">
            <w:pPr>
              <w:spacing w:before="0"/>
              <w:jc w:val="right"/>
              <w:rPr>
                <w:rFonts w:cs="Calibri"/>
                <w:sz w:val="22"/>
                <w:szCs w:val="22"/>
              </w:rPr>
            </w:pPr>
            <w:r w:rsidRPr="001314CA">
              <w:rPr>
                <w:rFonts w:cs="Calibri"/>
                <w:sz w:val="22"/>
                <w:szCs w:val="22"/>
              </w:rPr>
              <w:t>5 206,55</w:t>
            </w:r>
          </w:p>
        </w:tc>
        <w:tc>
          <w:tcPr>
            <w:tcW w:w="1333" w:type="dxa"/>
            <w:tcBorders>
              <w:top w:val="nil"/>
              <w:left w:val="single" w:sz="4" w:space="0" w:color="auto"/>
              <w:bottom w:val="nil"/>
              <w:right w:val="single" w:sz="4" w:space="0" w:color="auto"/>
            </w:tcBorders>
            <w:shd w:val="clear" w:color="auto" w:fill="auto"/>
            <w:noWrap/>
            <w:vAlign w:val="bottom"/>
            <w:hideMark/>
          </w:tcPr>
          <w:p w14:paraId="3FA4924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278C5342" w14:textId="77777777" w:rsidR="00D215BD" w:rsidRPr="001314CA" w:rsidRDefault="00D215BD" w:rsidP="00D215BD">
            <w:pPr>
              <w:spacing w:before="0"/>
              <w:jc w:val="right"/>
              <w:rPr>
                <w:rFonts w:cs="Calibri"/>
                <w:sz w:val="22"/>
                <w:szCs w:val="22"/>
              </w:rPr>
            </w:pPr>
            <w:r w:rsidRPr="001314CA">
              <w:rPr>
                <w:rFonts w:cs="Calibri"/>
                <w:sz w:val="22"/>
                <w:szCs w:val="22"/>
              </w:rPr>
              <w:t>5 206,55</w:t>
            </w:r>
          </w:p>
        </w:tc>
      </w:tr>
      <w:tr w:rsidR="00D215BD" w:rsidRPr="001314CA" w14:paraId="45852272"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64E8837E"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Middle East Communications (MEC), Amman</w:t>
            </w:r>
          </w:p>
        </w:tc>
        <w:tc>
          <w:tcPr>
            <w:tcW w:w="1311" w:type="dxa"/>
            <w:tcBorders>
              <w:top w:val="nil"/>
              <w:left w:val="single" w:sz="4" w:space="0" w:color="auto"/>
              <w:bottom w:val="nil"/>
              <w:right w:val="single" w:sz="4" w:space="0" w:color="auto"/>
            </w:tcBorders>
            <w:shd w:val="clear" w:color="auto" w:fill="auto"/>
            <w:noWrap/>
            <w:vAlign w:val="bottom"/>
            <w:hideMark/>
          </w:tcPr>
          <w:p w14:paraId="47097408" w14:textId="77777777" w:rsidR="00D215BD" w:rsidRPr="001314CA" w:rsidRDefault="00D215BD" w:rsidP="00D215BD">
            <w:pPr>
              <w:spacing w:before="0"/>
              <w:jc w:val="center"/>
              <w:rPr>
                <w:rFonts w:cs="Calibri"/>
                <w:sz w:val="22"/>
                <w:szCs w:val="22"/>
              </w:rPr>
            </w:pPr>
            <w:r w:rsidRPr="001314CA">
              <w:rPr>
                <w:rFonts w:cs="Calibri"/>
                <w:sz w:val="22"/>
                <w:szCs w:val="22"/>
              </w:rPr>
              <w:t>2008-2009</w:t>
            </w:r>
          </w:p>
        </w:tc>
        <w:tc>
          <w:tcPr>
            <w:tcW w:w="1559" w:type="dxa"/>
            <w:tcBorders>
              <w:top w:val="nil"/>
              <w:left w:val="single" w:sz="4" w:space="0" w:color="auto"/>
              <w:bottom w:val="nil"/>
              <w:right w:val="single" w:sz="4" w:space="0" w:color="auto"/>
            </w:tcBorders>
            <w:shd w:val="clear" w:color="auto" w:fill="auto"/>
            <w:noWrap/>
            <w:vAlign w:val="bottom"/>
            <w:hideMark/>
          </w:tcPr>
          <w:p w14:paraId="50B52907" w14:textId="77777777" w:rsidR="00D215BD" w:rsidRPr="001314CA" w:rsidRDefault="00D215BD" w:rsidP="00D215BD">
            <w:pPr>
              <w:spacing w:before="0"/>
              <w:jc w:val="right"/>
              <w:rPr>
                <w:rFonts w:cs="Calibri"/>
                <w:sz w:val="22"/>
                <w:szCs w:val="22"/>
              </w:rPr>
            </w:pPr>
            <w:r w:rsidRPr="001314CA">
              <w:rPr>
                <w:rFonts w:cs="Calibri"/>
                <w:sz w:val="22"/>
                <w:szCs w:val="22"/>
              </w:rPr>
              <w:t>7 859,85</w:t>
            </w:r>
          </w:p>
        </w:tc>
        <w:tc>
          <w:tcPr>
            <w:tcW w:w="1333" w:type="dxa"/>
            <w:tcBorders>
              <w:top w:val="nil"/>
              <w:left w:val="single" w:sz="4" w:space="0" w:color="auto"/>
              <w:bottom w:val="nil"/>
              <w:right w:val="single" w:sz="4" w:space="0" w:color="auto"/>
            </w:tcBorders>
            <w:shd w:val="clear" w:color="auto" w:fill="auto"/>
            <w:noWrap/>
            <w:vAlign w:val="bottom"/>
            <w:hideMark/>
          </w:tcPr>
          <w:p w14:paraId="50F3CE61"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34413B1A" w14:textId="77777777" w:rsidR="00D215BD" w:rsidRPr="001314CA" w:rsidRDefault="00D215BD" w:rsidP="00D215BD">
            <w:pPr>
              <w:spacing w:before="0"/>
              <w:jc w:val="right"/>
              <w:rPr>
                <w:rFonts w:cs="Calibri"/>
                <w:sz w:val="22"/>
                <w:szCs w:val="22"/>
              </w:rPr>
            </w:pPr>
            <w:r w:rsidRPr="001314CA">
              <w:rPr>
                <w:rFonts w:cs="Calibri"/>
                <w:sz w:val="22"/>
                <w:szCs w:val="22"/>
              </w:rPr>
              <w:t>7 859,85</w:t>
            </w:r>
          </w:p>
        </w:tc>
      </w:tr>
      <w:tr w:rsidR="00D215BD" w:rsidRPr="001314CA" w14:paraId="6C8E44F8"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1F874CA1"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Talal Abu-</w:t>
            </w:r>
            <w:proofErr w:type="spellStart"/>
            <w:r w:rsidRPr="00513163">
              <w:rPr>
                <w:rFonts w:cs="Calibri"/>
                <w:sz w:val="22"/>
                <w:szCs w:val="22"/>
                <w:lang w:val="en-US"/>
              </w:rPr>
              <w:t>Ghazaleh</w:t>
            </w:r>
            <w:proofErr w:type="spellEnd"/>
            <w:r w:rsidRPr="00513163">
              <w:rPr>
                <w:rFonts w:cs="Calibri"/>
                <w:sz w:val="22"/>
                <w:szCs w:val="22"/>
                <w:lang w:val="en-US"/>
              </w:rPr>
              <w:t xml:space="preserve"> &amp; Co, Amman</w:t>
            </w:r>
          </w:p>
        </w:tc>
        <w:tc>
          <w:tcPr>
            <w:tcW w:w="1311" w:type="dxa"/>
            <w:tcBorders>
              <w:top w:val="nil"/>
              <w:left w:val="single" w:sz="4" w:space="0" w:color="auto"/>
              <w:bottom w:val="nil"/>
              <w:right w:val="single" w:sz="4" w:space="0" w:color="auto"/>
            </w:tcBorders>
            <w:shd w:val="clear" w:color="auto" w:fill="auto"/>
            <w:noWrap/>
            <w:vAlign w:val="bottom"/>
            <w:hideMark/>
          </w:tcPr>
          <w:p w14:paraId="24936E78" w14:textId="77777777" w:rsidR="00D215BD" w:rsidRPr="001314CA" w:rsidRDefault="00D215BD" w:rsidP="00D215BD">
            <w:pPr>
              <w:spacing w:before="0"/>
              <w:jc w:val="center"/>
              <w:rPr>
                <w:rFonts w:cs="Calibri"/>
                <w:sz w:val="22"/>
                <w:szCs w:val="22"/>
              </w:rPr>
            </w:pPr>
            <w:r w:rsidRPr="001314CA">
              <w:rPr>
                <w:rFonts w:cs="Calibri"/>
                <w:sz w:val="22"/>
                <w:szCs w:val="22"/>
              </w:rPr>
              <w:t>2006-2007</w:t>
            </w:r>
          </w:p>
        </w:tc>
        <w:tc>
          <w:tcPr>
            <w:tcW w:w="1559" w:type="dxa"/>
            <w:tcBorders>
              <w:top w:val="nil"/>
              <w:left w:val="single" w:sz="4" w:space="0" w:color="auto"/>
              <w:bottom w:val="nil"/>
              <w:right w:val="single" w:sz="4" w:space="0" w:color="auto"/>
            </w:tcBorders>
            <w:shd w:val="clear" w:color="auto" w:fill="auto"/>
            <w:noWrap/>
            <w:vAlign w:val="bottom"/>
            <w:hideMark/>
          </w:tcPr>
          <w:p w14:paraId="4701AAFD" w14:textId="77777777" w:rsidR="00D215BD" w:rsidRPr="001314CA" w:rsidRDefault="00D215BD" w:rsidP="00D215BD">
            <w:pPr>
              <w:spacing w:before="0"/>
              <w:jc w:val="right"/>
              <w:rPr>
                <w:rFonts w:cs="Calibri"/>
                <w:sz w:val="22"/>
                <w:szCs w:val="22"/>
              </w:rPr>
            </w:pPr>
            <w:r w:rsidRPr="001314CA">
              <w:rPr>
                <w:rFonts w:cs="Calibri"/>
                <w:sz w:val="22"/>
                <w:szCs w:val="22"/>
              </w:rPr>
              <w:t>18 120,60</w:t>
            </w:r>
          </w:p>
        </w:tc>
        <w:tc>
          <w:tcPr>
            <w:tcW w:w="1333" w:type="dxa"/>
            <w:tcBorders>
              <w:top w:val="nil"/>
              <w:left w:val="single" w:sz="4" w:space="0" w:color="auto"/>
              <w:bottom w:val="nil"/>
              <w:right w:val="single" w:sz="4" w:space="0" w:color="auto"/>
            </w:tcBorders>
            <w:shd w:val="clear" w:color="auto" w:fill="auto"/>
            <w:noWrap/>
            <w:vAlign w:val="bottom"/>
            <w:hideMark/>
          </w:tcPr>
          <w:p w14:paraId="26098AF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7261F5E" w14:textId="77777777" w:rsidR="00D215BD" w:rsidRPr="001314CA" w:rsidRDefault="00D215BD" w:rsidP="00D215BD">
            <w:pPr>
              <w:spacing w:before="0"/>
              <w:jc w:val="right"/>
              <w:rPr>
                <w:rFonts w:cs="Calibri"/>
                <w:sz w:val="22"/>
                <w:szCs w:val="22"/>
              </w:rPr>
            </w:pPr>
            <w:r w:rsidRPr="001314CA">
              <w:rPr>
                <w:rFonts w:cs="Calibri"/>
                <w:sz w:val="22"/>
                <w:szCs w:val="22"/>
              </w:rPr>
              <w:t>18 120,60</w:t>
            </w:r>
          </w:p>
        </w:tc>
      </w:tr>
      <w:tr w:rsidR="00D215BD" w:rsidRPr="001314CA" w14:paraId="35D73A8B"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28F8C68C"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 xml:space="preserve">Kazakhstan </w:t>
            </w:r>
          </w:p>
        </w:tc>
        <w:tc>
          <w:tcPr>
            <w:tcW w:w="1311" w:type="dxa"/>
            <w:tcBorders>
              <w:top w:val="nil"/>
              <w:left w:val="single" w:sz="4" w:space="0" w:color="auto"/>
              <w:bottom w:val="nil"/>
              <w:right w:val="single" w:sz="4" w:space="0" w:color="auto"/>
            </w:tcBorders>
            <w:shd w:val="clear" w:color="auto" w:fill="auto"/>
            <w:noWrap/>
            <w:vAlign w:val="bottom"/>
            <w:hideMark/>
          </w:tcPr>
          <w:p w14:paraId="6AE5A46D"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06E1D2F3"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206676BE"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15E60EEC" w14:textId="77777777" w:rsidR="00D215BD" w:rsidRPr="001314CA" w:rsidRDefault="00D215BD" w:rsidP="00D215BD">
            <w:pPr>
              <w:spacing w:before="0"/>
              <w:rPr>
                <w:rFonts w:ascii="Times New Roman" w:hAnsi="Times New Roman"/>
                <w:sz w:val="22"/>
                <w:szCs w:val="22"/>
              </w:rPr>
            </w:pPr>
          </w:p>
        </w:tc>
      </w:tr>
      <w:tr w:rsidR="00D215BD" w:rsidRPr="001314CA" w14:paraId="2FA9645F" w14:textId="77777777" w:rsidTr="00D215BD">
        <w:trPr>
          <w:trHeight w:val="300"/>
          <w:jc w:val="center"/>
        </w:trPr>
        <w:tc>
          <w:tcPr>
            <w:tcW w:w="4723" w:type="dxa"/>
            <w:tcBorders>
              <w:top w:val="nil"/>
              <w:left w:val="single" w:sz="4" w:space="0" w:color="auto"/>
              <w:bottom w:val="single" w:sz="4" w:space="0" w:color="auto"/>
              <w:right w:val="single" w:sz="4" w:space="0" w:color="auto"/>
            </w:tcBorders>
            <w:shd w:val="clear" w:color="auto" w:fill="auto"/>
            <w:vAlign w:val="bottom"/>
            <w:hideMark/>
          </w:tcPr>
          <w:p w14:paraId="1CEDB2ED"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Académie des transports et des communications du Kazakhstan, Almaty</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65F5EC10" w14:textId="77777777" w:rsidR="00D215BD" w:rsidRPr="001314CA" w:rsidRDefault="00D215BD" w:rsidP="00D215BD">
            <w:pPr>
              <w:spacing w:before="0"/>
              <w:jc w:val="center"/>
              <w:rPr>
                <w:rFonts w:cs="Calibri"/>
                <w:sz w:val="22"/>
                <w:szCs w:val="22"/>
              </w:rPr>
            </w:pPr>
            <w:r w:rsidRPr="001314CA">
              <w:rPr>
                <w:rFonts w:cs="Calibri"/>
                <w:sz w:val="22"/>
                <w:szCs w:val="22"/>
              </w:rPr>
              <w:t>2008-2009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66E03F8" w14:textId="77777777" w:rsidR="00D215BD" w:rsidRPr="001314CA" w:rsidRDefault="00D215BD" w:rsidP="00D215BD">
            <w:pPr>
              <w:spacing w:before="0"/>
              <w:jc w:val="right"/>
              <w:rPr>
                <w:rFonts w:cs="Calibri"/>
                <w:sz w:val="22"/>
                <w:szCs w:val="22"/>
              </w:rPr>
            </w:pPr>
            <w:r w:rsidRPr="001314CA">
              <w:rPr>
                <w:rFonts w:cs="Calibri"/>
                <w:sz w:val="22"/>
                <w:szCs w:val="22"/>
              </w:rPr>
              <w:t>8 537,65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659B18FC"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A1A57DD" w14:textId="77777777" w:rsidR="00D215BD" w:rsidRPr="001314CA" w:rsidRDefault="00D215BD" w:rsidP="00D215BD">
            <w:pPr>
              <w:spacing w:before="0"/>
              <w:jc w:val="right"/>
              <w:rPr>
                <w:rFonts w:cs="Calibri"/>
                <w:sz w:val="22"/>
                <w:szCs w:val="22"/>
              </w:rPr>
            </w:pPr>
            <w:r w:rsidRPr="001314CA">
              <w:rPr>
                <w:rFonts w:cs="Calibri"/>
                <w:sz w:val="22"/>
                <w:szCs w:val="22"/>
              </w:rPr>
              <w:t>8 537,65</w:t>
            </w:r>
          </w:p>
        </w:tc>
      </w:tr>
    </w:tbl>
    <w:p w14:paraId="107C550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r w:rsidRPr="001314CA">
        <w:br w:type="page"/>
      </w:r>
    </w:p>
    <w:tbl>
      <w:tblPr>
        <w:tblW w:w="10201" w:type="dxa"/>
        <w:jc w:val="center"/>
        <w:tblLook w:val="04A0" w:firstRow="1" w:lastRow="0" w:firstColumn="1" w:lastColumn="0" w:noHBand="0" w:noVBand="1"/>
      </w:tblPr>
      <w:tblGrid>
        <w:gridCol w:w="4672"/>
        <w:gridCol w:w="1311"/>
        <w:gridCol w:w="1468"/>
        <w:gridCol w:w="1333"/>
        <w:gridCol w:w="1417"/>
      </w:tblGrid>
      <w:tr w:rsidR="00D215BD" w:rsidRPr="001314CA" w14:paraId="3F5108E8" w14:textId="77777777" w:rsidTr="00D215BD">
        <w:trPr>
          <w:trHeight w:val="300"/>
          <w:jc w:val="center"/>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0CD5953A" w14:textId="77777777" w:rsidR="00D215BD" w:rsidRPr="001314CA" w:rsidRDefault="00D215BD" w:rsidP="00D215BD">
            <w:pPr>
              <w:spacing w:after="120"/>
              <w:jc w:val="center"/>
              <w:rPr>
                <w:rFonts w:cs="Calibri"/>
                <w:b/>
                <w:bCs/>
                <w:sz w:val="22"/>
                <w:szCs w:val="22"/>
              </w:rPr>
            </w:pPr>
            <w:r w:rsidRPr="001314CA">
              <w:rPr>
                <w:rFonts w:asciiTheme="minorHAnsi" w:hAnsiTheme="minorHAnsi"/>
                <w:b/>
                <w:sz w:val="22"/>
                <w:szCs w:val="22"/>
              </w:rPr>
              <w:lastRenderedPageBreak/>
              <w:t>B</w:t>
            </w:r>
            <w:r w:rsidRPr="001314CA">
              <w:rPr>
                <w:rFonts w:asciiTheme="minorHAnsi" w:hAnsiTheme="minorHAnsi"/>
                <w:b/>
                <w:sz w:val="22"/>
                <w:szCs w:val="22"/>
              </w:rPr>
              <w:tab/>
              <w:t>Membres de Secteur et autres entités</w:t>
            </w:r>
          </w:p>
        </w:tc>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78CA9CB2" w14:textId="77777777" w:rsidR="00D215BD" w:rsidRPr="001314CA" w:rsidRDefault="00D215BD" w:rsidP="00D215BD">
            <w:pPr>
              <w:jc w:val="center"/>
              <w:rPr>
                <w:rFonts w:cs="Calibri"/>
                <w:b/>
                <w:bCs/>
                <w:sz w:val="22"/>
                <w:szCs w:val="22"/>
              </w:rPr>
            </w:pPr>
            <w:r w:rsidRPr="001314CA">
              <w:rPr>
                <w:rFonts w:asciiTheme="minorHAnsi" w:hAnsiTheme="minorHAnsi"/>
                <w:b/>
                <w:sz w:val="22"/>
                <w:szCs w:val="22"/>
                <w:lang w:eastAsia="zh-CN"/>
              </w:rPr>
              <w:t>Année</w:t>
            </w:r>
          </w:p>
        </w:tc>
        <w:tc>
          <w:tcPr>
            <w:tcW w:w="1468" w:type="dxa"/>
            <w:tcBorders>
              <w:top w:val="single" w:sz="4" w:space="0" w:color="auto"/>
              <w:left w:val="single" w:sz="4" w:space="0" w:color="auto"/>
              <w:bottom w:val="single" w:sz="4" w:space="0" w:color="auto"/>
              <w:right w:val="single" w:sz="4" w:space="0" w:color="auto"/>
            </w:tcBorders>
            <w:shd w:val="clear" w:color="auto" w:fill="auto"/>
            <w:noWrap/>
          </w:tcPr>
          <w:p w14:paraId="0FEA5593" w14:textId="77777777" w:rsidR="00D215BD" w:rsidRPr="001314CA" w:rsidRDefault="00D215BD" w:rsidP="00D215BD">
            <w:pPr>
              <w:jc w:val="center"/>
              <w:rPr>
                <w:rFonts w:ascii="Times New Roman" w:hAnsi="Times New Roman"/>
                <w:sz w:val="22"/>
                <w:szCs w:val="22"/>
              </w:rPr>
            </w:pPr>
            <w:r w:rsidRPr="001314CA">
              <w:rPr>
                <w:rFonts w:asciiTheme="minorHAnsi" w:hAnsiTheme="minorHAnsi"/>
                <w:b/>
                <w:sz w:val="22"/>
                <w:szCs w:val="22"/>
                <w:lang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tcPr>
          <w:p w14:paraId="2BE19416" w14:textId="77777777" w:rsidR="00D215BD" w:rsidRPr="001314CA" w:rsidRDefault="00D215BD" w:rsidP="00D215BD">
            <w:pPr>
              <w:jc w:val="center"/>
              <w:rPr>
                <w:rFonts w:ascii="Times New Roman" w:hAnsi="Times New Roman"/>
                <w:sz w:val="22"/>
                <w:szCs w:val="22"/>
              </w:rPr>
            </w:pPr>
            <w:r w:rsidRPr="001314CA">
              <w:rPr>
                <w:rFonts w:asciiTheme="minorHAnsi" w:hAnsiTheme="minorHAnsi"/>
                <w:b/>
                <w:sz w:val="22"/>
                <w:szCs w:val="22"/>
                <w:lang w:eastAsia="zh-CN"/>
              </w:rPr>
              <w:t>Publications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7FAE5DD" w14:textId="77777777" w:rsidR="00D215BD" w:rsidRPr="001314CA" w:rsidRDefault="00D215BD" w:rsidP="00D215BD">
            <w:pPr>
              <w:jc w:val="center"/>
              <w:rPr>
                <w:rFonts w:ascii="Times New Roman" w:hAnsi="Times New Roman"/>
                <w:sz w:val="22"/>
                <w:szCs w:val="22"/>
              </w:rPr>
            </w:pPr>
            <w:r w:rsidRPr="001314CA">
              <w:rPr>
                <w:rFonts w:asciiTheme="minorHAnsi" w:hAnsiTheme="minorHAnsi"/>
                <w:b/>
                <w:sz w:val="22"/>
                <w:szCs w:val="22"/>
                <w:lang w:eastAsia="zh-CN"/>
              </w:rPr>
              <w:t>Total</w:t>
            </w:r>
          </w:p>
        </w:tc>
      </w:tr>
      <w:tr w:rsidR="00D215BD" w:rsidRPr="001314CA" w14:paraId="6CEF49F4" w14:textId="77777777" w:rsidTr="00D215BD">
        <w:trPr>
          <w:trHeight w:val="300"/>
          <w:jc w:val="center"/>
        </w:trPr>
        <w:tc>
          <w:tcPr>
            <w:tcW w:w="4672" w:type="dxa"/>
            <w:tcBorders>
              <w:top w:val="single" w:sz="4" w:space="0" w:color="auto"/>
              <w:left w:val="single" w:sz="4" w:space="0" w:color="auto"/>
              <w:bottom w:val="nil"/>
              <w:right w:val="single" w:sz="4" w:space="0" w:color="auto"/>
            </w:tcBorders>
            <w:shd w:val="clear" w:color="auto" w:fill="auto"/>
            <w:vAlign w:val="bottom"/>
            <w:hideMark/>
          </w:tcPr>
          <w:p w14:paraId="22CF79E9"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Kenya</w:t>
            </w:r>
          </w:p>
        </w:tc>
        <w:tc>
          <w:tcPr>
            <w:tcW w:w="1311" w:type="dxa"/>
            <w:tcBorders>
              <w:top w:val="single" w:sz="4" w:space="0" w:color="auto"/>
              <w:left w:val="single" w:sz="4" w:space="0" w:color="auto"/>
              <w:bottom w:val="nil"/>
              <w:right w:val="single" w:sz="4" w:space="0" w:color="auto"/>
            </w:tcBorders>
            <w:shd w:val="clear" w:color="auto" w:fill="auto"/>
            <w:noWrap/>
            <w:vAlign w:val="bottom"/>
            <w:hideMark/>
          </w:tcPr>
          <w:p w14:paraId="0C849A04" w14:textId="77777777" w:rsidR="00D215BD" w:rsidRPr="001314CA" w:rsidRDefault="00D215BD" w:rsidP="00D215BD">
            <w:pPr>
              <w:spacing w:before="0"/>
              <w:rPr>
                <w:rFonts w:cs="Calibri"/>
                <w:b/>
                <w:bCs/>
                <w:sz w:val="22"/>
                <w:szCs w:val="22"/>
              </w:rPr>
            </w:pPr>
          </w:p>
        </w:tc>
        <w:tc>
          <w:tcPr>
            <w:tcW w:w="1468" w:type="dxa"/>
            <w:tcBorders>
              <w:top w:val="single" w:sz="4" w:space="0" w:color="auto"/>
              <w:left w:val="single" w:sz="4" w:space="0" w:color="auto"/>
              <w:bottom w:val="nil"/>
              <w:right w:val="single" w:sz="4" w:space="0" w:color="auto"/>
            </w:tcBorders>
            <w:shd w:val="clear" w:color="auto" w:fill="auto"/>
            <w:noWrap/>
            <w:vAlign w:val="bottom"/>
            <w:hideMark/>
          </w:tcPr>
          <w:p w14:paraId="56155209" w14:textId="77777777" w:rsidR="00D215BD" w:rsidRPr="001314CA" w:rsidRDefault="00D215BD" w:rsidP="00D215BD">
            <w:pPr>
              <w:spacing w:before="0"/>
              <w:jc w:val="center"/>
              <w:rPr>
                <w:rFonts w:ascii="Times New Roman" w:hAnsi="Times New Roman"/>
                <w:sz w:val="22"/>
                <w:szCs w:val="22"/>
              </w:rPr>
            </w:pP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0AF90129" w14:textId="77777777" w:rsidR="00D215BD" w:rsidRPr="001314CA" w:rsidRDefault="00D215BD" w:rsidP="00D215BD">
            <w:pPr>
              <w:spacing w:before="0"/>
              <w:rPr>
                <w:rFonts w:ascii="Times New Roman" w:hAnsi="Times New Roman"/>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0DAE25DD" w14:textId="77777777" w:rsidR="00D215BD" w:rsidRPr="001314CA" w:rsidRDefault="00D215BD" w:rsidP="00D215BD">
            <w:pPr>
              <w:spacing w:before="0"/>
              <w:rPr>
                <w:rFonts w:ascii="Times New Roman" w:hAnsi="Times New Roman"/>
                <w:sz w:val="22"/>
                <w:szCs w:val="22"/>
              </w:rPr>
            </w:pPr>
          </w:p>
        </w:tc>
      </w:tr>
      <w:tr w:rsidR="00D215BD" w:rsidRPr="001314CA" w14:paraId="5A548EA2"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32F4F819"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Intersat</w:t>
            </w:r>
            <w:proofErr w:type="spellEnd"/>
            <w:r w:rsidRPr="001314CA">
              <w:rPr>
                <w:rFonts w:cs="Calibri"/>
                <w:sz w:val="22"/>
                <w:szCs w:val="22"/>
              </w:rPr>
              <w:t xml:space="preserve"> </w:t>
            </w:r>
            <w:proofErr w:type="spellStart"/>
            <w:r w:rsidRPr="001314CA">
              <w:rPr>
                <w:rFonts w:cs="Calibri"/>
                <w:sz w:val="22"/>
                <w:szCs w:val="22"/>
              </w:rPr>
              <w:t>Africa</w:t>
            </w:r>
            <w:proofErr w:type="spellEnd"/>
            <w:r w:rsidRPr="001314CA">
              <w:rPr>
                <w:rFonts w:cs="Calibri"/>
                <w:sz w:val="22"/>
                <w:szCs w:val="22"/>
              </w:rPr>
              <w:t xml:space="preserve"> Limited, Nairobi</w:t>
            </w:r>
          </w:p>
        </w:tc>
        <w:tc>
          <w:tcPr>
            <w:tcW w:w="1311" w:type="dxa"/>
            <w:tcBorders>
              <w:top w:val="nil"/>
              <w:left w:val="single" w:sz="4" w:space="0" w:color="auto"/>
              <w:bottom w:val="nil"/>
              <w:right w:val="single" w:sz="4" w:space="0" w:color="auto"/>
            </w:tcBorders>
            <w:shd w:val="clear" w:color="auto" w:fill="auto"/>
            <w:noWrap/>
            <w:vAlign w:val="bottom"/>
            <w:hideMark/>
          </w:tcPr>
          <w:p w14:paraId="7ADEA4A1" w14:textId="77777777" w:rsidR="00D215BD" w:rsidRPr="001314CA" w:rsidRDefault="00D215BD" w:rsidP="00D215BD">
            <w:pPr>
              <w:spacing w:before="0"/>
              <w:jc w:val="center"/>
              <w:rPr>
                <w:rFonts w:cs="Calibri"/>
                <w:sz w:val="22"/>
                <w:szCs w:val="22"/>
              </w:rPr>
            </w:pPr>
            <w:r w:rsidRPr="001314CA">
              <w:rPr>
                <w:rFonts w:cs="Calibri"/>
                <w:sz w:val="22"/>
                <w:szCs w:val="22"/>
              </w:rPr>
              <w:t>2010-2012</w:t>
            </w:r>
          </w:p>
        </w:tc>
        <w:tc>
          <w:tcPr>
            <w:tcW w:w="1468" w:type="dxa"/>
            <w:tcBorders>
              <w:top w:val="nil"/>
              <w:left w:val="single" w:sz="4" w:space="0" w:color="auto"/>
              <w:bottom w:val="nil"/>
              <w:right w:val="single" w:sz="4" w:space="0" w:color="auto"/>
            </w:tcBorders>
            <w:shd w:val="clear" w:color="auto" w:fill="auto"/>
            <w:noWrap/>
            <w:vAlign w:val="bottom"/>
            <w:hideMark/>
          </w:tcPr>
          <w:p w14:paraId="4A5EB49E" w14:textId="77777777" w:rsidR="00D215BD" w:rsidRPr="001314CA" w:rsidRDefault="00D215BD" w:rsidP="00D215BD">
            <w:pPr>
              <w:spacing w:before="0"/>
              <w:jc w:val="right"/>
              <w:rPr>
                <w:rFonts w:cs="Calibri"/>
                <w:sz w:val="22"/>
                <w:szCs w:val="22"/>
              </w:rPr>
            </w:pPr>
            <w:r w:rsidRPr="001314CA">
              <w:rPr>
                <w:rFonts w:cs="Calibri"/>
                <w:sz w:val="22"/>
                <w:szCs w:val="22"/>
              </w:rPr>
              <w:t>6 779,10</w:t>
            </w:r>
          </w:p>
        </w:tc>
        <w:tc>
          <w:tcPr>
            <w:tcW w:w="1333" w:type="dxa"/>
            <w:tcBorders>
              <w:top w:val="nil"/>
              <w:left w:val="single" w:sz="4" w:space="0" w:color="auto"/>
              <w:bottom w:val="nil"/>
              <w:right w:val="single" w:sz="4" w:space="0" w:color="auto"/>
            </w:tcBorders>
            <w:shd w:val="clear" w:color="auto" w:fill="auto"/>
            <w:noWrap/>
            <w:vAlign w:val="bottom"/>
            <w:hideMark/>
          </w:tcPr>
          <w:p w14:paraId="2E43DC41"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C656EB2" w14:textId="77777777" w:rsidR="00D215BD" w:rsidRPr="001314CA" w:rsidRDefault="00D215BD" w:rsidP="00D215BD">
            <w:pPr>
              <w:spacing w:before="0"/>
              <w:jc w:val="right"/>
              <w:rPr>
                <w:rFonts w:cs="Calibri"/>
                <w:sz w:val="22"/>
                <w:szCs w:val="22"/>
              </w:rPr>
            </w:pPr>
            <w:r w:rsidRPr="001314CA">
              <w:rPr>
                <w:rFonts w:cs="Calibri"/>
                <w:sz w:val="22"/>
                <w:szCs w:val="22"/>
              </w:rPr>
              <w:t>6 779,10</w:t>
            </w:r>
          </w:p>
        </w:tc>
      </w:tr>
      <w:tr w:rsidR="00D215BD" w:rsidRPr="001314CA" w14:paraId="4044E921"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78F0D34F"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Telcom</w:t>
            </w:r>
            <w:proofErr w:type="spellEnd"/>
            <w:r w:rsidRPr="001314CA">
              <w:rPr>
                <w:rFonts w:cs="Calibri"/>
                <w:sz w:val="22"/>
                <w:szCs w:val="22"/>
              </w:rPr>
              <w:t xml:space="preserve"> Kenya Limited, Nairobi</w:t>
            </w:r>
          </w:p>
        </w:tc>
        <w:tc>
          <w:tcPr>
            <w:tcW w:w="1311" w:type="dxa"/>
            <w:tcBorders>
              <w:top w:val="nil"/>
              <w:left w:val="single" w:sz="4" w:space="0" w:color="auto"/>
              <w:bottom w:val="nil"/>
              <w:right w:val="single" w:sz="4" w:space="0" w:color="auto"/>
            </w:tcBorders>
            <w:shd w:val="clear" w:color="auto" w:fill="auto"/>
            <w:noWrap/>
            <w:vAlign w:val="bottom"/>
            <w:hideMark/>
          </w:tcPr>
          <w:p w14:paraId="49E78492" w14:textId="77777777" w:rsidR="00D215BD" w:rsidRPr="001314CA" w:rsidRDefault="00D215BD" w:rsidP="00D215BD">
            <w:pPr>
              <w:spacing w:before="0"/>
              <w:jc w:val="center"/>
              <w:rPr>
                <w:rFonts w:cs="Calibri"/>
                <w:sz w:val="22"/>
                <w:szCs w:val="22"/>
              </w:rPr>
            </w:pPr>
            <w:r w:rsidRPr="001314CA">
              <w:rPr>
                <w:rFonts w:cs="Calibri"/>
                <w:sz w:val="22"/>
                <w:szCs w:val="22"/>
              </w:rPr>
              <w:t>2005-2007</w:t>
            </w:r>
          </w:p>
        </w:tc>
        <w:tc>
          <w:tcPr>
            <w:tcW w:w="1468" w:type="dxa"/>
            <w:tcBorders>
              <w:top w:val="nil"/>
              <w:left w:val="single" w:sz="4" w:space="0" w:color="auto"/>
              <w:bottom w:val="nil"/>
              <w:right w:val="single" w:sz="4" w:space="0" w:color="auto"/>
            </w:tcBorders>
            <w:shd w:val="clear" w:color="auto" w:fill="auto"/>
            <w:noWrap/>
            <w:vAlign w:val="bottom"/>
            <w:hideMark/>
          </w:tcPr>
          <w:p w14:paraId="51D5AD14" w14:textId="77777777" w:rsidR="00D215BD" w:rsidRPr="001314CA" w:rsidRDefault="00D215BD" w:rsidP="00D215BD">
            <w:pPr>
              <w:spacing w:before="0"/>
              <w:jc w:val="right"/>
              <w:rPr>
                <w:rFonts w:cs="Calibri"/>
                <w:sz w:val="22"/>
                <w:szCs w:val="22"/>
              </w:rPr>
            </w:pPr>
            <w:r w:rsidRPr="001314CA">
              <w:rPr>
                <w:rFonts w:cs="Calibri"/>
                <w:sz w:val="22"/>
                <w:szCs w:val="22"/>
              </w:rPr>
              <w:t>372 653,00</w:t>
            </w:r>
          </w:p>
        </w:tc>
        <w:tc>
          <w:tcPr>
            <w:tcW w:w="1333" w:type="dxa"/>
            <w:tcBorders>
              <w:top w:val="nil"/>
              <w:left w:val="single" w:sz="4" w:space="0" w:color="auto"/>
              <w:bottom w:val="nil"/>
              <w:right w:val="single" w:sz="4" w:space="0" w:color="auto"/>
            </w:tcBorders>
            <w:shd w:val="clear" w:color="auto" w:fill="auto"/>
            <w:noWrap/>
            <w:vAlign w:val="bottom"/>
            <w:hideMark/>
          </w:tcPr>
          <w:p w14:paraId="0D5DC284"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0FC0B28" w14:textId="77777777" w:rsidR="00D215BD" w:rsidRPr="001314CA" w:rsidRDefault="00D215BD" w:rsidP="00D215BD">
            <w:pPr>
              <w:spacing w:before="0"/>
              <w:jc w:val="right"/>
              <w:rPr>
                <w:rFonts w:cs="Calibri"/>
                <w:sz w:val="22"/>
                <w:szCs w:val="22"/>
              </w:rPr>
            </w:pPr>
            <w:r w:rsidRPr="001314CA">
              <w:rPr>
                <w:rFonts w:cs="Calibri"/>
                <w:sz w:val="22"/>
                <w:szCs w:val="22"/>
              </w:rPr>
              <w:t>372 653,00</w:t>
            </w:r>
          </w:p>
        </w:tc>
      </w:tr>
      <w:tr w:rsidR="00D215BD" w:rsidRPr="001314CA" w14:paraId="6C1A2534"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2EB06A89"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Corée (</w:t>
            </w:r>
            <w:proofErr w:type="spellStart"/>
            <w:r w:rsidRPr="001314CA">
              <w:rPr>
                <w:rFonts w:cs="Calibri"/>
                <w:b/>
                <w:bCs/>
                <w:sz w:val="22"/>
                <w:szCs w:val="22"/>
              </w:rPr>
              <w:t>Rép</w:t>
            </w:r>
            <w:proofErr w:type="spellEnd"/>
            <w:r w:rsidRPr="001314CA">
              <w:rPr>
                <w:rFonts w:cs="Calibri"/>
                <w:b/>
                <w:bCs/>
                <w:sz w:val="22"/>
                <w:szCs w:val="22"/>
              </w:rPr>
              <w:t>. de)</w:t>
            </w:r>
          </w:p>
        </w:tc>
        <w:tc>
          <w:tcPr>
            <w:tcW w:w="1311" w:type="dxa"/>
            <w:tcBorders>
              <w:top w:val="nil"/>
              <w:left w:val="single" w:sz="4" w:space="0" w:color="auto"/>
              <w:bottom w:val="nil"/>
              <w:right w:val="single" w:sz="4" w:space="0" w:color="auto"/>
            </w:tcBorders>
            <w:shd w:val="clear" w:color="auto" w:fill="auto"/>
            <w:noWrap/>
            <w:vAlign w:val="bottom"/>
            <w:hideMark/>
          </w:tcPr>
          <w:p w14:paraId="40F3D18D"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64BAE882"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7176BEB5"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737F0CC7" w14:textId="77777777" w:rsidR="00D215BD" w:rsidRPr="001314CA" w:rsidRDefault="00D215BD" w:rsidP="00D215BD">
            <w:pPr>
              <w:spacing w:before="0"/>
              <w:rPr>
                <w:rFonts w:ascii="Times New Roman" w:hAnsi="Times New Roman"/>
                <w:sz w:val="22"/>
                <w:szCs w:val="22"/>
              </w:rPr>
            </w:pPr>
          </w:p>
        </w:tc>
      </w:tr>
      <w:tr w:rsidR="00D215BD" w:rsidRPr="001314CA" w14:paraId="0D1DE0C7"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42121FEC"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Ericsson-LG, Anyang-Shi</w:t>
            </w:r>
          </w:p>
        </w:tc>
        <w:tc>
          <w:tcPr>
            <w:tcW w:w="1311" w:type="dxa"/>
            <w:tcBorders>
              <w:top w:val="nil"/>
              <w:left w:val="single" w:sz="4" w:space="0" w:color="auto"/>
              <w:bottom w:val="nil"/>
              <w:right w:val="single" w:sz="4" w:space="0" w:color="auto"/>
            </w:tcBorders>
            <w:shd w:val="clear" w:color="auto" w:fill="auto"/>
            <w:noWrap/>
            <w:vAlign w:val="bottom"/>
            <w:hideMark/>
          </w:tcPr>
          <w:p w14:paraId="4C5F6717" w14:textId="77777777" w:rsidR="00D215BD" w:rsidRPr="001314CA" w:rsidRDefault="00D215BD" w:rsidP="00D215BD">
            <w:pPr>
              <w:spacing w:before="0"/>
              <w:jc w:val="center"/>
              <w:rPr>
                <w:rFonts w:cs="Calibri"/>
                <w:sz w:val="22"/>
                <w:szCs w:val="22"/>
              </w:rPr>
            </w:pPr>
            <w:r w:rsidRPr="001314CA">
              <w:rPr>
                <w:rFonts w:cs="Calibri"/>
                <w:sz w:val="22"/>
                <w:szCs w:val="22"/>
              </w:rPr>
              <w:t>2013-2014</w:t>
            </w:r>
          </w:p>
        </w:tc>
        <w:tc>
          <w:tcPr>
            <w:tcW w:w="1468" w:type="dxa"/>
            <w:tcBorders>
              <w:top w:val="nil"/>
              <w:left w:val="single" w:sz="4" w:space="0" w:color="auto"/>
              <w:bottom w:val="nil"/>
              <w:right w:val="single" w:sz="4" w:space="0" w:color="auto"/>
            </w:tcBorders>
            <w:shd w:val="clear" w:color="auto" w:fill="auto"/>
            <w:noWrap/>
            <w:vAlign w:val="bottom"/>
            <w:hideMark/>
          </w:tcPr>
          <w:p w14:paraId="0302CCB4" w14:textId="77777777" w:rsidR="00D215BD" w:rsidRPr="001314CA" w:rsidRDefault="00D215BD" w:rsidP="00D215BD">
            <w:pPr>
              <w:spacing w:before="0"/>
              <w:jc w:val="right"/>
              <w:rPr>
                <w:rFonts w:cs="Calibri"/>
                <w:sz w:val="22"/>
                <w:szCs w:val="22"/>
              </w:rPr>
            </w:pPr>
            <w:r w:rsidRPr="001314CA">
              <w:rPr>
                <w:rFonts w:cs="Calibri"/>
                <w:sz w:val="22"/>
                <w:szCs w:val="22"/>
              </w:rPr>
              <w:t>15 688,55</w:t>
            </w:r>
          </w:p>
        </w:tc>
        <w:tc>
          <w:tcPr>
            <w:tcW w:w="1333" w:type="dxa"/>
            <w:tcBorders>
              <w:top w:val="nil"/>
              <w:left w:val="single" w:sz="4" w:space="0" w:color="auto"/>
              <w:bottom w:val="nil"/>
              <w:right w:val="single" w:sz="4" w:space="0" w:color="auto"/>
            </w:tcBorders>
            <w:shd w:val="clear" w:color="auto" w:fill="auto"/>
            <w:noWrap/>
            <w:vAlign w:val="bottom"/>
            <w:hideMark/>
          </w:tcPr>
          <w:p w14:paraId="1D73C5B9"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D7503C0" w14:textId="77777777" w:rsidR="00D215BD" w:rsidRPr="001314CA" w:rsidRDefault="00D215BD" w:rsidP="00D215BD">
            <w:pPr>
              <w:spacing w:before="0"/>
              <w:jc w:val="right"/>
              <w:rPr>
                <w:rFonts w:cs="Calibri"/>
                <w:sz w:val="22"/>
                <w:szCs w:val="22"/>
              </w:rPr>
            </w:pPr>
            <w:r w:rsidRPr="001314CA">
              <w:rPr>
                <w:rFonts w:cs="Calibri"/>
                <w:sz w:val="22"/>
                <w:szCs w:val="22"/>
              </w:rPr>
              <w:t>15 688,55</w:t>
            </w:r>
          </w:p>
        </w:tc>
      </w:tr>
      <w:tr w:rsidR="00D215BD" w:rsidRPr="001314CA" w14:paraId="07F6A9C5" w14:textId="77777777" w:rsidTr="00D215BD">
        <w:trPr>
          <w:trHeight w:val="600"/>
          <w:jc w:val="center"/>
        </w:trPr>
        <w:tc>
          <w:tcPr>
            <w:tcW w:w="4672" w:type="dxa"/>
            <w:tcBorders>
              <w:top w:val="nil"/>
              <w:left w:val="single" w:sz="4" w:space="0" w:color="auto"/>
              <w:bottom w:val="nil"/>
              <w:right w:val="single" w:sz="4" w:space="0" w:color="auto"/>
            </w:tcBorders>
            <w:shd w:val="clear" w:color="auto" w:fill="auto"/>
            <w:vAlign w:val="bottom"/>
            <w:hideMark/>
          </w:tcPr>
          <w:p w14:paraId="4E44E7DE"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École supérieure de l'Administration publique, Université nationale de Séoul, Séoul</w:t>
            </w:r>
          </w:p>
        </w:tc>
        <w:tc>
          <w:tcPr>
            <w:tcW w:w="1311" w:type="dxa"/>
            <w:tcBorders>
              <w:top w:val="nil"/>
              <w:left w:val="single" w:sz="4" w:space="0" w:color="auto"/>
              <w:bottom w:val="nil"/>
              <w:right w:val="single" w:sz="4" w:space="0" w:color="auto"/>
            </w:tcBorders>
            <w:shd w:val="clear" w:color="auto" w:fill="auto"/>
            <w:noWrap/>
            <w:vAlign w:val="bottom"/>
            <w:hideMark/>
          </w:tcPr>
          <w:p w14:paraId="4480049E"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7E3DFA7C"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c>
          <w:tcPr>
            <w:tcW w:w="1333" w:type="dxa"/>
            <w:tcBorders>
              <w:top w:val="nil"/>
              <w:left w:val="single" w:sz="4" w:space="0" w:color="auto"/>
              <w:bottom w:val="nil"/>
              <w:right w:val="single" w:sz="4" w:space="0" w:color="auto"/>
            </w:tcBorders>
            <w:shd w:val="clear" w:color="auto" w:fill="auto"/>
            <w:noWrap/>
            <w:vAlign w:val="bottom"/>
            <w:hideMark/>
          </w:tcPr>
          <w:p w14:paraId="2ABF6620"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0BBDB5DE"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r>
      <w:tr w:rsidR="00D215BD" w:rsidRPr="001314CA" w14:paraId="07573CB6" w14:textId="77777777" w:rsidTr="00D215BD">
        <w:trPr>
          <w:trHeight w:val="600"/>
          <w:jc w:val="center"/>
        </w:trPr>
        <w:tc>
          <w:tcPr>
            <w:tcW w:w="4672" w:type="dxa"/>
            <w:tcBorders>
              <w:top w:val="nil"/>
              <w:left w:val="single" w:sz="4" w:space="0" w:color="auto"/>
              <w:bottom w:val="nil"/>
              <w:right w:val="single" w:sz="4" w:space="0" w:color="auto"/>
            </w:tcBorders>
            <w:shd w:val="clear" w:color="auto" w:fill="auto"/>
            <w:vAlign w:val="bottom"/>
            <w:hideMark/>
          </w:tcPr>
          <w:p w14:paraId="1CDB8CD0"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Agence nationale de la société de l'information (NIA), Séoul</w:t>
            </w:r>
          </w:p>
        </w:tc>
        <w:tc>
          <w:tcPr>
            <w:tcW w:w="1311" w:type="dxa"/>
            <w:tcBorders>
              <w:top w:val="nil"/>
              <w:left w:val="single" w:sz="4" w:space="0" w:color="auto"/>
              <w:bottom w:val="nil"/>
              <w:right w:val="single" w:sz="4" w:space="0" w:color="auto"/>
            </w:tcBorders>
            <w:shd w:val="clear" w:color="auto" w:fill="auto"/>
            <w:noWrap/>
            <w:vAlign w:val="bottom"/>
            <w:hideMark/>
          </w:tcPr>
          <w:p w14:paraId="2DB5BB6A"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2FE39FA9" w14:textId="77777777" w:rsidR="00D215BD" w:rsidRPr="001314CA" w:rsidRDefault="00D215BD" w:rsidP="00D215BD">
            <w:pPr>
              <w:spacing w:before="0"/>
              <w:jc w:val="right"/>
              <w:rPr>
                <w:rFonts w:cs="Calibri"/>
                <w:sz w:val="22"/>
                <w:szCs w:val="22"/>
              </w:rPr>
            </w:pPr>
            <w:r w:rsidRPr="001314CA">
              <w:rPr>
                <w:rFonts w:cs="Calibri"/>
                <w:sz w:val="22"/>
                <w:szCs w:val="22"/>
              </w:rPr>
              <w:t>4 161,45</w:t>
            </w:r>
          </w:p>
        </w:tc>
        <w:tc>
          <w:tcPr>
            <w:tcW w:w="1333" w:type="dxa"/>
            <w:tcBorders>
              <w:top w:val="nil"/>
              <w:left w:val="single" w:sz="4" w:space="0" w:color="auto"/>
              <w:bottom w:val="nil"/>
              <w:right w:val="single" w:sz="4" w:space="0" w:color="auto"/>
            </w:tcBorders>
            <w:shd w:val="clear" w:color="auto" w:fill="auto"/>
            <w:noWrap/>
            <w:vAlign w:val="bottom"/>
            <w:hideMark/>
          </w:tcPr>
          <w:p w14:paraId="4A70DB2E"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69543CF" w14:textId="77777777" w:rsidR="00D215BD" w:rsidRPr="001314CA" w:rsidRDefault="00D215BD" w:rsidP="00D215BD">
            <w:pPr>
              <w:spacing w:before="0"/>
              <w:jc w:val="right"/>
              <w:rPr>
                <w:rFonts w:cs="Calibri"/>
                <w:sz w:val="22"/>
                <w:szCs w:val="22"/>
              </w:rPr>
            </w:pPr>
            <w:r w:rsidRPr="001314CA">
              <w:rPr>
                <w:rFonts w:cs="Calibri"/>
                <w:sz w:val="22"/>
                <w:szCs w:val="22"/>
              </w:rPr>
              <w:t>4 161,45</w:t>
            </w:r>
          </w:p>
        </w:tc>
      </w:tr>
      <w:tr w:rsidR="00D215BD" w:rsidRPr="001314CA" w14:paraId="14A83CF9"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38C0C3CC"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Koweït</w:t>
            </w:r>
          </w:p>
        </w:tc>
        <w:tc>
          <w:tcPr>
            <w:tcW w:w="1311" w:type="dxa"/>
            <w:tcBorders>
              <w:top w:val="nil"/>
              <w:left w:val="single" w:sz="4" w:space="0" w:color="auto"/>
              <w:bottom w:val="nil"/>
              <w:right w:val="single" w:sz="4" w:space="0" w:color="auto"/>
            </w:tcBorders>
            <w:shd w:val="clear" w:color="auto" w:fill="auto"/>
            <w:noWrap/>
            <w:vAlign w:val="bottom"/>
            <w:hideMark/>
          </w:tcPr>
          <w:p w14:paraId="56242CFE"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44DEFBD7"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397052B4"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252196F0" w14:textId="77777777" w:rsidR="00D215BD" w:rsidRPr="001314CA" w:rsidRDefault="00D215BD" w:rsidP="00D215BD">
            <w:pPr>
              <w:spacing w:before="0"/>
              <w:rPr>
                <w:rFonts w:ascii="Times New Roman" w:hAnsi="Times New Roman"/>
                <w:sz w:val="22"/>
                <w:szCs w:val="22"/>
              </w:rPr>
            </w:pPr>
          </w:p>
        </w:tc>
      </w:tr>
      <w:tr w:rsidR="00D215BD" w:rsidRPr="001314CA" w14:paraId="34928AB5"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1537D063"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 xml:space="preserve">The Arabian Business Franchise, </w:t>
            </w:r>
            <w:proofErr w:type="spellStart"/>
            <w:r w:rsidRPr="00513163">
              <w:rPr>
                <w:rFonts w:cs="Calibri"/>
                <w:sz w:val="22"/>
                <w:szCs w:val="22"/>
                <w:lang w:val="en-US"/>
              </w:rPr>
              <w:t>Hawalli</w:t>
            </w:r>
            <w:proofErr w:type="spellEnd"/>
          </w:p>
        </w:tc>
        <w:tc>
          <w:tcPr>
            <w:tcW w:w="1311" w:type="dxa"/>
            <w:tcBorders>
              <w:top w:val="nil"/>
              <w:left w:val="single" w:sz="4" w:space="0" w:color="auto"/>
              <w:bottom w:val="nil"/>
              <w:right w:val="single" w:sz="4" w:space="0" w:color="auto"/>
            </w:tcBorders>
            <w:shd w:val="clear" w:color="auto" w:fill="auto"/>
            <w:noWrap/>
            <w:vAlign w:val="bottom"/>
            <w:hideMark/>
          </w:tcPr>
          <w:p w14:paraId="194214B9" w14:textId="77777777" w:rsidR="00D215BD" w:rsidRPr="001314CA" w:rsidRDefault="00D215BD" w:rsidP="00D215BD">
            <w:pPr>
              <w:spacing w:before="0"/>
              <w:jc w:val="center"/>
              <w:rPr>
                <w:rFonts w:cs="Calibri"/>
                <w:sz w:val="22"/>
                <w:szCs w:val="22"/>
              </w:rPr>
            </w:pPr>
            <w:r w:rsidRPr="001314CA">
              <w:rPr>
                <w:rFonts w:cs="Calibri"/>
                <w:sz w:val="22"/>
                <w:szCs w:val="22"/>
              </w:rPr>
              <w:t>2006-2007</w:t>
            </w:r>
          </w:p>
        </w:tc>
        <w:tc>
          <w:tcPr>
            <w:tcW w:w="1468" w:type="dxa"/>
            <w:tcBorders>
              <w:top w:val="nil"/>
              <w:left w:val="single" w:sz="4" w:space="0" w:color="auto"/>
              <w:bottom w:val="nil"/>
              <w:right w:val="single" w:sz="4" w:space="0" w:color="auto"/>
            </w:tcBorders>
            <w:shd w:val="clear" w:color="auto" w:fill="auto"/>
            <w:noWrap/>
            <w:vAlign w:val="bottom"/>
            <w:hideMark/>
          </w:tcPr>
          <w:p w14:paraId="1721BDDF" w14:textId="77777777" w:rsidR="00D215BD" w:rsidRPr="001314CA" w:rsidRDefault="00D215BD" w:rsidP="00D215BD">
            <w:pPr>
              <w:spacing w:before="0"/>
              <w:jc w:val="right"/>
              <w:rPr>
                <w:rFonts w:cs="Calibri"/>
                <w:sz w:val="22"/>
                <w:szCs w:val="22"/>
              </w:rPr>
            </w:pPr>
            <w:r w:rsidRPr="001314CA">
              <w:rPr>
                <w:rFonts w:cs="Calibri"/>
                <w:sz w:val="22"/>
                <w:szCs w:val="22"/>
              </w:rPr>
              <w:t>18 120,60</w:t>
            </w:r>
          </w:p>
        </w:tc>
        <w:tc>
          <w:tcPr>
            <w:tcW w:w="1333" w:type="dxa"/>
            <w:tcBorders>
              <w:top w:val="nil"/>
              <w:left w:val="single" w:sz="4" w:space="0" w:color="auto"/>
              <w:bottom w:val="nil"/>
              <w:right w:val="single" w:sz="4" w:space="0" w:color="auto"/>
            </w:tcBorders>
            <w:shd w:val="clear" w:color="auto" w:fill="auto"/>
            <w:noWrap/>
            <w:vAlign w:val="bottom"/>
            <w:hideMark/>
          </w:tcPr>
          <w:p w14:paraId="047DE47D"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CB34608" w14:textId="77777777" w:rsidR="00D215BD" w:rsidRPr="001314CA" w:rsidRDefault="00D215BD" w:rsidP="00D215BD">
            <w:pPr>
              <w:spacing w:before="0"/>
              <w:jc w:val="right"/>
              <w:rPr>
                <w:rFonts w:cs="Calibri"/>
                <w:sz w:val="22"/>
                <w:szCs w:val="22"/>
              </w:rPr>
            </w:pPr>
            <w:r w:rsidRPr="001314CA">
              <w:rPr>
                <w:rFonts w:cs="Calibri"/>
                <w:sz w:val="22"/>
                <w:szCs w:val="22"/>
              </w:rPr>
              <w:t>18 120,60</w:t>
            </w:r>
          </w:p>
        </w:tc>
      </w:tr>
      <w:tr w:rsidR="00D215BD" w:rsidRPr="001314CA" w14:paraId="39F3B634"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74E00782" w14:textId="77777777" w:rsidR="00D215BD" w:rsidRPr="001314CA" w:rsidRDefault="00D215BD" w:rsidP="00D215BD">
            <w:pPr>
              <w:tabs>
                <w:tab w:val="clear" w:pos="567"/>
              </w:tabs>
              <w:spacing w:before="0"/>
              <w:ind w:left="317" w:hanging="317"/>
              <w:rPr>
                <w:rFonts w:cs="Calibri"/>
                <w:b/>
                <w:bCs/>
                <w:sz w:val="22"/>
                <w:szCs w:val="22"/>
              </w:rPr>
            </w:pPr>
            <w:r w:rsidRPr="001314CA">
              <w:rPr>
                <w:b/>
                <w:sz w:val="22"/>
                <w:szCs w:val="22"/>
              </w:rPr>
              <w:t>Kirghizistan</w:t>
            </w:r>
          </w:p>
        </w:tc>
        <w:tc>
          <w:tcPr>
            <w:tcW w:w="1311" w:type="dxa"/>
            <w:tcBorders>
              <w:top w:val="nil"/>
              <w:left w:val="single" w:sz="4" w:space="0" w:color="auto"/>
              <w:bottom w:val="nil"/>
              <w:right w:val="single" w:sz="4" w:space="0" w:color="auto"/>
            </w:tcBorders>
            <w:shd w:val="clear" w:color="auto" w:fill="auto"/>
            <w:noWrap/>
            <w:vAlign w:val="bottom"/>
            <w:hideMark/>
          </w:tcPr>
          <w:p w14:paraId="518D0A8D"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2ADA94AC"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1E864EF9"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21905AAF" w14:textId="77777777" w:rsidR="00D215BD" w:rsidRPr="001314CA" w:rsidRDefault="00D215BD" w:rsidP="00D215BD">
            <w:pPr>
              <w:spacing w:before="0"/>
              <w:rPr>
                <w:rFonts w:ascii="Times New Roman" w:hAnsi="Times New Roman"/>
                <w:sz w:val="22"/>
                <w:szCs w:val="22"/>
              </w:rPr>
            </w:pPr>
          </w:p>
        </w:tc>
      </w:tr>
      <w:tr w:rsidR="00D215BD" w:rsidRPr="001314CA" w14:paraId="53A5103E"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55A1BF6F"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Kyrgyztelecom</w:t>
            </w:r>
            <w:proofErr w:type="spellEnd"/>
            <w:r w:rsidRPr="001314CA">
              <w:rPr>
                <w:rFonts w:cs="Calibri"/>
                <w:sz w:val="22"/>
                <w:szCs w:val="22"/>
              </w:rPr>
              <w:t xml:space="preserve"> OJSC, </w:t>
            </w:r>
            <w:proofErr w:type="spellStart"/>
            <w:r w:rsidRPr="001314CA">
              <w:rPr>
                <w:rFonts w:cs="Calibri"/>
                <w:sz w:val="22"/>
                <w:szCs w:val="22"/>
              </w:rPr>
              <w:t>Bishkek</w:t>
            </w:r>
            <w:proofErr w:type="spellEnd"/>
          </w:p>
        </w:tc>
        <w:tc>
          <w:tcPr>
            <w:tcW w:w="1311" w:type="dxa"/>
            <w:tcBorders>
              <w:top w:val="nil"/>
              <w:left w:val="single" w:sz="4" w:space="0" w:color="auto"/>
              <w:bottom w:val="nil"/>
              <w:right w:val="single" w:sz="4" w:space="0" w:color="auto"/>
            </w:tcBorders>
            <w:shd w:val="clear" w:color="auto" w:fill="auto"/>
            <w:noWrap/>
            <w:vAlign w:val="bottom"/>
            <w:hideMark/>
          </w:tcPr>
          <w:p w14:paraId="3939D74C" w14:textId="77777777" w:rsidR="00D215BD" w:rsidRPr="001314CA" w:rsidRDefault="00D215BD" w:rsidP="00D215BD">
            <w:pPr>
              <w:spacing w:before="0"/>
              <w:jc w:val="center"/>
              <w:rPr>
                <w:rFonts w:cs="Calibri"/>
                <w:sz w:val="22"/>
                <w:szCs w:val="22"/>
              </w:rPr>
            </w:pPr>
            <w:r w:rsidRPr="001314CA">
              <w:rPr>
                <w:rFonts w:cs="Calibri"/>
                <w:sz w:val="22"/>
                <w:szCs w:val="22"/>
              </w:rPr>
              <w:t>2016-2017</w:t>
            </w:r>
          </w:p>
        </w:tc>
        <w:tc>
          <w:tcPr>
            <w:tcW w:w="1468" w:type="dxa"/>
            <w:tcBorders>
              <w:top w:val="nil"/>
              <w:left w:val="single" w:sz="4" w:space="0" w:color="auto"/>
              <w:bottom w:val="nil"/>
              <w:right w:val="single" w:sz="4" w:space="0" w:color="auto"/>
            </w:tcBorders>
            <w:shd w:val="clear" w:color="auto" w:fill="auto"/>
            <w:noWrap/>
            <w:vAlign w:val="bottom"/>
            <w:hideMark/>
          </w:tcPr>
          <w:p w14:paraId="7B054D81" w14:textId="77777777" w:rsidR="00D215BD" w:rsidRPr="001314CA" w:rsidRDefault="00D215BD" w:rsidP="00D215BD">
            <w:pPr>
              <w:spacing w:before="0"/>
              <w:jc w:val="right"/>
              <w:rPr>
                <w:rFonts w:cs="Calibri"/>
                <w:sz w:val="22"/>
                <w:szCs w:val="22"/>
              </w:rPr>
            </w:pPr>
            <w:r w:rsidRPr="001314CA">
              <w:rPr>
                <w:rFonts w:cs="Calibri"/>
                <w:sz w:val="22"/>
                <w:szCs w:val="22"/>
              </w:rPr>
              <w:t>7 253,15</w:t>
            </w:r>
          </w:p>
        </w:tc>
        <w:tc>
          <w:tcPr>
            <w:tcW w:w="1333" w:type="dxa"/>
            <w:tcBorders>
              <w:top w:val="nil"/>
              <w:left w:val="single" w:sz="4" w:space="0" w:color="auto"/>
              <w:bottom w:val="nil"/>
              <w:right w:val="single" w:sz="4" w:space="0" w:color="auto"/>
            </w:tcBorders>
            <w:shd w:val="clear" w:color="auto" w:fill="auto"/>
            <w:noWrap/>
            <w:vAlign w:val="bottom"/>
            <w:hideMark/>
          </w:tcPr>
          <w:p w14:paraId="157B5855"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37F88221" w14:textId="77777777" w:rsidR="00D215BD" w:rsidRPr="001314CA" w:rsidRDefault="00D215BD" w:rsidP="00D215BD">
            <w:pPr>
              <w:spacing w:before="0"/>
              <w:jc w:val="right"/>
              <w:rPr>
                <w:rFonts w:cs="Calibri"/>
                <w:sz w:val="22"/>
                <w:szCs w:val="22"/>
              </w:rPr>
            </w:pPr>
            <w:r w:rsidRPr="001314CA">
              <w:rPr>
                <w:rFonts w:cs="Calibri"/>
                <w:sz w:val="22"/>
                <w:szCs w:val="22"/>
              </w:rPr>
              <w:t>7 253,15</w:t>
            </w:r>
          </w:p>
        </w:tc>
      </w:tr>
      <w:tr w:rsidR="00D215BD" w:rsidRPr="001314CA" w14:paraId="371AEF3C"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7E6CF5B5"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Liban</w:t>
            </w:r>
          </w:p>
        </w:tc>
        <w:tc>
          <w:tcPr>
            <w:tcW w:w="1311" w:type="dxa"/>
            <w:tcBorders>
              <w:top w:val="nil"/>
              <w:left w:val="single" w:sz="4" w:space="0" w:color="auto"/>
              <w:bottom w:val="nil"/>
              <w:right w:val="single" w:sz="4" w:space="0" w:color="auto"/>
            </w:tcBorders>
            <w:shd w:val="clear" w:color="auto" w:fill="auto"/>
            <w:noWrap/>
            <w:vAlign w:val="bottom"/>
            <w:hideMark/>
          </w:tcPr>
          <w:p w14:paraId="351B2321"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6D1F84EC"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6D3B4D10"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17085E6B" w14:textId="77777777" w:rsidR="00D215BD" w:rsidRPr="001314CA" w:rsidRDefault="00D215BD" w:rsidP="00D215BD">
            <w:pPr>
              <w:spacing w:before="0"/>
              <w:rPr>
                <w:rFonts w:ascii="Times New Roman" w:hAnsi="Times New Roman"/>
                <w:sz w:val="22"/>
                <w:szCs w:val="22"/>
              </w:rPr>
            </w:pPr>
          </w:p>
        </w:tc>
      </w:tr>
      <w:tr w:rsidR="00D215BD" w:rsidRPr="001314CA" w14:paraId="1B898D82"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1F58ABC3"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Arabcom</w:t>
            </w:r>
            <w:proofErr w:type="spellEnd"/>
            <w:r w:rsidRPr="001314CA">
              <w:rPr>
                <w:rFonts w:cs="Calibri"/>
                <w:sz w:val="22"/>
                <w:szCs w:val="22"/>
              </w:rPr>
              <w:t xml:space="preserve"> </w:t>
            </w:r>
            <w:proofErr w:type="spellStart"/>
            <w:r w:rsidRPr="001314CA">
              <w:rPr>
                <w:rFonts w:cs="Calibri"/>
                <w:sz w:val="22"/>
                <w:szCs w:val="22"/>
              </w:rPr>
              <w:t>Hitek</w:t>
            </w:r>
            <w:proofErr w:type="spellEnd"/>
            <w:r w:rsidRPr="001314CA">
              <w:rPr>
                <w:rFonts w:cs="Calibri"/>
                <w:sz w:val="22"/>
                <w:szCs w:val="22"/>
              </w:rPr>
              <w:t>, Beyrouth</w:t>
            </w:r>
          </w:p>
        </w:tc>
        <w:tc>
          <w:tcPr>
            <w:tcW w:w="1311" w:type="dxa"/>
            <w:tcBorders>
              <w:top w:val="nil"/>
              <w:left w:val="single" w:sz="4" w:space="0" w:color="auto"/>
              <w:bottom w:val="nil"/>
              <w:right w:val="single" w:sz="4" w:space="0" w:color="auto"/>
            </w:tcBorders>
            <w:shd w:val="clear" w:color="auto" w:fill="auto"/>
            <w:noWrap/>
            <w:vAlign w:val="bottom"/>
            <w:hideMark/>
          </w:tcPr>
          <w:p w14:paraId="27C21EF3" w14:textId="77777777" w:rsidR="00D215BD" w:rsidRPr="001314CA" w:rsidRDefault="00D215BD" w:rsidP="00D215BD">
            <w:pPr>
              <w:spacing w:before="0"/>
              <w:jc w:val="center"/>
              <w:rPr>
                <w:rFonts w:cs="Calibri"/>
                <w:sz w:val="22"/>
                <w:szCs w:val="22"/>
              </w:rPr>
            </w:pPr>
            <w:r w:rsidRPr="001314CA">
              <w:rPr>
                <w:rFonts w:cs="Calibri"/>
                <w:sz w:val="22"/>
                <w:szCs w:val="22"/>
              </w:rPr>
              <w:t>2001-2006</w:t>
            </w:r>
          </w:p>
        </w:tc>
        <w:tc>
          <w:tcPr>
            <w:tcW w:w="1468" w:type="dxa"/>
            <w:tcBorders>
              <w:top w:val="nil"/>
              <w:left w:val="single" w:sz="4" w:space="0" w:color="auto"/>
              <w:bottom w:val="nil"/>
              <w:right w:val="single" w:sz="4" w:space="0" w:color="auto"/>
            </w:tcBorders>
            <w:shd w:val="clear" w:color="auto" w:fill="auto"/>
            <w:noWrap/>
            <w:vAlign w:val="bottom"/>
            <w:hideMark/>
          </w:tcPr>
          <w:p w14:paraId="5D2A1236" w14:textId="77777777" w:rsidR="00D215BD" w:rsidRPr="001314CA" w:rsidRDefault="00D215BD" w:rsidP="00D215BD">
            <w:pPr>
              <w:spacing w:before="0"/>
              <w:jc w:val="right"/>
              <w:rPr>
                <w:rFonts w:cs="Calibri"/>
                <w:sz w:val="22"/>
                <w:szCs w:val="22"/>
              </w:rPr>
            </w:pPr>
            <w:r w:rsidRPr="001314CA">
              <w:rPr>
                <w:rFonts w:cs="Calibri"/>
                <w:sz w:val="22"/>
                <w:szCs w:val="22"/>
              </w:rPr>
              <w:t>64 433,35</w:t>
            </w:r>
          </w:p>
        </w:tc>
        <w:tc>
          <w:tcPr>
            <w:tcW w:w="1333" w:type="dxa"/>
            <w:tcBorders>
              <w:top w:val="nil"/>
              <w:left w:val="single" w:sz="4" w:space="0" w:color="auto"/>
              <w:bottom w:val="nil"/>
              <w:right w:val="single" w:sz="4" w:space="0" w:color="auto"/>
            </w:tcBorders>
            <w:shd w:val="clear" w:color="auto" w:fill="auto"/>
            <w:noWrap/>
            <w:vAlign w:val="bottom"/>
            <w:hideMark/>
          </w:tcPr>
          <w:p w14:paraId="32099BD4"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35ABD14F" w14:textId="77777777" w:rsidR="00D215BD" w:rsidRPr="001314CA" w:rsidRDefault="00D215BD" w:rsidP="00D215BD">
            <w:pPr>
              <w:spacing w:before="0"/>
              <w:jc w:val="right"/>
              <w:rPr>
                <w:rFonts w:cs="Calibri"/>
                <w:sz w:val="22"/>
                <w:szCs w:val="22"/>
              </w:rPr>
            </w:pPr>
            <w:r w:rsidRPr="001314CA">
              <w:rPr>
                <w:rFonts w:cs="Calibri"/>
                <w:sz w:val="22"/>
                <w:szCs w:val="22"/>
              </w:rPr>
              <w:t>64 433,35</w:t>
            </w:r>
          </w:p>
        </w:tc>
      </w:tr>
      <w:tr w:rsidR="00D215BD" w:rsidRPr="001314CA" w14:paraId="199FC98B"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0706647C"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ExiCon</w:t>
            </w:r>
            <w:proofErr w:type="spellEnd"/>
            <w:r w:rsidRPr="001314CA">
              <w:rPr>
                <w:rFonts w:cs="Calibri"/>
                <w:sz w:val="22"/>
                <w:szCs w:val="22"/>
              </w:rPr>
              <w:t xml:space="preserve"> International Group, Beyrouth</w:t>
            </w:r>
          </w:p>
        </w:tc>
        <w:tc>
          <w:tcPr>
            <w:tcW w:w="1311" w:type="dxa"/>
            <w:tcBorders>
              <w:top w:val="nil"/>
              <w:left w:val="single" w:sz="4" w:space="0" w:color="auto"/>
              <w:bottom w:val="nil"/>
              <w:right w:val="single" w:sz="4" w:space="0" w:color="auto"/>
            </w:tcBorders>
            <w:shd w:val="clear" w:color="auto" w:fill="auto"/>
            <w:noWrap/>
            <w:vAlign w:val="bottom"/>
            <w:hideMark/>
          </w:tcPr>
          <w:p w14:paraId="1B499BA0" w14:textId="77777777" w:rsidR="00D215BD" w:rsidRPr="001314CA" w:rsidRDefault="00D215BD" w:rsidP="00D215BD">
            <w:pPr>
              <w:spacing w:before="0"/>
              <w:jc w:val="center"/>
              <w:rPr>
                <w:rFonts w:cs="Calibri"/>
                <w:sz w:val="22"/>
                <w:szCs w:val="22"/>
              </w:rPr>
            </w:pPr>
            <w:r w:rsidRPr="001314CA">
              <w:rPr>
                <w:rFonts w:cs="Calibri"/>
                <w:sz w:val="22"/>
                <w:szCs w:val="22"/>
              </w:rPr>
              <w:t>2010-2011</w:t>
            </w:r>
          </w:p>
        </w:tc>
        <w:tc>
          <w:tcPr>
            <w:tcW w:w="1468" w:type="dxa"/>
            <w:tcBorders>
              <w:top w:val="nil"/>
              <w:left w:val="single" w:sz="4" w:space="0" w:color="auto"/>
              <w:bottom w:val="nil"/>
              <w:right w:val="single" w:sz="4" w:space="0" w:color="auto"/>
            </w:tcBorders>
            <w:shd w:val="clear" w:color="auto" w:fill="auto"/>
            <w:noWrap/>
            <w:vAlign w:val="bottom"/>
            <w:hideMark/>
          </w:tcPr>
          <w:p w14:paraId="71E413E7" w14:textId="77777777" w:rsidR="00D215BD" w:rsidRPr="001314CA" w:rsidRDefault="00D215BD" w:rsidP="00D215BD">
            <w:pPr>
              <w:spacing w:before="0"/>
              <w:jc w:val="right"/>
              <w:rPr>
                <w:rFonts w:cs="Calibri"/>
                <w:sz w:val="22"/>
                <w:szCs w:val="22"/>
              </w:rPr>
            </w:pPr>
            <w:r w:rsidRPr="001314CA">
              <w:rPr>
                <w:rFonts w:cs="Calibri"/>
                <w:sz w:val="22"/>
                <w:szCs w:val="22"/>
              </w:rPr>
              <w:t>7 003,10</w:t>
            </w:r>
          </w:p>
        </w:tc>
        <w:tc>
          <w:tcPr>
            <w:tcW w:w="1333" w:type="dxa"/>
            <w:tcBorders>
              <w:top w:val="nil"/>
              <w:left w:val="single" w:sz="4" w:space="0" w:color="auto"/>
              <w:bottom w:val="nil"/>
              <w:right w:val="single" w:sz="4" w:space="0" w:color="auto"/>
            </w:tcBorders>
            <w:shd w:val="clear" w:color="auto" w:fill="auto"/>
            <w:noWrap/>
            <w:vAlign w:val="bottom"/>
            <w:hideMark/>
          </w:tcPr>
          <w:p w14:paraId="55DC6965"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03C437DD" w14:textId="77777777" w:rsidR="00D215BD" w:rsidRPr="001314CA" w:rsidRDefault="00D215BD" w:rsidP="00D215BD">
            <w:pPr>
              <w:spacing w:before="0"/>
              <w:jc w:val="right"/>
              <w:rPr>
                <w:rFonts w:cs="Calibri"/>
                <w:sz w:val="22"/>
                <w:szCs w:val="22"/>
              </w:rPr>
            </w:pPr>
            <w:r w:rsidRPr="001314CA">
              <w:rPr>
                <w:rFonts w:cs="Calibri"/>
                <w:sz w:val="22"/>
                <w:szCs w:val="22"/>
              </w:rPr>
              <w:t>7 003,10</w:t>
            </w:r>
          </w:p>
        </w:tc>
      </w:tr>
      <w:tr w:rsidR="00D215BD" w:rsidRPr="001314CA" w14:paraId="09E59A8B"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22038C13"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MNT/</w:t>
            </w:r>
            <w:proofErr w:type="spellStart"/>
            <w:r w:rsidRPr="001314CA">
              <w:rPr>
                <w:rFonts w:cs="Calibri"/>
                <w:sz w:val="22"/>
                <w:szCs w:val="22"/>
              </w:rPr>
              <w:t>Investcom</w:t>
            </w:r>
            <w:proofErr w:type="spellEnd"/>
            <w:r w:rsidRPr="001314CA">
              <w:rPr>
                <w:rFonts w:cs="Calibri"/>
                <w:sz w:val="22"/>
                <w:szCs w:val="22"/>
              </w:rPr>
              <w:t xml:space="preserve"> LLC, Beyrouth</w:t>
            </w:r>
          </w:p>
        </w:tc>
        <w:tc>
          <w:tcPr>
            <w:tcW w:w="1311" w:type="dxa"/>
            <w:tcBorders>
              <w:top w:val="nil"/>
              <w:left w:val="single" w:sz="4" w:space="0" w:color="auto"/>
              <w:bottom w:val="nil"/>
              <w:right w:val="single" w:sz="4" w:space="0" w:color="auto"/>
            </w:tcBorders>
            <w:shd w:val="clear" w:color="auto" w:fill="auto"/>
            <w:noWrap/>
            <w:vAlign w:val="bottom"/>
            <w:hideMark/>
          </w:tcPr>
          <w:p w14:paraId="7D217FAD" w14:textId="77777777" w:rsidR="00D215BD" w:rsidRPr="001314CA" w:rsidRDefault="00D215BD" w:rsidP="00D215BD">
            <w:pPr>
              <w:spacing w:before="0"/>
              <w:jc w:val="center"/>
              <w:rPr>
                <w:rFonts w:cs="Calibri"/>
                <w:sz w:val="22"/>
                <w:szCs w:val="22"/>
              </w:rPr>
            </w:pPr>
            <w:r w:rsidRPr="001314CA">
              <w:rPr>
                <w:rFonts w:cs="Calibri"/>
                <w:sz w:val="22"/>
                <w:szCs w:val="22"/>
              </w:rPr>
              <w:t>2008</w:t>
            </w:r>
          </w:p>
        </w:tc>
        <w:tc>
          <w:tcPr>
            <w:tcW w:w="1468" w:type="dxa"/>
            <w:tcBorders>
              <w:top w:val="nil"/>
              <w:left w:val="single" w:sz="4" w:space="0" w:color="auto"/>
              <w:bottom w:val="nil"/>
              <w:right w:val="single" w:sz="4" w:space="0" w:color="auto"/>
            </w:tcBorders>
            <w:shd w:val="clear" w:color="auto" w:fill="auto"/>
            <w:noWrap/>
            <w:vAlign w:val="bottom"/>
            <w:hideMark/>
          </w:tcPr>
          <w:p w14:paraId="092C1AB2" w14:textId="77777777" w:rsidR="00D215BD" w:rsidRPr="001314CA" w:rsidRDefault="00D215BD" w:rsidP="00D215BD">
            <w:pPr>
              <w:spacing w:before="0"/>
              <w:jc w:val="right"/>
              <w:rPr>
                <w:rFonts w:cs="Calibri"/>
                <w:sz w:val="22"/>
                <w:szCs w:val="22"/>
              </w:rPr>
            </w:pPr>
            <w:r w:rsidRPr="001314CA">
              <w:rPr>
                <w:rFonts w:cs="Calibri"/>
                <w:sz w:val="22"/>
                <w:szCs w:val="22"/>
              </w:rPr>
              <w:t>8 298,50</w:t>
            </w:r>
          </w:p>
        </w:tc>
        <w:tc>
          <w:tcPr>
            <w:tcW w:w="1333" w:type="dxa"/>
            <w:tcBorders>
              <w:top w:val="nil"/>
              <w:left w:val="single" w:sz="4" w:space="0" w:color="auto"/>
              <w:bottom w:val="nil"/>
              <w:right w:val="single" w:sz="4" w:space="0" w:color="auto"/>
            </w:tcBorders>
            <w:shd w:val="clear" w:color="auto" w:fill="auto"/>
            <w:noWrap/>
            <w:vAlign w:val="bottom"/>
            <w:hideMark/>
          </w:tcPr>
          <w:p w14:paraId="7C08C21A"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70B5C6C" w14:textId="77777777" w:rsidR="00D215BD" w:rsidRPr="001314CA" w:rsidRDefault="00D215BD" w:rsidP="00D215BD">
            <w:pPr>
              <w:spacing w:before="0"/>
              <w:jc w:val="right"/>
              <w:rPr>
                <w:rFonts w:cs="Calibri"/>
                <w:sz w:val="22"/>
                <w:szCs w:val="22"/>
              </w:rPr>
            </w:pPr>
            <w:r w:rsidRPr="001314CA">
              <w:rPr>
                <w:rFonts w:cs="Calibri"/>
                <w:sz w:val="22"/>
                <w:szCs w:val="22"/>
              </w:rPr>
              <w:t>8 298,50</w:t>
            </w:r>
          </w:p>
        </w:tc>
      </w:tr>
      <w:tr w:rsidR="00D215BD" w:rsidRPr="001314CA" w14:paraId="36277750" w14:textId="77777777" w:rsidTr="00D215BD">
        <w:trPr>
          <w:trHeight w:val="600"/>
          <w:jc w:val="center"/>
        </w:trPr>
        <w:tc>
          <w:tcPr>
            <w:tcW w:w="4672" w:type="dxa"/>
            <w:tcBorders>
              <w:top w:val="nil"/>
              <w:left w:val="single" w:sz="4" w:space="0" w:color="auto"/>
              <w:bottom w:val="nil"/>
              <w:right w:val="single" w:sz="4" w:space="0" w:color="auto"/>
            </w:tcBorders>
            <w:shd w:val="clear" w:color="auto" w:fill="auto"/>
            <w:vAlign w:val="bottom"/>
            <w:hideMark/>
          </w:tcPr>
          <w:p w14:paraId="48666AFC"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Telecommunications </w:t>
            </w:r>
            <w:proofErr w:type="spellStart"/>
            <w:r w:rsidRPr="001314CA">
              <w:rPr>
                <w:rFonts w:cs="Calibri"/>
                <w:sz w:val="22"/>
                <w:szCs w:val="22"/>
              </w:rPr>
              <w:t>Regulatory</w:t>
            </w:r>
            <w:proofErr w:type="spellEnd"/>
            <w:r w:rsidRPr="001314CA">
              <w:rPr>
                <w:rFonts w:cs="Calibri"/>
                <w:sz w:val="22"/>
                <w:szCs w:val="22"/>
              </w:rPr>
              <w:t xml:space="preserve"> </w:t>
            </w:r>
            <w:proofErr w:type="spellStart"/>
            <w:r w:rsidRPr="001314CA">
              <w:rPr>
                <w:rFonts w:cs="Calibri"/>
                <w:sz w:val="22"/>
                <w:szCs w:val="22"/>
              </w:rPr>
              <w:t>Authority</w:t>
            </w:r>
            <w:proofErr w:type="spellEnd"/>
            <w:r w:rsidRPr="001314CA">
              <w:rPr>
                <w:rFonts w:cs="Calibri"/>
                <w:sz w:val="22"/>
                <w:szCs w:val="22"/>
              </w:rPr>
              <w:t>, Beyrouth</w:t>
            </w:r>
          </w:p>
        </w:tc>
        <w:tc>
          <w:tcPr>
            <w:tcW w:w="1311" w:type="dxa"/>
            <w:tcBorders>
              <w:top w:val="nil"/>
              <w:left w:val="single" w:sz="4" w:space="0" w:color="auto"/>
              <w:bottom w:val="nil"/>
              <w:right w:val="single" w:sz="4" w:space="0" w:color="auto"/>
            </w:tcBorders>
            <w:shd w:val="clear" w:color="auto" w:fill="auto"/>
            <w:noWrap/>
            <w:vAlign w:val="bottom"/>
            <w:hideMark/>
          </w:tcPr>
          <w:p w14:paraId="1C2330FF"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0D1B6C40" w14:textId="77777777" w:rsidR="00D215BD" w:rsidRPr="001314CA" w:rsidRDefault="00D215BD" w:rsidP="00D215BD">
            <w:pPr>
              <w:spacing w:before="0"/>
              <w:jc w:val="right"/>
              <w:rPr>
                <w:rFonts w:cs="Calibri"/>
                <w:sz w:val="22"/>
                <w:szCs w:val="22"/>
              </w:rPr>
            </w:pPr>
            <w:r w:rsidRPr="001314CA">
              <w:rPr>
                <w:rFonts w:cs="Calibri"/>
                <w:sz w:val="22"/>
                <w:szCs w:val="22"/>
              </w:rPr>
              <w:t>74 315,60</w:t>
            </w:r>
          </w:p>
        </w:tc>
        <w:tc>
          <w:tcPr>
            <w:tcW w:w="1333" w:type="dxa"/>
            <w:tcBorders>
              <w:top w:val="nil"/>
              <w:left w:val="single" w:sz="4" w:space="0" w:color="auto"/>
              <w:bottom w:val="nil"/>
              <w:right w:val="single" w:sz="4" w:space="0" w:color="auto"/>
            </w:tcBorders>
            <w:shd w:val="clear" w:color="auto" w:fill="auto"/>
            <w:noWrap/>
            <w:vAlign w:val="bottom"/>
            <w:hideMark/>
          </w:tcPr>
          <w:p w14:paraId="70147CE8"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D08D02F" w14:textId="77777777" w:rsidR="00D215BD" w:rsidRPr="001314CA" w:rsidRDefault="00D215BD" w:rsidP="00D215BD">
            <w:pPr>
              <w:spacing w:before="0"/>
              <w:jc w:val="right"/>
              <w:rPr>
                <w:rFonts w:cs="Calibri"/>
                <w:sz w:val="22"/>
                <w:szCs w:val="22"/>
              </w:rPr>
            </w:pPr>
            <w:r w:rsidRPr="001314CA">
              <w:rPr>
                <w:rFonts w:cs="Calibri"/>
                <w:sz w:val="22"/>
                <w:szCs w:val="22"/>
              </w:rPr>
              <w:t>74 315,60</w:t>
            </w:r>
          </w:p>
        </w:tc>
      </w:tr>
      <w:tr w:rsidR="00D215BD" w:rsidRPr="001314CA" w14:paraId="1CD877EA"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2319028B"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 xml:space="preserve">Libéria </w:t>
            </w:r>
          </w:p>
        </w:tc>
        <w:tc>
          <w:tcPr>
            <w:tcW w:w="1311" w:type="dxa"/>
            <w:tcBorders>
              <w:top w:val="nil"/>
              <w:left w:val="single" w:sz="4" w:space="0" w:color="auto"/>
              <w:bottom w:val="nil"/>
              <w:right w:val="single" w:sz="4" w:space="0" w:color="auto"/>
            </w:tcBorders>
            <w:shd w:val="clear" w:color="auto" w:fill="auto"/>
            <w:noWrap/>
            <w:vAlign w:val="bottom"/>
            <w:hideMark/>
          </w:tcPr>
          <w:p w14:paraId="1183571B"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76B15AA8"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0CEFD38C"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679366B7" w14:textId="77777777" w:rsidR="00D215BD" w:rsidRPr="001314CA" w:rsidRDefault="00D215BD" w:rsidP="00D215BD">
            <w:pPr>
              <w:spacing w:before="0"/>
              <w:rPr>
                <w:rFonts w:ascii="Times New Roman" w:hAnsi="Times New Roman"/>
                <w:sz w:val="22"/>
                <w:szCs w:val="22"/>
              </w:rPr>
            </w:pPr>
          </w:p>
        </w:tc>
      </w:tr>
      <w:tr w:rsidR="00D215BD" w:rsidRPr="001314CA" w14:paraId="47906D9F"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377D0208"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West Africa Telecomm. Inc., Monrovia</w:t>
            </w:r>
          </w:p>
        </w:tc>
        <w:tc>
          <w:tcPr>
            <w:tcW w:w="1311" w:type="dxa"/>
            <w:tcBorders>
              <w:top w:val="nil"/>
              <w:left w:val="single" w:sz="4" w:space="0" w:color="auto"/>
              <w:bottom w:val="nil"/>
              <w:right w:val="single" w:sz="4" w:space="0" w:color="auto"/>
            </w:tcBorders>
            <w:shd w:val="clear" w:color="auto" w:fill="auto"/>
            <w:noWrap/>
            <w:vAlign w:val="bottom"/>
            <w:hideMark/>
          </w:tcPr>
          <w:p w14:paraId="51C3C552" w14:textId="77777777" w:rsidR="00D215BD" w:rsidRPr="001314CA" w:rsidRDefault="00D215BD" w:rsidP="00D215BD">
            <w:pPr>
              <w:spacing w:before="0"/>
              <w:jc w:val="center"/>
              <w:rPr>
                <w:rFonts w:cs="Calibri"/>
                <w:sz w:val="22"/>
                <w:szCs w:val="22"/>
              </w:rPr>
            </w:pPr>
            <w:r w:rsidRPr="001314CA">
              <w:rPr>
                <w:rFonts w:cs="Calibri"/>
                <w:sz w:val="22"/>
                <w:szCs w:val="22"/>
              </w:rPr>
              <w:t>2007</w:t>
            </w:r>
          </w:p>
        </w:tc>
        <w:tc>
          <w:tcPr>
            <w:tcW w:w="1468" w:type="dxa"/>
            <w:tcBorders>
              <w:top w:val="nil"/>
              <w:left w:val="single" w:sz="4" w:space="0" w:color="auto"/>
              <w:bottom w:val="nil"/>
              <w:right w:val="single" w:sz="4" w:space="0" w:color="auto"/>
            </w:tcBorders>
            <w:shd w:val="clear" w:color="auto" w:fill="auto"/>
            <w:noWrap/>
            <w:vAlign w:val="bottom"/>
            <w:hideMark/>
          </w:tcPr>
          <w:p w14:paraId="5E75C184" w14:textId="77777777" w:rsidR="00D215BD" w:rsidRPr="001314CA" w:rsidRDefault="00D215BD" w:rsidP="00D215BD">
            <w:pPr>
              <w:spacing w:before="0"/>
              <w:jc w:val="right"/>
              <w:rPr>
                <w:rFonts w:cs="Calibri"/>
                <w:sz w:val="22"/>
                <w:szCs w:val="22"/>
              </w:rPr>
            </w:pPr>
            <w:r w:rsidRPr="001314CA">
              <w:rPr>
                <w:rFonts w:cs="Calibri"/>
                <w:sz w:val="22"/>
                <w:szCs w:val="22"/>
              </w:rPr>
              <w:t>8 796,40</w:t>
            </w:r>
          </w:p>
        </w:tc>
        <w:tc>
          <w:tcPr>
            <w:tcW w:w="1333" w:type="dxa"/>
            <w:tcBorders>
              <w:top w:val="nil"/>
              <w:left w:val="single" w:sz="4" w:space="0" w:color="auto"/>
              <w:bottom w:val="nil"/>
              <w:right w:val="single" w:sz="4" w:space="0" w:color="auto"/>
            </w:tcBorders>
            <w:shd w:val="clear" w:color="auto" w:fill="auto"/>
            <w:noWrap/>
            <w:vAlign w:val="bottom"/>
            <w:hideMark/>
          </w:tcPr>
          <w:p w14:paraId="668DBFEA"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708617A" w14:textId="77777777" w:rsidR="00D215BD" w:rsidRPr="001314CA" w:rsidRDefault="00D215BD" w:rsidP="00D215BD">
            <w:pPr>
              <w:spacing w:before="0"/>
              <w:jc w:val="right"/>
              <w:rPr>
                <w:rFonts w:cs="Calibri"/>
                <w:sz w:val="22"/>
                <w:szCs w:val="22"/>
              </w:rPr>
            </w:pPr>
            <w:r w:rsidRPr="001314CA">
              <w:rPr>
                <w:rFonts w:cs="Calibri"/>
                <w:sz w:val="22"/>
                <w:szCs w:val="22"/>
              </w:rPr>
              <w:t>8 796,40</w:t>
            </w:r>
          </w:p>
        </w:tc>
      </w:tr>
      <w:tr w:rsidR="00D215BD" w:rsidRPr="001314CA" w14:paraId="5D2F8122"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0ACA409C"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Libye</w:t>
            </w:r>
          </w:p>
        </w:tc>
        <w:tc>
          <w:tcPr>
            <w:tcW w:w="1311" w:type="dxa"/>
            <w:tcBorders>
              <w:top w:val="nil"/>
              <w:left w:val="single" w:sz="4" w:space="0" w:color="auto"/>
              <w:bottom w:val="nil"/>
              <w:right w:val="single" w:sz="4" w:space="0" w:color="auto"/>
            </w:tcBorders>
            <w:shd w:val="clear" w:color="auto" w:fill="auto"/>
            <w:noWrap/>
            <w:vAlign w:val="bottom"/>
            <w:hideMark/>
          </w:tcPr>
          <w:p w14:paraId="0C1D5DF7"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5DAA9689"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745DDC62"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4FDC9AE7" w14:textId="77777777" w:rsidR="00D215BD" w:rsidRPr="001314CA" w:rsidRDefault="00D215BD" w:rsidP="00D215BD">
            <w:pPr>
              <w:spacing w:before="0"/>
              <w:rPr>
                <w:rFonts w:ascii="Times New Roman" w:hAnsi="Times New Roman"/>
                <w:sz w:val="22"/>
                <w:szCs w:val="22"/>
              </w:rPr>
            </w:pPr>
          </w:p>
        </w:tc>
      </w:tr>
      <w:tr w:rsidR="00D215BD" w:rsidRPr="001314CA" w14:paraId="14ECE88F"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0279E0CE"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r>
            <w:proofErr w:type="spellStart"/>
            <w:r w:rsidRPr="00513163">
              <w:rPr>
                <w:rFonts w:cs="Calibri"/>
                <w:sz w:val="22"/>
                <w:szCs w:val="22"/>
                <w:lang w:val="en-US"/>
              </w:rPr>
              <w:t>Libyana</w:t>
            </w:r>
            <w:proofErr w:type="spellEnd"/>
            <w:r w:rsidRPr="00513163">
              <w:rPr>
                <w:rFonts w:cs="Calibri"/>
                <w:sz w:val="22"/>
                <w:szCs w:val="22"/>
                <w:lang w:val="en-US"/>
              </w:rPr>
              <w:t xml:space="preserve"> Mobile Phone Company, Tripoli</w:t>
            </w:r>
          </w:p>
        </w:tc>
        <w:tc>
          <w:tcPr>
            <w:tcW w:w="1311" w:type="dxa"/>
            <w:tcBorders>
              <w:top w:val="nil"/>
              <w:left w:val="single" w:sz="4" w:space="0" w:color="auto"/>
              <w:bottom w:val="nil"/>
              <w:right w:val="single" w:sz="4" w:space="0" w:color="auto"/>
            </w:tcBorders>
            <w:shd w:val="clear" w:color="auto" w:fill="auto"/>
            <w:noWrap/>
            <w:vAlign w:val="bottom"/>
            <w:hideMark/>
          </w:tcPr>
          <w:p w14:paraId="18B1DE15" w14:textId="77777777" w:rsidR="00D215BD" w:rsidRPr="001314CA" w:rsidRDefault="00D215BD" w:rsidP="00D215BD">
            <w:pPr>
              <w:spacing w:before="0"/>
              <w:jc w:val="center"/>
              <w:rPr>
                <w:rFonts w:cs="Calibri"/>
                <w:sz w:val="22"/>
                <w:szCs w:val="22"/>
              </w:rPr>
            </w:pPr>
            <w:r w:rsidRPr="001314CA">
              <w:rPr>
                <w:rFonts w:cs="Calibri"/>
                <w:sz w:val="22"/>
                <w:szCs w:val="22"/>
              </w:rPr>
              <w:t>2010-2012</w:t>
            </w:r>
          </w:p>
        </w:tc>
        <w:tc>
          <w:tcPr>
            <w:tcW w:w="1468" w:type="dxa"/>
            <w:tcBorders>
              <w:top w:val="nil"/>
              <w:left w:val="single" w:sz="4" w:space="0" w:color="auto"/>
              <w:bottom w:val="nil"/>
              <w:right w:val="single" w:sz="4" w:space="0" w:color="auto"/>
            </w:tcBorders>
            <w:shd w:val="clear" w:color="auto" w:fill="auto"/>
            <w:noWrap/>
            <w:vAlign w:val="bottom"/>
            <w:hideMark/>
          </w:tcPr>
          <w:p w14:paraId="7AA19BA7" w14:textId="77777777" w:rsidR="00D215BD" w:rsidRPr="001314CA" w:rsidRDefault="00D215BD" w:rsidP="00D215BD">
            <w:pPr>
              <w:spacing w:before="0"/>
              <w:jc w:val="right"/>
              <w:rPr>
                <w:rFonts w:cs="Calibri"/>
                <w:sz w:val="22"/>
                <w:szCs w:val="22"/>
              </w:rPr>
            </w:pPr>
            <w:r w:rsidRPr="001314CA">
              <w:rPr>
                <w:rFonts w:cs="Calibri"/>
                <w:sz w:val="22"/>
                <w:szCs w:val="22"/>
              </w:rPr>
              <w:t>156 592,40</w:t>
            </w:r>
          </w:p>
        </w:tc>
        <w:tc>
          <w:tcPr>
            <w:tcW w:w="1333" w:type="dxa"/>
            <w:tcBorders>
              <w:top w:val="nil"/>
              <w:left w:val="single" w:sz="4" w:space="0" w:color="auto"/>
              <w:bottom w:val="nil"/>
              <w:right w:val="single" w:sz="4" w:space="0" w:color="auto"/>
            </w:tcBorders>
            <w:shd w:val="clear" w:color="auto" w:fill="auto"/>
            <w:noWrap/>
            <w:vAlign w:val="bottom"/>
            <w:hideMark/>
          </w:tcPr>
          <w:p w14:paraId="24DD463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7DB58DD" w14:textId="77777777" w:rsidR="00D215BD" w:rsidRPr="001314CA" w:rsidRDefault="00D215BD" w:rsidP="00D215BD">
            <w:pPr>
              <w:spacing w:before="0"/>
              <w:jc w:val="right"/>
              <w:rPr>
                <w:rFonts w:cs="Calibri"/>
                <w:sz w:val="22"/>
                <w:szCs w:val="22"/>
              </w:rPr>
            </w:pPr>
            <w:r w:rsidRPr="001314CA">
              <w:rPr>
                <w:rFonts w:cs="Calibri"/>
                <w:sz w:val="22"/>
                <w:szCs w:val="22"/>
              </w:rPr>
              <w:t>156 592,40</w:t>
            </w:r>
          </w:p>
        </w:tc>
      </w:tr>
      <w:tr w:rsidR="00D215BD" w:rsidRPr="001314CA" w14:paraId="59C9F588"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5FA27A5B"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Luxembourg</w:t>
            </w:r>
          </w:p>
        </w:tc>
        <w:tc>
          <w:tcPr>
            <w:tcW w:w="1311" w:type="dxa"/>
            <w:tcBorders>
              <w:top w:val="nil"/>
              <w:left w:val="single" w:sz="4" w:space="0" w:color="auto"/>
              <w:bottom w:val="nil"/>
              <w:right w:val="single" w:sz="4" w:space="0" w:color="auto"/>
            </w:tcBorders>
            <w:shd w:val="clear" w:color="auto" w:fill="auto"/>
            <w:noWrap/>
            <w:vAlign w:val="bottom"/>
            <w:hideMark/>
          </w:tcPr>
          <w:p w14:paraId="773CEF0A"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77AB47BE"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00EC40A2"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02783D07" w14:textId="77777777" w:rsidR="00D215BD" w:rsidRPr="001314CA" w:rsidRDefault="00D215BD" w:rsidP="00D215BD">
            <w:pPr>
              <w:spacing w:before="0"/>
              <w:rPr>
                <w:rFonts w:ascii="Times New Roman" w:hAnsi="Times New Roman"/>
                <w:sz w:val="22"/>
                <w:szCs w:val="22"/>
              </w:rPr>
            </w:pPr>
          </w:p>
        </w:tc>
      </w:tr>
      <w:tr w:rsidR="00D215BD" w:rsidRPr="001314CA" w14:paraId="4DC07712"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33DD4C64"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Luxembourg </w:t>
            </w:r>
            <w:proofErr w:type="spellStart"/>
            <w:r w:rsidRPr="001314CA">
              <w:rPr>
                <w:rFonts w:cs="Calibri"/>
                <w:sz w:val="22"/>
                <w:szCs w:val="22"/>
              </w:rPr>
              <w:t>Space</w:t>
            </w:r>
            <w:proofErr w:type="spellEnd"/>
            <w:r w:rsidRPr="001314CA">
              <w:rPr>
                <w:rFonts w:cs="Calibri"/>
                <w:sz w:val="22"/>
                <w:szCs w:val="22"/>
              </w:rPr>
              <w:t xml:space="preserve"> </w:t>
            </w:r>
            <w:proofErr w:type="spellStart"/>
            <w:r w:rsidRPr="001314CA">
              <w:rPr>
                <w:rFonts w:cs="Calibri"/>
                <w:sz w:val="22"/>
                <w:szCs w:val="22"/>
              </w:rPr>
              <w:t>Telecommunication</w:t>
            </w:r>
            <w:proofErr w:type="spellEnd"/>
            <w:r w:rsidRPr="001314CA">
              <w:rPr>
                <w:rFonts w:cs="Calibri"/>
                <w:sz w:val="22"/>
                <w:szCs w:val="22"/>
              </w:rPr>
              <w:t>, Luxembourg</w:t>
            </w:r>
          </w:p>
        </w:tc>
        <w:tc>
          <w:tcPr>
            <w:tcW w:w="1311" w:type="dxa"/>
            <w:tcBorders>
              <w:top w:val="nil"/>
              <w:left w:val="single" w:sz="4" w:space="0" w:color="auto"/>
              <w:bottom w:val="nil"/>
              <w:right w:val="single" w:sz="4" w:space="0" w:color="auto"/>
            </w:tcBorders>
            <w:shd w:val="clear" w:color="auto" w:fill="auto"/>
            <w:noWrap/>
            <w:vAlign w:val="bottom"/>
            <w:hideMark/>
          </w:tcPr>
          <w:p w14:paraId="4BC86BB9" w14:textId="77777777" w:rsidR="00D215BD" w:rsidRPr="001314CA" w:rsidRDefault="00D215BD" w:rsidP="00D215BD">
            <w:pPr>
              <w:spacing w:before="0"/>
              <w:jc w:val="center"/>
              <w:rPr>
                <w:rFonts w:cs="Calibri"/>
                <w:sz w:val="22"/>
                <w:szCs w:val="22"/>
              </w:rPr>
            </w:pPr>
            <w:r w:rsidRPr="001314CA">
              <w:rPr>
                <w:rFonts w:cs="Calibri"/>
                <w:sz w:val="22"/>
                <w:szCs w:val="22"/>
              </w:rPr>
              <w:t>2018</w:t>
            </w:r>
          </w:p>
        </w:tc>
        <w:tc>
          <w:tcPr>
            <w:tcW w:w="1468" w:type="dxa"/>
            <w:tcBorders>
              <w:top w:val="nil"/>
              <w:left w:val="single" w:sz="4" w:space="0" w:color="auto"/>
              <w:bottom w:val="nil"/>
              <w:right w:val="single" w:sz="4" w:space="0" w:color="auto"/>
            </w:tcBorders>
            <w:shd w:val="clear" w:color="auto" w:fill="auto"/>
            <w:noWrap/>
            <w:vAlign w:val="bottom"/>
            <w:hideMark/>
          </w:tcPr>
          <w:p w14:paraId="62D9786A" w14:textId="77777777" w:rsidR="00D215BD" w:rsidRPr="001314CA" w:rsidRDefault="00D215BD" w:rsidP="00D215BD">
            <w:pPr>
              <w:spacing w:before="0"/>
              <w:jc w:val="right"/>
              <w:rPr>
                <w:rFonts w:cs="Calibri"/>
                <w:sz w:val="22"/>
                <w:szCs w:val="22"/>
              </w:rPr>
            </w:pPr>
            <w:r w:rsidRPr="001314CA">
              <w:rPr>
                <w:rFonts w:cs="Calibri"/>
                <w:sz w:val="22"/>
                <w:szCs w:val="22"/>
              </w:rPr>
              <w:t>37 070,35</w:t>
            </w:r>
          </w:p>
        </w:tc>
        <w:tc>
          <w:tcPr>
            <w:tcW w:w="1333" w:type="dxa"/>
            <w:tcBorders>
              <w:top w:val="nil"/>
              <w:left w:val="single" w:sz="4" w:space="0" w:color="auto"/>
              <w:bottom w:val="nil"/>
              <w:right w:val="single" w:sz="4" w:space="0" w:color="auto"/>
            </w:tcBorders>
            <w:shd w:val="clear" w:color="auto" w:fill="auto"/>
            <w:noWrap/>
            <w:vAlign w:val="bottom"/>
            <w:hideMark/>
          </w:tcPr>
          <w:p w14:paraId="4BED5D0A"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C171D00" w14:textId="77777777" w:rsidR="00D215BD" w:rsidRPr="001314CA" w:rsidRDefault="00D215BD" w:rsidP="00D215BD">
            <w:pPr>
              <w:spacing w:before="0"/>
              <w:jc w:val="right"/>
              <w:rPr>
                <w:rFonts w:cs="Calibri"/>
                <w:sz w:val="22"/>
                <w:szCs w:val="22"/>
              </w:rPr>
            </w:pPr>
            <w:r w:rsidRPr="001314CA">
              <w:rPr>
                <w:rFonts w:cs="Calibri"/>
                <w:sz w:val="22"/>
                <w:szCs w:val="22"/>
              </w:rPr>
              <w:t>37 070,35</w:t>
            </w:r>
          </w:p>
        </w:tc>
      </w:tr>
      <w:tr w:rsidR="00D215BD" w:rsidRPr="001314CA" w14:paraId="59E74BED" w14:textId="77777777" w:rsidTr="00D215BD">
        <w:trPr>
          <w:trHeight w:val="300"/>
          <w:jc w:val="center"/>
        </w:trPr>
        <w:tc>
          <w:tcPr>
            <w:tcW w:w="4672" w:type="dxa"/>
            <w:tcBorders>
              <w:top w:val="nil"/>
              <w:left w:val="single" w:sz="4" w:space="0" w:color="auto"/>
              <w:bottom w:val="nil"/>
              <w:right w:val="single" w:sz="4" w:space="0" w:color="auto"/>
            </w:tcBorders>
            <w:shd w:val="clear" w:color="auto" w:fill="auto"/>
            <w:vAlign w:val="bottom"/>
            <w:hideMark/>
          </w:tcPr>
          <w:p w14:paraId="6BA4C0EF"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Mali</w:t>
            </w:r>
          </w:p>
        </w:tc>
        <w:tc>
          <w:tcPr>
            <w:tcW w:w="1311" w:type="dxa"/>
            <w:tcBorders>
              <w:top w:val="nil"/>
              <w:left w:val="single" w:sz="4" w:space="0" w:color="auto"/>
              <w:bottom w:val="nil"/>
              <w:right w:val="single" w:sz="4" w:space="0" w:color="auto"/>
            </w:tcBorders>
            <w:shd w:val="clear" w:color="auto" w:fill="auto"/>
            <w:noWrap/>
            <w:vAlign w:val="bottom"/>
            <w:hideMark/>
          </w:tcPr>
          <w:p w14:paraId="2A8A7109"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1C1F2271"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7178F70E"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48AAC228" w14:textId="77777777" w:rsidR="00D215BD" w:rsidRPr="001314CA" w:rsidRDefault="00D215BD" w:rsidP="00D215BD">
            <w:pPr>
              <w:spacing w:before="0"/>
              <w:rPr>
                <w:rFonts w:ascii="Times New Roman" w:hAnsi="Times New Roman"/>
                <w:sz w:val="22"/>
                <w:szCs w:val="22"/>
              </w:rPr>
            </w:pPr>
          </w:p>
        </w:tc>
      </w:tr>
      <w:tr w:rsidR="00D215BD" w:rsidRPr="001314CA" w14:paraId="69468A05" w14:textId="77777777" w:rsidTr="00D215BD">
        <w:trPr>
          <w:trHeight w:val="300"/>
          <w:jc w:val="center"/>
        </w:trPr>
        <w:tc>
          <w:tcPr>
            <w:tcW w:w="4672" w:type="dxa"/>
            <w:tcBorders>
              <w:top w:val="nil"/>
              <w:left w:val="single" w:sz="4" w:space="0" w:color="auto"/>
              <w:bottom w:val="single" w:sz="4" w:space="0" w:color="auto"/>
              <w:right w:val="single" w:sz="4" w:space="0" w:color="auto"/>
            </w:tcBorders>
            <w:shd w:val="clear" w:color="auto" w:fill="auto"/>
            <w:vAlign w:val="bottom"/>
            <w:hideMark/>
          </w:tcPr>
          <w:p w14:paraId="1958A34F"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Orange Mali SA, Bamako</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787DC9DD" w14:textId="77777777" w:rsidR="00D215BD" w:rsidRPr="001314CA" w:rsidRDefault="00D215BD" w:rsidP="00D215BD">
            <w:pPr>
              <w:spacing w:before="0"/>
              <w:jc w:val="center"/>
              <w:rPr>
                <w:rFonts w:cs="Calibri"/>
                <w:sz w:val="22"/>
                <w:szCs w:val="22"/>
              </w:rPr>
            </w:pPr>
            <w:r w:rsidRPr="001314CA">
              <w:rPr>
                <w:rFonts w:cs="Calibri"/>
                <w:sz w:val="22"/>
                <w:szCs w:val="22"/>
              </w:rPr>
              <w:t>2018</w:t>
            </w:r>
          </w:p>
        </w:tc>
        <w:tc>
          <w:tcPr>
            <w:tcW w:w="1468" w:type="dxa"/>
            <w:tcBorders>
              <w:top w:val="nil"/>
              <w:left w:val="single" w:sz="4" w:space="0" w:color="auto"/>
              <w:bottom w:val="single" w:sz="4" w:space="0" w:color="auto"/>
              <w:right w:val="single" w:sz="4" w:space="0" w:color="auto"/>
            </w:tcBorders>
            <w:shd w:val="clear" w:color="auto" w:fill="auto"/>
            <w:noWrap/>
            <w:vAlign w:val="bottom"/>
            <w:hideMark/>
          </w:tcPr>
          <w:p w14:paraId="0CB61E05" w14:textId="77777777" w:rsidR="00D215BD" w:rsidRPr="001314CA" w:rsidRDefault="00D215BD" w:rsidP="00D215BD">
            <w:pPr>
              <w:spacing w:before="0"/>
              <w:jc w:val="right"/>
              <w:rPr>
                <w:rFonts w:cs="Calibri"/>
                <w:sz w:val="22"/>
                <w:szCs w:val="22"/>
              </w:rPr>
            </w:pPr>
            <w:r w:rsidRPr="001314CA">
              <w:rPr>
                <w:rFonts w:cs="Calibri"/>
                <w:sz w:val="22"/>
                <w:szCs w:val="22"/>
              </w:rPr>
              <w:t>3 003,85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41AA6DAC"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23E40BE" w14:textId="77777777" w:rsidR="00D215BD" w:rsidRPr="001314CA" w:rsidRDefault="00D215BD" w:rsidP="00D215BD">
            <w:pPr>
              <w:spacing w:before="0"/>
              <w:jc w:val="right"/>
              <w:rPr>
                <w:rFonts w:cs="Calibri"/>
                <w:sz w:val="22"/>
                <w:szCs w:val="22"/>
              </w:rPr>
            </w:pPr>
            <w:r w:rsidRPr="001314CA">
              <w:rPr>
                <w:rFonts w:cs="Calibri"/>
                <w:sz w:val="22"/>
                <w:szCs w:val="22"/>
              </w:rPr>
              <w:t>3 003,85</w:t>
            </w:r>
          </w:p>
        </w:tc>
      </w:tr>
    </w:tbl>
    <w:p w14:paraId="5229C93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r w:rsidRPr="001314CA">
        <w:br w:type="page"/>
      </w:r>
    </w:p>
    <w:tbl>
      <w:tblPr>
        <w:tblW w:w="10343" w:type="dxa"/>
        <w:jc w:val="center"/>
        <w:tblLook w:val="04A0" w:firstRow="1" w:lastRow="0" w:firstColumn="1" w:lastColumn="0" w:noHBand="0" w:noVBand="1"/>
      </w:tblPr>
      <w:tblGrid>
        <w:gridCol w:w="4723"/>
        <w:gridCol w:w="1311"/>
        <w:gridCol w:w="1559"/>
        <w:gridCol w:w="1333"/>
        <w:gridCol w:w="1417"/>
      </w:tblGrid>
      <w:tr w:rsidR="00D215BD" w:rsidRPr="001314CA" w14:paraId="7E52B79B" w14:textId="77777777" w:rsidTr="00D215BD">
        <w:trPr>
          <w:trHeight w:val="300"/>
          <w:jc w:val="center"/>
        </w:trPr>
        <w:tc>
          <w:tcPr>
            <w:tcW w:w="4723" w:type="dxa"/>
            <w:tcBorders>
              <w:top w:val="single" w:sz="4" w:space="0" w:color="auto"/>
              <w:left w:val="single" w:sz="4" w:space="0" w:color="auto"/>
              <w:bottom w:val="single" w:sz="4" w:space="0" w:color="auto"/>
              <w:right w:val="single" w:sz="4" w:space="0" w:color="auto"/>
            </w:tcBorders>
            <w:shd w:val="clear" w:color="auto" w:fill="auto"/>
            <w:vAlign w:val="bottom"/>
          </w:tcPr>
          <w:p w14:paraId="2819364C" w14:textId="77777777" w:rsidR="00D215BD" w:rsidRPr="001314CA" w:rsidRDefault="00D215BD" w:rsidP="00D215BD">
            <w:pPr>
              <w:spacing w:after="120"/>
              <w:rPr>
                <w:rFonts w:cs="Calibri"/>
                <w:b/>
                <w:bCs/>
                <w:sz w:val="22"/>
                <w:szCs w:val="22"/>
              </w:rPr>
            </w:pPr>
            <w:r w:rsidRPr="001314CA">
              <w:rPr>
                <w:rFonts w:asciiTheme="minorHAnsi" w:hAnsiTheme="minorHAnsi"/>
                <w:b/>
                <w:sz w:val="22"/>
                <w:szCs w:val="22"/>
              </w:rPr>
              <w:lastRenderedPageBreak/>
              <w:t>B</w:t>
            </w:r>
            <w:r w:rsidRPr="001314CA">
              <w:rPr>
                <w:rFonts w:asciiTheme="minorHAnsi" w:hAnsiTheme="minorHAnsi"/>
                <w:b/>
                <w:sz w:val="22"/>
                <w:szCs w:val="22"/>
              </w:rPr>
              <w:tab/>
              <w:t>Membres de Secteur et autres entités</w:t>
            </w:r>
          </w:p>
        </w:tc>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6A44C9FD" w14:textId="77777777" w:rsidR="00D215BD" w:rsidRPr="001314CA" w:rsidRDefault="00D215BD" w:rsidP="00D215BD">
            <w:pPr>
              <w:jc w:val="center"/>
              <w:rPr>
                <w:rFonts w:cs="Calibri"/>
                <w:b/>
                <w:bCs/>
                <w:sz w:val="22"/>
                <w:szCs w:val="22"/>
              </w:rPr>
            </w:pPr>
            <w:r w:rsidRPr="001314CA">
              <w:rPr>
                <w:rFonts w:asciiTheme="minorHAnsi" w:hAnsiTheme="minorHAnsi"/>
                <w:b/>
                <w:sz w:val="22"/>
                <w:szCs w:val="22"/>
                <w:lang w:eastAsia="zh-CN"/>
              </w:rPr>
              <w:t>Année</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C05DA94" w14:textId="77777777" w:rsidR="00D215BD" w:rsidRPr="001314CA" w:rsidRDefault="00D215BD" w:rsidP="00D215BD">
            <w:pPr>
              <w:jc w:val="center"/>
              <w:rPr>
                <w:rFonts w:ascii="Times New Roman" w:hAnsi="Times New Roman"/>
                <w:sz w:val="22"/>
                <w:szCs w:val="22"/>
              </w:rPr>
            </w:pPr>
            <w:r w:rsidRPr="001314CA">
              <w:rPr>
                <w:rFonts w:asciiTheme="minorHAnsi" w:hAnsiTheme="minorHAnsi"/>
                <w:b/>
                <w:sz w:val="22"/>
                <w:szCs w:val="22"/>
                <w:lang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tcPr>
          <w:p w14:paraId="379F60A5" w14:textId="77777777" w:rsidR="00D215BD" w:rsidRPr="001314CA" w:rsidRDefault="00D215BD" w:rsidP="00D215BD">
            <w:pPr>
              <w:jc w:val="center"/>
              <w:rPr>
                <w:rFonts w:ascii="Times New Roman" w:hAnsi="Times New Roman"/>
                <w:sz w:val="22"/>
                <w:szCs w:val="22"/>
              </w:rPr>
            </w:pPr>
            <w:r w:rsidRPr="001314CA">
              <w:rPr>
                <w:rFonts w:asciiTheme="minorHAnsi" w:hAnsiTheme="minorHAnsi"/>
                <w:b/>
                <w:sz w:val="22"/>
                <w:szCs w:val="22"/>
                <w:lang w:eastAsia="zh-CN"/>
              </w:rPr>
              <w:t>Publications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84B5D99" w14:textId="77777777" w:rsidR="00D215BD" w:rsidRPr="001314CA" w:rsidRDefault="00D215BD" w:rsidP="00D215BD">
            <w:pPr>
              <w:jc w:val="center"/>
              <w:rPr>
                <w:rFonts w:ascii="Times New Roman" w:hAnsi="Times New Roman"/>
                <w:sz w:val="22"/>
                <w:szCs w:val="22"/>
              </w:rPr>
            </w:pPr>
            <w:r w:rsidRPr="001314CA">
              <w:rPr>
                <w:rFonts w:asciiTheme="minorHAnsi" w:hAnsiTheme="minorHAnsi"/>
                <w:b/>
                <w:sz w:val="22"/>
                <w:szCs w:val="22"/>
                <w:lang w:eastAsia="zh-CN"/>
              </w:rPr>
              <w:t>Total</w:t>
            </w:r>
          </w:p>
        </w:tc>
      </w:tr>
      <w:tr w:rsidR="00D215BD" w:rsidRPr="001314CA" w14:paraId="3A28DC38"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465AAD6B" w14:textId="77777777" w:rsidR="00D215BD" w:rsidRPr="001314CA" w:rsidRDefault="00D215BD" w:rsidP="00D215BD">
            <w:pPr>
              <w:tabs>
                <w:tab w:val="clear" w:pos="567"/>
              </w:tabs>
              <w:spacing w:before="0"/>
              <w:ind w:left="317" w:hanging="317"/>
              <w:rPr>
                <w:rFonts w:cs="Calibri"/>
                <w:b/>
                <w:bCs/>
                <w:sz w:val="22"/>
                <w:szCs w:val="22"/>
              </w:rPr>
            </w:pPr>
            <w:r w:rsidRPr="001314CA">
              <w:rPr>
                <w:b/>
                <w:sz w:val="22"/>
                <w:szCs w:val="22"/>
              </w:rPr>
              <w:t>Mauritanie</w:t>
            </w:r>
          </w:p>
        </w:tc>
        <w:tc>
          <w:tcPr>
            <w:tcW w:w="1311" w:type="dxa"/>
            <w:tcBorders>
              <w:top w:val="nil"/>
              <w:left w:val="single" w:sz="4" w:space="0" w:color="auto"/>
              <w:bottom w:val="nil"/>
              <w:right w:val="single" w:sz="4" w:space="0" w:color="auto"/>
            </w:tcBorders>
            <w:shd w:val="clear" w:color="auto" w:fill="auto"/>
            <w:noWrap/>
            <w:vAlign w:val="bottom"/>
            <w:hideMark/>
          </w:tcPr>
          <w:p w14:paraId="1FBBC24E"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0119FB6A"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5CCEB326"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00BBA801" w14:textId="77777777" w:rsidR="00D215BD" w:rsidRPr="001314CA" w:rsidRDefault="00D215BD" w:rsidP="00D215BD">
            <w:pPr>
              <w:spacing w:before="0"/>
              <w:rPr>
                <w:rFonts w:ascii="Times New Roman" w:hAnsi="Times New Roman"/>
                <w:sz w:val="22"/>
                <w:szCs w:val="22"/>
              </w:rPr>
            </w:pPr>
          </w:p>
        </w:tc>
      </w:tr>
      <w:tr w:rsidR="00D215BD" w:rsidRPr="001314CA" w14:paraId="210F321E" w14:textId="77777777" w:rsidTr="00D215BD">
        <w:trPr>
          <w:trHeight w:val="600"/>
          <w:jc w:val="center"/>
        </w:trPr>
        <w:tc>
          <w:tcPr>
            <w:tcW w:w="4723" w:type="dxa"/>
            <w:tcBorders>
              <w:top w:val="nil"/>
              <w:left w:val="single" w:sz="4" w:space="0" w:color="auto"/>
              <w:bottom w:val="nil"/>
              <w:right w:val="single" w:sz="4" w:space="0" w:color="auto"/>
            </w:tcBorders>
            <w:shd w:val="clear" w:color="auto" w:fill="auto"/>
            <w:vAlign w:val="bottom"/>
            <w:hideMark/>
          </w:tcPr>
          <w:p w14:paraId="4C95307A" w14:textId="77777777" w:rsidR="00D215BD" w:rsidRPr="001314CA" w:rsidRDefault="00D215BD" w:rsidP="00D215BD">
            <w:pPr>
              <w:tabs>
                <w:tab w:val="clear" w:pos="567"/>
              </w:tabs>
              <w:spacing w:before="0"/>
              <w:ind w:left="317" w:hanging="317"/>
              <w:rPr>
                <w:rFonts w:cs="Calibri"/>
                <w:sz w:val="22"/>
                <w:szCs w:val="22"/>
              </w:rPr>
            </w:pPr>
            <w:r w:rsidRPr="001314CA">
              <w:rPr>
                <w:rFonts w:asciiTheme="minorHAnsi" w:eastAsia="Batang" w:hAnsiTheme="minorHAnsi"/>
                <w:sz w:val="22"/>
                <w:szCs w:val="22"/>
              </w:rPr>
              <w:t>–</w:t>
            </w:r>
            <w:r w:rsidRPr="001314CA">
              <w:rPr>
                <w:rFonts w:asciiTheme="minorHAnsi" w:eastAsia="Batang" w:hAnsiTheme="minorHAnsi"/>
                <w:sz w:val="22"/>
                <w:szCs w:val="22"/>
              </w:rPr>
              <w:tab/>
              <w:t>Agence de Promotion de l'Accès Universel aux Services (APAUS), Nouakchott</w:t>
            </w:r>
          </w:p>
        </w:tc>
        <w:tc>
          <w:tcPr>
            <w:tcW w:w="1311" w:type="dxa"/>
            <w:tcBorders>
              <w:top w:val="nil"/>
              <w:left w:val="single" w:sz="4" w:space="0" w:color="auto"/>
              <w:bottom w:val="nil"/>
              <w:right w:val="single" w:sz="4" w:space="0" w:color="auto"/>
            </w:tcBorders>
            <w:shd w:val="clear" w:color="auto" w:fill="auto"/>
            <w:noWrap/>
            <w:vAlign w:val="bottom"/>
            <w:hideMark/>
          </w:tcPr>
          <w:p w14:paraId="12719F5A" w14:textId="77777777" w:rsidR="00D215BD" w:rsidRPr="001314CA" w:rsidRDefault="00D215BD" w:rsidP="00D215BD">
            <w:pPr>
              <w:spacing w:before="0"/>
              <w:jc w:val="center"/>
              <w:rPr>
                <w:rFonts w:cs="Calibri"/>
                <w:sz w:val="22"/>
                <w:szCs w:val="22"/>
              </w:rPr>
            </w:pPr>
            <w:r w:rsidRPr="001314CA">
              <w:rPr>
                <w:rFonts w:cs="Calibri"/>
                <w:sz w:val="22"/>
                <w:szCs w:val="22"/>
              </w:rPr>
              <w:t>2012</w:t>
            </w:r>
          </w:p>
        </w:tc>
        <w:tc>
          <w:tcPr>
            <w:tcW w:w="1559" w:type="dxa"/>
            <w:tcBorders>
              <w:top w:val="nil"/>
              <w:left w:val="single" w:sz="4" w:space="0" w:color="auto"/>
              <w:bottom w:val="nil"/>
              <w:right w:val="single" w:sz="4" w:space="0" w:color="auto"/>
            </w:tcBorders>
            <w:shd w:val="clear" w:color="auto" w:fill="auto"/>
            <w:noWrap/>
            <w:vAlign w:val="bottom"/>
            <w:hideMark/>
          </w:tcPr>
          <w:p w14:paraId="2BFAE9CE" w14:textId="77777777" w:rsidR="00D215BD" w:rsidRPr="001314CA" w:rsidRDefault="00D215BD" w:rsidP="00D215BD">
            <w:pPr>
              <w:spacing w:before="0"/>
              <w:jc w:val="right"/>
              <w:rPr>
                <w:rFonts w:cs="Calibri"/>
                <w:sz w:val="22"/>
                <w:szCs w:val="22"/>
              </w:rPr>
            </w:pPr>
            <w:r w:rsidRPr="001314CA">
              <w:rPr>
                <w:rFonts w:cs="Calibri"/>
                <w:sz w:val="22"/>
                <w:szCs w:val="22"/>
              </w:rPr>
              <w:t>6 573,15</w:t>
            </w:r>
          </w:p>
        </w:tc>
        <w:tc>
          <w:tcPr>
            <w:tcW w:w="1333" w:type="dxa"/>
            <w:tcBorders>
              <w:top w:val="nil"/>
              <w:left w:val="single" w:sz="4" w:space="0" w:color="auto"/>
              <w:bottom w:val="nil"/>
              <w:right w:val="single" w:sz="4" w:space="0" w:color="auto"/>
            </w:tcBorders>
            <w:shd w:val="clear" w:color="auto" w:fill="auto"/>
            <w:noWrap/>
            <w:vAlign w:val="bottom"/>
            <w:hideMark/>
          </w:tcPr>
          <w:p w14:paraId="53E860D2"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4D74217" w14:textId="77777777" w:rsidR="00D215BD" w:rsidRPr="001314CA" w:rsidRDefault="00D215BD" w:rsidP="00D215BD">
            <w:pPr>
              <w:spacing w:before="0"/>
              <w:jc w:val="right"/>
              <w:rPr>
                <w:rFonts w:cs="Calibri"/>
                <w:sz w:val="22"/>
                <w:szCs w:val="22"/>
              </w:rPr>
            </w:pPr>
            <w:r w:rsidRPr="001314CA">
              <w:rPr>
                <w:rFonts w:cs="Calibri"/>
                <w:sz w:val="22"/>
                <w:szCs w:val="22"/>
              </w:rPr>
              <w:t>6 573,15</w:t>
            </w:r>
          </w:p>
        </w:tc>
      </w:tr>
      <w:tr w:rsidR="00D215BD" w:rsidRPr="001314CA" w14:paraId="459A59BC"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5F02607E" w14:textId="77777777" w:rsidR="00D215BD" w:rsidRPr="001314CA" w:rsidRDefault="00D215BD" w:rsidP="00D215BD">
            <w:pPr>
              <w:tabs>
                <w:tab w:val="clear" w:pos="567"/>
              </w:tabs>
              <w:spacing w:before="0"/>
              <w:ind w:left="317" w:hanging="317"/>
              <w:rPr>
                <w:rFonts w:cs="Calibri"/>
                <w:sz w:val="22"/>
                <w:szCs w:val="22"/>
              </w:rPr>
            </w:pPr>
            <w:r w:rsidRPr="001314CA">
              <w:rPr>
                <w:rFonts w:asciiTheme="minorHAnsi" w:eastAsia="Batang" w:hAnsiTheme="minorHAnsi"/>
                <w:sz w:val="22"/>
                <w:szCs w:val="22"/>
              </w:rPr>
              <w:t>–</w:t>
            </w:r>
            <w:r w:rsidRPr="001314CA">
              <w:rPr>
                <w:rFonts w:asciiTheme="minorHAnsi" w:eastAsia="Batang" w:hAnsiTheme="minorHAnsi"/>
                <w:sz w:val="22"/>
                <w:szCs w:val="22"/>
              </w:rPr>
              <w:tab/>
            </w:r>
            <w:proofErr w:type="spellStart"/>
            <w:r w:rsidRPr="001314CA">
              <w:rPr>
                <w:rFonts w:asciiTheme="minorHAnsi" w:eastAsia="Batang" w:hAnsiTheme="minorHAnsi"/>
                <w:sz w:val="22"/>
                <w:szCs w:val="22"/>
              </w:rPr>
              <w:t>Chinguitel</w:t>
            </w:r>
            <w:proofErr w:type="spellEnd"/>
            <w:r w:rsidRPr="001314CA">
              <w:rPr>
                <w:rFonts w:asciiTheme="minorHAnsi" w:eastAsia="Batang" w:hAnsiTheme="minorHAnsi"/>
                <w:sz w:val="22"/>
                <w:szCs w:val="22"/>
              </w:rPr>
              <w:t xml:space="preserve"> S.A., Nouakchott</w:t>
            </w:r>
          </w:p>
        </w:tc>
        <w:tc>
          <w:tcPr>
            <w:tcW w:w="1311" w:type="dxa"/>
            <w:tcBorders>
              <w:top w:val="nil"/>
              <w:left w:val="single" w:sz="4" w:space="0" w:color="auto"/>
              <w:bottom w:val="nil"/>
              <w:right w:val="single" w:sz="4" w:space="0" w:color="auto"/>
            </w:tcBorders>
            <w:shd w:val="clear" w:color="auto" w:fill="auto"/>
            <w:noWrap/>
            <w:vAlign w:val="bottom"/>
            <w:hideMark/>
          </w:tcPr>
          <w:p w14:paraId="793CB96E" w14:textId="77777777" w:rsidR="00D215BD" w:rsidRPr="001314CA" w:rsidRDefault="00D215BD" w:rsidP="00D215BD">
            <w:pPr>
              <w:spacing w:before="0"/>
              <w:jc w:val="center"/>
              <w:rPr>
                <w:rFonts w:cs="Calibri"/>
                <w:sz w:val="22"/>
                <w:szCs w:val="22"/>
              </w:rPr>
            </w:pPr>
            <w:r w:rsidRPr="001314CA">
              <w:rPr>
                <w:rFonts w:cs="Calibri"/>
                <w:sz w:val="22"/>
                <w:szCs w:val="22"/>
              </w:rPr>
              <w:t>2013-2015</w:t>
            </w:r>
          </w:p>
        </w:tc>
        <w:tc>
          <w:tcPr>
            <w:tcW w:w="1559" w:type="dxa"/>
            <w:tcBorders>
              <w:top w:val="nil"/>
              <w:left w:val="single" w:sz="4" w:space="0" w:color="auto"/>
              <w:bottom w:val="nil"/>
              <w:right w:val="single" w:sz="4" w:space="0" w:color="auto"/>
            </w:tcBorders>
            <w:shd w:val="clear" w:color="auto" w:fill="auto"/>
            <w:noWrap/>
            <w:vAlign w:val="bottom"/>
            <w:hideMark/>
          </w:tcPr>
          <w:p w14:paraId="29A2B43D" w14:textId="77777777" w:rsidR="00D215BD" w:rsidRPr="001314CA" w:rsidRDefault="00D215BD" w:rsidP="00D215BD">
            <w:pPr>
              <w:spacing w:before="0"/>
              <w:jc w:val="right"/>
              <w:rPr>
                <w:rFonts w:cs="Calibri"/>
                <w:sz w:val="22"/>
                <w:szCs w:val="22"/>
              </w:rPr>
            </w:pPr>
            <w:r w:rsidRPr="001314CA">
              <w:rPr>
                <w:rFonts w:cs="Calibri"/>
                <w:sz w:val="22"/>
                <w:szCs w:val="22"/>
              </w:rPr>
              <w:t>5 566,65</w:t>
            </w:r>
          </w:p>
        </w:tc>
        <w:tc>
          <w:tcPr>
            <w:tcW w:w="1333" w:type="dxa"/>
            <w:tcBorders>
              <w:top w:val="nil"/>
              <w:left w:val="single" w:sz="4" w:space="0" w:color="auto"/>
              <w:bottom w:val="nil"/>
              <w:right w:val="single" w:sz="4" w:space="0" w:color="auto"/>
            </w:tcBorders>
            <w:shd w:val="clear" w:color="auto" w:fill="auto"/>
            <w:noWrap/>
            <w:vAlign w:val="bottom"/>
            <w:hideMark/>
          </w:tcPr>
          <w:p w14:paraId="61E944A0"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4CFA9E5E" w14:textId="77777777" w:rsidR="00D215BD" w:rsidRPr="001314CA" w:rsidRDefault="00D215BD" w:rsidP="00D215BD">
            <w:pPr>
              <w:spacing w:before="0"/>
              <w:jc w:val="right"/>
              <w:rPr>
                <w:rFonts w:cs="Calibri"/>
                <w:sz w:val="22"/>
                <w:szCs w:val="22"/>
              </w:rPr>
            </w:pPr>
            <w:r w:rsidRPr="001314CA">
              <w:rPr>
                <w:rFonts w:cs="Calibri"/>
                <w:sz w:val="22"/>
                <w:szCs w:val="22"/>
              </w:rPr>
              <w:t>5 566,65</w:t>
            </w:r>
          </w:p>
        </w:tc>
      </w:tr>
      <w:tr w:rsidR="00D215BD" w:rsidRPr="001314CA" w14:paraId="304185AD" w14:textId="77777777" w:rsidTr="00D215BD">
        <w:trPr>
          <w:trHeight w:val="900"/>
          <w:jc w:val="center"/>
        </w:trPr>
        <w:tc>
          <w:tcPr>
            <w:tcW w:w="4723" w:type="dxa"/>
            <w:tcBorders>
              <w:top w:val="nil"/>
              <w:left w:val="single" w:sz="4" w:space="0" w:color="auto"/>
              <w:bottom w:val="nil"/>
              <w:right w:val="single" w:sz="4" w:space="0" w:color="auto"/>
            </w:tcBorders>
            <w:shd w:val="clear" w:color="auto" w:fill="auto"/>
            <w:vAlign w:val="bottom"/>
            <w:hideMark/>
          </w:tcPr>
          <w:p w14:paraId="4D71561D" w14:textId="77777777" w:rsidR="00D215BD" w:rsidRPr="001314CA" w:rsidRDefault="00D215BD" w:rsidP="00D215BD">
            <w:pPr>
              <w:tabs>
                <w:tab w:val="clear" w:pos="567"/>
              </w:tabs>
              <w:spacing w:before="0"/>
              <w:ind w:left="317" w:hanging="317"/>
              <w:rPr>
                <w:rFonts w:cs="Calibri"/>
                <w:sz w:val="22"/>
                <w:szCs w:val="22"/>
              </w:rPr>
            </w:pPr>
            <w:r w:rsidRPr="001314CA">
              <w:rPr>
                <w:rFonts w:asciiTheme="minorHAnsi" w:eastAsia="Batang" w:hAnsiTheme="minorHAnsi"/>
                <w:sz w:val="22"/>
                <w:szCs w:val="22"/>
              </w:rPr>
              <w:t>–</w:t>
            </w:r>
            <w:r w:rsidRPr="001314CA">
              <w:rPr>
                <w:rFonts w:asciiTheme="minorHAnsi" w:eastAsia="Batang" w:hAnsiTheme="minorHAnsi"/>
                <w:sz w:val="22"/>
                <w:szCs w:val="22"/>
              </w:rPr>
              <w:tab/>
              <w:t>Société mauritanienne des télécommunications (MAURITEL S.A.), Nouakchott</w:t>
            </w:r>
          </w:p>
        </w:tc>
        <w:tc>
          <w:tcPr>
            <w:tcW w:w="1311" w:type="dxa"/>
            <w:tcBorders>
              <w:top w:val="nil"/>
              <w:left w:val="single" w:sz="4" w:space="0" w:color="auto"/>
              <w:bottom w:val="nil"/>
              <w:right w:val="single" w:sz="4" w:space="0" w:color="auto"/>
            </w:tcBorders>
            <w:shd w:val="clear" w:color="auto" w:fill="auto"/>
            <w:noWrap/>
            <w:vAlign w:val="bottom"/>
            <w:hideMark/>
          </w:tcPr>
          <w:p w14:paraId="1001880E" w14:textId="77777777" w:rsidR="00D215BD" w:rsidRPr="001314CA" w:rsidRDefault="00D215BD" w:rsidP="00D215BD">
            <w:pPr>
              <w:spacing w:before="0"/>
              <w:jc w:val="center"/>
              <w:rPr>
                <w:rFonts w:cs="Calibri"/>
                <w:sz w:val="22"/>
                <w:szCs w:val="22"/>
              </w:rPr>
            </w:pPr>
            <w:r w:rsidRPr="001314CA">
              <w:rPr>
                <w:rFonts w:cs="Calibri"/>
                <w:sz w:val="22"/>
                <w:szCs w:val="22"/>
              </w:rPr>
              <w:t>2008</w:t>
            </w:r>
          </w:p>
        </w:tc>
        <w:tc>
          <w:tcPr>
            <w:tcW w:w="1559" w:type="dxa"/>
            <w:tcBorders>
              <w:top w:val="nil"/>
              <w:left w:val="single" w:sz="4" w:space="0" w:color="auto"/>
              <w:bottom w:val="nil"/>
              <w:right w:val="single" w:sz="4" w:space="0" w:color="auto"/>
            </w:tcBorders>
            <w:shd w:val="clear" w:color="auto" w:fill="auto"/>
            <w:noWrap/>
            <w:vAlign w:val="bottom"/>
            <w:hideMark/>
          </w:tcPr>
          <w:p w14:paraId="25CD3BAF" w14:textId="77777777" w:rsidR="00D215BD" w:rsidRPr="001314CA" w:rsidRDefault="00D215BD" w:rsidP="00D215BD">
            <w:pPr>
              <w:spacing w:before="0"/>
              <w:jc w:val="right"/>
              <w:rPr>
                <w:rFonts w:cs="Calibri"/>
                <w:sz w:val="22"/>
                <w:szCs w:val="22"/>
              </w:rPr>
            </w:pPr>
            <w:r w:rsidRPr="001314CA">
              <w:rPr>
                <w:rFonts w:cs="Calibri"/>
                <w:sz w:val="22"/>
                <w:szCs w:val="22"/>
              </w:rPr>
              <w:t>74 685,85</w:t>
            </w:r>
          </w:p>
        </w:tc>
        <w:tc>
          <w:tcPr>
            <w:tcW w:w="1333" w:type="dxa"/>
            <w:tcBorders>
              <w:top w:val="nil"/>
              <w:left w:val="single" w:sz="4" w:space="0" w:color="auto"/>
              <w:bottom w:val="nil"/>
              <w:right w:val="single" w:sz="4" w:space="0" w:color="auto"/>
            </w:tcBorders>
            <w:shd w:val="clear" w:color="auto" w:fill="auto"/>
            <w:noWrap/>
            <w:vAlign w:val="bottom"/>
            <w:hideMark/>
          </w:tcPr>
          <w:p w14:paraId="4D775DB3"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7526D8C" w14:textId="77777777" w:rsidR="00D215BD" w:rsidRPr="001314CA" w:rsidRDefault="00D215BD" w:rsidP="00D215BD">
            <w:pPr>
              <w:spacing w:before="0"/>
              <w:jc w:val="right"/>
              <w:rPr>
                <w:rFonts w:cs="Calibri"/>
                <w:sz w:val="22"/>
                <w:szCs w:val="22"/>
              </w:rPr>
            </w:pPr>
            <w:r w:rsidRPr="001314CA">
              <w:rPr>
                <w:rFonts w:cs="Calibri"/>
                <w:sz w:val="22"/>
                <w:szCs w:val="22"/>
              </w:rPr>
              <w:t>74 685,85</w:t>
            </w:r>
          </w:p>
        </w:tc>
      </w:tr>
      <w:tr w:rsidR="00D215BD" w:rsidRPr="001314CA" w14:paraId="4FADA322"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5CB21463" w14:textId="77777777" w:rsidR="00D215BD" w:rsidRPr="001314CA" w:rsidRDefault="00D215BD" w:rsidP="00D215BD">
            <w:pPr>
              <w:tabs>
                <w:tab w:val="clear" w:pos="567"/>
              </w:tabs>
              <w:spacing w:before="0"/>
              <w:ind w:left="317" w:hanging="317"/>
              <w:rPr>
                <w:rFonts w:cs="Calibri"/>
                <w:b/>
                <w:bCs/>
                <w:sz w:val="22"/>
                <w:szCs w:val="22"/>
              </w:rPr>
            </w:pPr>
            <w:r w:rsidRPr="001314CA">
              <w:rPr>
                <w:b/>
                <w:sz w:val="22"/>
                <w:szCs w:val="22"/>
              </w:rPr>
              <w:t>Mexique</w:t>
            </w:r>
          </w:p>
        </w:tc>
        <w:tc>
          <w:tcPr>
            <w:tcW w:w="1311" w:type="dxa"/>
            <w:tcBorders>
              <w:top w:val="nil"/>
              <w:left w:val="single" w:sz="4" w:space="0" w:color="auto"/>
              <w:bottom w:val="nil"/>
              <w:right w:val="single" w:sz="4" w:space="0" w:color="auto"/>
            </w:tcBorders>
            <w:shd w:val="clear" w:color="auto" w:fill="auto"/>
            <w:noWrap/>
            <w:vAlign w:val="bottom"/>
            <w:hideMark/>
          </w:tcPr>
          <w:p w14:paraId="36C5124D"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415BE2DF"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7D1B691D"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1F9C7127" w14:textId="77777777" w:rsidR="00D215BD" w:rsidRPr="001314CA" w:rsidRDefault="00D215BD" w:rsidP="00D215BD">
            <w:pPr>
              <w:spacing w:before="0"/>
              <w:rPr>
                <w:rFonts w:ascii="Times New Roman" w:hAnsi="Times New Roman"/>
                <w:sz w:val="22"/>
                <w:szCs w:val="22"/>
              </w:rPr>
            </w:pPr>
          </w:p>
        </w:tc>
      </w:tr>
      <w:tr w:rsidR="00D215BD" w:rsidRPr="001314CA" w14:paraId="18DF15FC"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53583182" w14:textId="77777777" w:rsidR="00D215BD" w:rsidRPr="001314CA" w:rsidRDefault="00D215BD" w:rsidP="00D215BD">
            <w:pPr>
              <w:tabs>
                <w:tab w:val="clear" w:pos="567"/>
              </w:tabs>
              <w:spacing w:before="0"/>
              <w:ind w:left="317" w:hanging="317"/>
              <w:rPr>
                <w:rFonts w:cs="Calibri"/>
                <w:sz w:val="22"/>
                <w:szCs w:val="22"/>
              </w:rPr>
            </w:pPr>
            <w:r w:rsidRPr="001314CA">
              <w:rPr>
                <w:rFonts w:asciiTheme="minorHAnsi" w:eastAsia="Batang" w:hAnsiTheme="minorHAnsi"/>
                <w:sz w:val="22"/>
                <w:szCs w:val="22"/>
              </w:rPr>
              <w:t>–</w:t>
            </w:r>
            <w:r w:rsidRPr="001314CA">
              <w:rPr>
                <w:rFonts w:asciiTheme="minorHAnsi" w:eastAsia="Batang" w:hAnsiTheme="minorHAnsi"/>
                <w:sz w:val="22"/>
                <w:szCs w:val="22"/>
              </w:rPr>
              <w:tab/>
              <w:t>CANITEC, Mexico</w:t>
            </w:r>
          </w:p>
        </w:tc>
        <w:tc>
          <w:tcPr>
            <w:tcW w:w="1311" w:type="dxa"/>
            <w:tcBorders>
              <w:top w:val="nil"/>
              <w:left w:val="single" w:sz="4" w:space="0" w:color="auto"/>
              <w:bottom w:val="nil"/>
              <w:right w:val="single" w:sz="4" w:space="0" w:color="auto"/>
            </w:tcBorders>
            <w:shd w:val="clear" w:color="auto" w:fill="auto"/>
            <w:noWrap/>
            <w:vAlign w:val="bottom"/>
            <w:hideMark/>
          </w:tcPr>
          <w:p w14:paraId="7970201D" w14:textId="77777777" w:rsidR="00D215BD" w:rsidRPr="001314CA" w:rsidRDefault="00D215BD" w:rsidP="00D215BD">
            <w:pPr>
              <w:spacing w:before="0"/>
              <w:jc w:val="center"/>
              <w:rPr>
                <w:rFonts w:cs="Calibri"/>
                <w:sz w:val="22"/>
                <w:szCs w:val="22"/>
              </w:rPr>
            </w:pPr>
            <w:r w:rsidRPr="001314CA">
              <w:rPr>
                <w:rFonts w:cs="Calibri"/>
                <w:sz w:val="22"/>
                <w:szCs w:val="22"/>
              </w:rPr>
              <w:t>2011-2013</w:t>
            </w:r>
          </w:p>
        </w:tc>
        <w:tc>
          <w:tcPr>
            <w:tcW w:w="1559" w:type="dxa"/>
            <w:tcBorders>
              <w:top w:val="nil"/>
              <w:left w:val="single" w:sz="4" w:space="0" w:color="auto"/>
              <w:bottom w:val="nil"/>
              <w:right w:val="single" w:sz="4" w:space="0" w:color="auto"/>
            </w:tcBorders>
            <w:shd w:val="clear" w:color="auto" w:fill="auto"/>
            <w:noWrap/>
            <w:vAlign w:val="bottom"/>
            <w:hideMark/>
          </w:tcPr>
          <w:p w14:paraId="5D8CFB35" w14:textId="77777777" w:rsidR="00D215BD" w:rsidRPr="001314CA" w:rsidRDefault="00D215BD" w:rsidP="00D215BD">
            <w:pPr>
              <w:spacing w:before="0"/>
              <w:jc w:val="right"/>
              <w:rPr>
                <w:rFonts w:cs="Calibri"/>
                <w:sz w:val="22"/>
                <w:szCs w:val="22"/>
              </w:rPr>
            </w:pPr>
            <w:r w:rsidRPr="001314CA">
              <w:rPr>
                <w:rFonts w:cs="Calibri"/>
                <w:sz w:val="22"/>
                <w:szCs w:val="22"/>
              </w:rPr>
              <w:t>6 379,95</w:t>
            </w:r>
          </w:p>
        </w:tc>
        <w:tc>
          <w:tcPr>
            <w:tcW w:w="1333" w:type="dxa"/>
            <w:tcBorders>
              <w:top w:val="nil"/>
              <w:left w:val="single" w:sz="4" w:space="0" w:color="auto"/>
              <w:bottom w:val="nil"/>
              <w:right w:val="single" w:sz="4" w:space="0" w:color="auto"/>
            </w:tcBorders>
            <w:shd w:val="clear" w:color="auto" w:fill="auto"/>
            <w:noWrap/>
            <w:vAlign w:val="bottom"/>
            <w:hideMark/>
          </w:tcPr>
          <w:p w14:paraId="048E1811"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A3E08A9" w14:textId="77777777" w:rsidR="00D215BD" w:rsidRPr="001314CA" w:rsidRDefault="00D215BD" w:rsidP="00D215BD">
            <w:pPr>
              <w:spacing w:before="0"/>
              <w:jc w:val="right"/>
              <w:rPr>
                <w:rFonts w:cs="Calibri"/>
                <w:sz w:val="22"/>
                <w:szCs w:val="22"/>
              </w:rPr>
            </w:pPr>
            <w:r w:rsidRPr="001314CA">
              <w:rPr>
                <w:rFonts w:cs="Calibri"/>
                <w:sz w:val="22"/>
                <w:szCs w:val="22"/>
              </w:rPr>
              <w:t>6 379,95</w:t>
            </w:r>
          </w:p>
        </w:tc>
      </w:tr>
      <w:tr w:rsidR="00D215BD" w:rsidRPr="001314CA" w14:paraId="01D85CA7" w14:textId="77777777" w:rsidTr="00D215BD">
        <w:trPr>
          <w:trHeight w:val="600"/>
          <w:jc w:val="center"/>
        </w:trPr>
        <w:tc>
          <w:tcPr>
            <w:tcW w:w="4723" w:type="dxa"/>
            <w:tcBorders>
              <w:top w:val="nil"/>
              <w:left w:val="single" w:sz="4" w:space="0" w:color="auto"/>
              <w:bottom w:val="nil"/>
              <w:right w:val="single" w:sz="4" w:space="0" w:color="auto"/>
            </w:tcBorders>
            <w:shd w:val="clear" w:color="auto" w:fill="auto"/>
            <w:vAlign w:val="bottom"/>
            <w:hideMark/>
          </w:tcPr>
          <w:p w14:paraId="415B2F2D" w14:textId="77777777" w:rsidR="00D215BD" w:rsidRPr="001314CA" w:rsidRDefault="00D215BD" w:rsidP="00D215BD">
            <w:pPr>
              <w:tabs>
                <w:tab w:val="clear" w:pos="567"/>
              </w:tabs>
              <w:spacing w:before="0"/>
              <w:ind w:left="317" w:hanging="317"/>
              <w:rPr>
                <w:rFonts w:cs="Calibri"/>
                <w:sz w:val="22"/>
                <w:szCs w:val="22"/>
              </w:rPr>
            </w:pPr>
            <w:r w:rsidRPr="001314CA">
              <w:rPr>
                <w:rFonts w:asciiTheme="minorHAnsi" w:eastAsia="Batang" w:hAnsiTheme="minorHAnsi"/>
                <w:sz w:val="22"/>
                <w:szCs w:val="22"/>
              </w:rPr>
              <w:t>–</w:t>
            </w:r>
            <w:r w:rsidRPr="001314CA">
              <w:rPr>
                <w:rFonts w:asciiTheme="minorHAnsi" w:eastAsia="Batang" w:hAnsiTheme="minorHAnsi"/>
                <w:sz w:val="22"/>
                <w:szCs w:val="22"/>
              </w:rPr>
              <w:tab/>
              <w:t>École d'ingénieurs en mécanique et en électricité A.C., Mexico</w:t>
            </w:r>
          </w:p>
        </w:tc>
        <w:tc>
          <w:tcPr>
            <w:tcW w:w="1311" w:type="dxa"/>
            <w:tcBorders>
              <w:top w:val="nil"/>
              <w:left w:val="single" w:sz="4" w:space="0" w:color="auto"/>
              <w:bottom w:val="nil"/>
              <w:right w:val="single" w:sz="4" w:space="0" w:color="auto"/>
            </w:tcBorders>
            <w:shd w:val="clear" w:color="auto" w:fill="auto"/>
            <w:noWrap/>
            <w:vAlign w:val="bottom"/>
            <w:hideMark/>
          </w:tcPr>
          <w:p w14:paraId="622DA7E3" w14:textId="77777777" w:rsidR="00D215BD" w:rsidRPr="001314CA" w:rsidRDefault="00D215BD" w:rsidP="00D215BD">
            <w:pPr>
              <w:spacing w:before="0"/>
              <w:jc w:val="center"/>
              <w:rPr>
                <w:rFonts w:cs="Calibri"/>
                <w:sz w:val="22"/>
                <w:szCs w:val="22"/>
              </w:rPr>
            </w:pPr>
            <w:r w:rsidRPr="001314CA">
              <w:rPr>
                <w:rFonts w:cs="Calibri"/>
                <w:sz w:val="22"/>
                <w:szCs w:val="22"/>
              </w:rPr>
              <w:t>2018</w:t>
            </w:r>
          </w:p>
        </w:tc>
        <w:tc>
          <w:tcPr>
            <w:tcW w:w="1559" w:type="dxa"/>
            <w:tcBorders>
              <w:top w:val="nil"/>
              <w:left w:val="single" w:sz="4" w:space="0" w:color="auto"/>
              <w:bottom w:val="nil"/>
              <w:right w:val="single" w:sz="4" w:space="0" w:color="auto"/>
            </w:tcBorders>
            <w:shd w:val="clear" w:color="auto" w:fill="auto"/>
            <w:noWrap/>
            <w:vAlign w:val="bottom"/>
            <w:hideMark/>
          </w:tcPr>
          <w:p w14:paraId="0C8EA7CE" w14:textId="77777777" w:rsidR="00D215BD" w:rsidRPr="001314CA" w:rsidRDefault="00D215BD" w:rsidP="00D215BD">
            <w:pPr>
              <w:spacing w:before="0"/>
              <w:jc w:val="right"/>
              <w:rPr>
                <w:rFonts w:cs="Calibri"/>
                <w:sz w:val="22"/>
                <w:szCs w:val="22"/>
              </w:rPr>
            </w:pPr>
            <w:r w:rsidRPr="001314CA">
              <w:rPr>
                <w:rFonts w:cs="Calibri"/>
                <w:sz w:val="22"/>
                <w:szCs w:val="22"/>
              </w:rPr>
              <w:t>2 316,90</w:t>
            </w:r>
          </w:p>
        </w:tc>
        <w:tc>
          <w:tcPr>
            <w:tcW w:w="1333" w:type="dxa"/>
            <w:tcBorders>
              <w:top w:val="nil"/>
              <w:left w:val="single" w:sz="4" w:space="0" w:color="auto"/>
              <w:bottom w:val="nil"/>
              <w:right w:val="single" w:sz="4" w:space="0" w:color="auto"/>
            </w:tcBorders>
            <w:shd w:val="clear" w:color="auto" w:fill="auto"/>
            <w:noWrap/>
            <w:vAlign w:val="bottom"/>
            <w:hideMark/>
          </w:tcPr>
          <w:p w14:paraId="57C8325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36414A9E" w14:textId="77777777" w:rsidR="00D215BD" w:rsidRPr="001314CA" w:rsidRDefault="00D215BD" w:rsidP="00D215BD">
            <w:pPr>
              <w:spacing w:before="0"/>
              <w:jc w:val="right"/>
              <w:rPr>
                <w:rFonts w:cs="Calibri"/>
                <w:sz w:val="22"/>
                <w:szCs w:val="22"/>
              </w:rPr>
            </w:pPr>
            <w:r w:rsidRPr="001314CA">
              <w:rPr>
                <w:rFonts w:cs="Calibri"/>
                <w:sz w:val="22"/>
                <w:szCs w:val="22"/>
              </w:rPr>
              <w:t>2 316,90</w:t>
            </w:r>
          </w:p>
        </w:tc>
      </w:tr>
      <w:tr w:rsidR="00D215BD" w:rsidRPr="001314CA" w14:paraId="270DF381"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6467308F" w14:textId="77777777" w:rsidR="00D215BD" w:rsidRPr="001314CA" w:rsidRDefault="00D215BD" w:rsidP="00D215BD">
            <w:pPr>
              <w:tabs>
                <w:tab w:val="clear" w:pos="567"/>
              </w:tabs>
              <w:spacing w:before="0"/>
              <w:ind w:left="317" w:hanging="317"/>
              <w:rPr>
                <w:rFonts w:cs="Calibri"/>
                <w:b/>
                <w:bCs/>
                <w:sz w:val="22"/>
                <w:szCs w:val="22"/>
              </w:rPr>
            </w:pPr>
            <w:r w:rsidRPr="001314CA">
              <w:rPr>
                <w:b/>
                <w:sz w:val="22"/>
                <w:szCs w:val="22"/>
              </w:rPr>
              <w:t>Pays-Bas</w:t>
            </w:r>
          </w:p>
        </w:tc>
        <w:tc>
          <w:tcPr>
            <w:tcW w:w="1311" w:type="dxa"/>
            <w:tcBorders>
              <w:top w:val="nil"/>
              <w:left w:val="single" w:sz="4" w:space="0" w:color="auto"/>
              <w:bottom w:val="nil"/>
              <w:right w:val="single" w:sz="4" w:space="0" w:color="auto"/>
            </w:tcBorders>
            <w:shd w:val="clear" w:color="auto" w:fill="auto"/>
            <w:noWrap/>
            <w:vAlign w:val="bottom"/>
            <w:hideMark/>
          </w:tcPr>
          <w:p w14:paraId="65BEB923"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60D166BA"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5C5EE6CE"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3FC942A1" w14:textId="77777777" w:rsidR="00D215BD" w:rsidRPr="001314CA" w:rsidRDefault="00D215BD" w:rsidP="00D215BD">
            <w:pPr>
              <w:spacing w:before="0"/>
              <w:rPr>
                <w:rFonts w:ascii="Times New Roman" w:hAnsi="Times New Roman"/>
                <w:sz w:val="22"/>
                <w:szCs w:val="22"/>
              </w:rPr>
            </w:pPr>
          </w:p>
        </w:tc>
      </w:tr>
      <w:tr w:rsidR="00D215BD" w:rsidRPr="001314CA" w14:paraId="56BA4CA4"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5D436D9C" w14:textId="77777777" w:rsidR="00D215BD" w:rsidRPr="00513163" w:rsidRDefault="00D215BD" w:rsidP="00D215BD">
            <w:pPr>
              <w:tabs>
                <w:tab w:val="clear" w:pos="567"/>
              </w:tabs>
              <w:spacing w:before="0"/>
              <w:ind w:left="317" w:hanging="317"/>
              <w:rPr>
                <w:rFonts w:cs="Calibri"/>
                <w:sz w:val="22"/>
                <w:szCs w:val="22"/>
                <w:lang w:val="en-US"/>
              </w:rPr>
            </w:pPr>
            <w:r w:rsidRPr="00513163">
              <w:rPr>
                <w:rFonts w:asciiTheme="minorHAnsi" w:eastAsia="Batang" w:hAnsiTheme="minorHAnsi"/>
                <w:sz w:val="22"/>
                <w:szCs w:val="22"/>
                <w:lang w:val="en-US"/>
              </w:rPr>
              <w:t>–</w:t>
            </w:r>
            <w:r w:rsidRPr="00513163">
              <w:rPr>
                <w:rFonts w:asciiTheme="minorHAnsi" w:eastAsia="Batang" w:hAnsiTheme="minorHAnsi"/>
                <w:sz w:val="22"/>
                <w:szCs w:val="22"/>
                <w:lang w:val="en-US"/>
              </w:rPr>
              <w:tab/>
            </w:r>
            <w:proofErr w:type="spellStart"/>
            <w:r w:rsidRPr="00513163">
              <w:rPr>
                <w:rFonts w:asciiTheme="minorHAnsi" w:eastAsia="Batang" w:hAnsiTheme="minorHAnsi"/>
                <w:sz w:val="22"/>
                <w:szCs w:val="22"/>
                <w:lang w:val="en-US"/>
              </w:rPr>
              <w:t>Smitcoms</w:t>
            </w:r>
            <w:proofErr w:type="spellEnd"/>
            <w:r w:rsidRPr="00513163">
              <w:rPr>
                <w:rFonts w:asciiTheme="minorHAnsi" w:eastAsia="Batang" w:hAnsiTheme="minorHAnsi"/>
                <w:sz w:val="22"/>
                <w:szCs w:val="22"/>
                <w:lang w:val="en-US"/>
              </w:rPr>
              <w:t xml:space="preserve"> N.V., Saint-Martin</w:t>
            </w:r>
          </w:p>
        </w:tc>
        <w:tc>
          <w:tcPr>
            <w:tcW w:w="1311" w:type="dxa"/>
            <w:tcBorders>
              <w:top w:val="nil"/>
              <w:left w:val="single" w:sz="4" w:space="0" w:color="auto"/>
              <w:bottom w:val="nil"/>
              <w:right w:val="single" w:sz="4" w:space="0" w:color="auto"/>
            </w:tcBorders>
            <w:shd w:val="clear" w:color="auto" w:fill="auto"/>
            <w:noWrap/>
            <w:vAlign w:val="bottom"/>
            <w:hideMark/>
          </w:tcPr>
          <w:p w14:paraId="7ED0DA07" w14:textId="77777777" w:rsidR="00D215BD" w:rsidRPr="001314CA" w:rsidRDefault="00D215BD" w:rsidP="00D215BD">
            <w:pPr>
              <w:spacing w:before="0"/>
              <w:jc w:val="center"/>
              <w:rPr>
                <w:rFonts w:cs="Calibri"/>
                <w:sz w:val="22"/>
                <w:szCs w:val="22"/>
              </w:rPr>
            </w:pPr>
            <w:r w:rsidRPr="001314CA">
              <w:rPr>
                <w:rFonts w:cs="Calibri"/>
                <w:sz w:val="22"/>
                <w:szCs w:val="22"/>
              </w:rPr>
              <w:t>2004-2007</w:t>
            </w:r>
          </w:p>
        </w:tc>
        <w:tc>
          <w:tcPr>
            <w:tcW w:w="1559" w:type="dxa"/>
            <w:tcBorders>
              <w:top w:val="nil"/>
              <w:left w:val="single" w:sz="4" w:space="0" w:color="auto"/>
              <w:bottom w:val="nil"/>
              <w:right w:val="single" w:sz="4" w:space="0" w:color="auto"/>
            </w:tcBorders>
            <w:shd w:val="clear" w:color="auto" w:fill="auto"/>
            <w:noWrap/>
            <w:vAlign w:val="bottom"/>
            <w:hideMark/>
          </w:tcPr>
          <w:p w14:paraId="2D492F03" w14:textId="77777777" w:rsidR="00D215BD" w:rsidRPr="001314CA" w:rsidRDefault="00D215BD" w:rsidP="00D215BD">
            <w:pPr>
              <w:spacing w:before="0"/>
              <w:jc w:val="right"/>
              <w:rPr>
                <w:rFonts w:cs="Calibri"/>
                <w:sz w:val="22"/>
                <w:szCs w:val="22"/>
              </w:rPr>
            </w:pPr>
            <w:r w:rsidRPr="001314CA">
              <w:rPr>
                <w:rFonts w:cs="Calibri"/>
                <w:sz w:val="22"/>
                <w:szCs w:val="22"/>
              </w:rPr>
              <w:t>612 530,80</w:t>
            </w:r>
          </w:p>
        </w:tc>
        <w:tc>
          <w:tcPr>
            <w:tcW w:w="1333" w:type="dxa"/>
            <w:tcBorders>
              <w:top w:val="nil"/>
              <w:left w:val="single" w:sz="4" w:space="0" w:color="auto"/>
              <w:bottom w:val="nil"/>
              <w:right w:val="single" w:sz="4" w:space="0" w:color="auto"/>
            </w:tcBorders>
            <w:shd w:val="clear" w:color="auto" w:fill="auto"/>
            <w:noWrap/>
            <w:vAlign w:val="bottom"/>
            <w:hideMark/>
          </w:tcPr>
          <w:p w14:paraId="6B9D524A"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0D6AD6AC" w14:textId="77777777" w:rsidR="00D215BD" w:rsidRPr="001314CA" w:rsidRDefault="00D215BD" w:rsidP="00D215BD">
            <w:pPr>
              <w:spacing w:before="0"/>
              <w:jc w:val="right"/>
              <w:rPr>
                <w:rFonts w:cs="Calibri"/>
                <w:sz w:val="22"/>
                <w:szCs w:val="22"/>
              </w:rPr>
            </w:pPr>
            <w:r w:rsidRPr="001314CA">
              <w:rPr>
                <w:rFonts w:cs="Calibri"/>
                <w:sz w:val="22"/>
                <w:szCs w:val="22"/>
              </w:rPr>
              <w:t>612 530,80</w:t>
            </w:r>
          </w:p>
        </w:tc>
      </w:tr>
      <w:tr w:rsidR="00D215BD" w:rsidRPr="001314CA" w14:paraId="3EA789E6"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441B0658"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 xml:space="preserve">Pakistan </w:t>
            </w:r>
          </w:p>
        </w:tc>
        <w:tc>
          <w:tcPr>
            <w:tcW w:w="1311" w:type="dxa"/>
            <w:tcBorders>
              <w:top w:val="nil"/>
              <w:left w:val="single" w:sz="4" w:space="0" w:color="auto"/>
              <w:bottom w:val="nil"/>
              <w:right w:val="single" w:sz="4" w:space="0" w:color="auto"/>
            </w:tcBorders>
            <w:shd w:val="clear" w:color="auto" w:fill="auto"/>
            <w:noWrap/>
            <w:vAlign w:val="bottom"/>
            <w:hideMark/>
          </w:tcPr>
          <w:p w14:paraId="5BCF44D8"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3990FB5E"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0A082A61"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764E8DEC" w14:textId="77777777" w:rsidR="00D215BD" w:rsidRPr="001314CA" w:rsidRDefault="00D215BD" w:rsidP="00D215BD">
            <w:pPr>
              <w:spacing w:before="0"/>
              <w:rPr>
                <w:rFonts w:ascii="Times New Roman" w:hAnsi="Times New Roman"/>
                <w:sz w:val="22"/>
                <w:szCs w:val="22"/>
              </w:rPr>
            </w:pPr>
          </w:p>
        </w:tc>
      </w:tr>
      <w:tr w:rsidR="00D215BD" w:rsidRPr="001314CA" w14:paraId="3FCF6DB7"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3C621D70"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CMPak</w:t>
            </w:r>
            <w:proofErr w:type="spellEnd"/>
            <w:r w:rsidRPr="001314CA">
              <w:rPr>
                <w:rFonts w:cs="Calibri"/>
                <w:sz w:val="22"/>
                <w:szCs w:val="22"/>
              </w:rPr>
              <w:t xml:space="preserve"> Limited, Islamabad</w:t>
            </w:r>
          </w:p>
        </w:tc>
        <w:tc>
          <w:tcPr>
            <w:tcW w:w="1311" w:type="dxa"/>
            <w:tcBorders>
              <w:top w:val="nil"/>
              <w:left w:val="single" w:sz="4" w:space="0" w:color="auto"/>
              <w:bottom w:val="nil"/>
              <w:right w:val="single" w:sz="4" w:space="0" w:color="auto"/>
            </w:tcBorders>
            <w:shd w:val="clear" w:color="auto" w:fill="auto"/>
            <w:noWrap/>
            <w:vAlign w:val="bottom"/>
            <w:hideMark/>
          </w:tcPr>
          <w:p w14:paraId="1B102636" w14:textId="77777777" w:rsidR="00D215BD" w:rsidRPr="001314CA" w:rsidRDefault="00D215BD" w:rsidP="00D215BD">
            <w:pPr>
              <w:spacing w:before="0"/>
              <w:jc w:val="center"/>
              <w:rPr>
                <w:rFonts w:cs="Calibri"/>
                <w:sz w:val="22"/>
                <w:szCs w:val="22"/>
              </w:rPr>
            </w:pPr>
            <w:r w:rsidRPr="001314CA">
              <w:rPr>
                <w:rFonts w:cs="Calibri"/>
                <w:sz w:val="22"/>
                <w:szCs w:val="22"/>
              </w:rPr>
              <w:t>2015</w:t>
            </w:r>
          </w:p>
        </w:tc>
        <w:tc>
          <w:tcPr>
            <w:tcW w:w="1559" w:type="dxa"/>
            <w:tcBorders>
              <w:top w:val="nil"/>
              <w:left w:val="single" w:sz="4" w:space="0" w:color="auto"/>
              <w:bottom w:val="nil"/>
              <w:right w:val="single" w:sz="4" w:space="0" w:color="auto"/>
            </w:tcBorders>
            <w:shd w:val="clear" w:color="auto" w:fill="auto"/>
            <w:noWrap/>
            <w:vAlign w:val="bottom"/>
            <w:hideMark/>
          </w:tcPr>
          <w:p w14:paraId="559694E5" w14:textId="77777777" w:rsidR="00D215BD" w:rsidRPr="001314CA" w:rsidRDefault="00D215BD" w:rsidP="00D215BD">
            <w:pPr>
              <w:spacing w:before="0"/>
              <w:jc w:val="right"/>
              <w:rPr>
                <w:rFonts w:cs="Calibri"/>
                <w:sz w:val="22"/>
                <w:szCs w:val="22"/>
              </w:rPr>
            </w:pPr>
            <w:r w:rsidRPr="001314CA">
              <w:rPr>
                <w:rFonts w:cs="Calibri"/>
                <w:sz w:val="22"/>
                <w:szCs w:val="22"/>
              </w:rPr>
              <w:t>2 759,45</w:t>
            </w:r>
          </w:p>
        </w:tc>
        <w:tc>
          <w:tcPr>
            <w:tcW w:w="1333" w:type="dxa"/>
            <w:tcBorders>
              <w:top w:val="nil"/>
              <w:left w:val="single" w:sz="4" w:space="0" w:color="auto"/>
              <w:bottom w:val="nil"/>
              <w:right w:val="single" w:sz="4" w:space="0" w:color="auto"/>
            </w:tcBorders>
            <w:shd w:val="clear" w:color="auto" w:fill="auto"/>
            <w:noWrap/>
            <w:vAlign w:val="bottom"/>
            <w:hideMark/>
          </w:tcPr>
          <w:p w14:paraId="0CDB06A3"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499A4ED7" w14:textId="77777777" w:rsidR="00D215BD" w:rsidRPr="001314CA" w:rsidRDefault="00D215BD" w:rsidP="00D215BD">
            <w:pPr>
              <w:spacing w:before="0"/>
              <w:jc w:val="right"/>
              <w:rPr>
                <w:rFonts w:cs="Calibri"/>
                <w:sz w:val="22"/>
                <w:szCs w:val="22"/>
              </w:rPr>
            </w:pPr>
            <w:r w:rsidRPr="001314CA">
              <w:rPr>
                <w:rFonts w:cs="Calibri"/>
                <w:sz w:val="22"/>
                <w:szCs w:val="22"/>
              </w:rPr>
              <w:t>2 759,45</w:t>
            </w:r>
          </w:p>
        </w:tc>
      </w:tr>
      <w:tr w:rsidR="00D215BD" w:rsidRPr="001314CA" w14:paraId="4CF31311"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13B0D6A1"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e </w:t>
            </w:r>
            <w:proofErr w:type="spellStart"/>
            <w:r w:rsidRPr="001314CA">
              <w:rPr>
                <w:rFonts w:cs="Calibri"/>
                <w:sz w:val="22"/>
                <w:szCs w:val="22"/>
              </w:rPr>
              <w:t>Worlwide</w:t>
            </w:r>
            <w:proofErr w:type="spellEnd"/>
            <w:r w:rsidRPr="001314CA">
              <w:rPr>
                <w:rFonts w:cs="Calibri"/>
                <w:sz w:val="22"/>
                <w:szCs w:val="22"/>
              </w:rPr>
              <w:t xml:space="preserve"> Group, Islamabad</w:t>
            </w:r>
          </w:p>
        </w:tc>
        <w:tc>
          <w:tcPr>
            <w:tcW w:w="1311" w:type="dxa"/>
            <w:tcBorders>
              <w:top w:val="nil"/>
              <w:left w:val="single" w:sz="4" w:space="0" w:color="auto"/>
              <w:bottom w:val="nil"/>
              <w:right w:val="single" w:sz="4" w:space="0" w:color="auto"/>
            </w:tcBorders>
            <w:shd w:val="clear" w:color="auto" w:fill="auto"/>
            <w:noWrap/>
            <w:vAlign w:val="bottom"/>
            <w:hideMark/>
          </w:tcPr>
          <w:p w14:paraId="0226AD78" w14:textId="77777777" w:rsidR="00D215BD" w:rsidRPr="001314CA" w:rsidRDefault="00D215BD" w:rsidP="00D215BD">
            <w:pPr>
              <w:spacing w:before="0"/>
              <w:jc w:val="center"/>
              <w:rPr>
                <w:rFonts w:cs="Calibri"/>
                <w:sz w:val="22"/>
                <w:szCs w:val="22"/>
              </w:rPr>
            </w:pPr>
            <w:r w:rsidRPr="001314CA">
              <w:rPr>
                <w:rFonts w:cs="Calibri"/>
                <w:sz w:val="22"/>
                <w:szCs w:val="22"/>
              </w:rPr>
              <w:t>2011-2013</w:t>
            </w:r>
          </w:p>
        </w:tc>
        <w:tc>
          <w:tcPr>
            <w:tcW w:w="1559" w:type="dxa"/>
            <w:tcBorders>
              <w:top w:val="nil"/>
              <w:left w:val="single" w:sz="4" w:space="0" w:color="auto"/>
              <w:bottom w:val="nil"/>
              <w:right w:val="single" w:sz="4" w:space="0" w:color="auto"/>
            </w:tcBorders>
            <w:shd w:val="clear" w:color="auto" w:fill="auto"/>
            <w:noWrap/>
            <w:vAlign w:val="bottom"/>
            <w:hideMark/>
          </w:tcPr>
          <w:p w14:paraId="20D972F1" w14:textId="77777777" w:rsidR="00D215BD" w:rsidRPr="001314CA" w:rsidRDefault="00D215BD" w:rsidP="00D215BD">
            <w:pPr>
              <w:spacing w:before="0"/>
              <w:jc w:val="right"/>
              <w:rPr>
                <w:rFonts w:cs="Calibri"/>
                <w:sz w:val="22"/>
                <w:szCs w:val="22"/>
              </w:rPr>
            </w:pPr>
            <w:r w:rsidRPr="001314CA">
              <w:rPr>
                <w:rFonts w:cs="Calibri"/>
                <w:sz w:val="22"/>
                <w:szCs w:val="22"/>
              </w:rPr>
              <w:t>6 280,60</w:t>
            </w:r>
          </w:p>
        </w:tc>
        <w:tc>
          <w:tcPr>
            <w:tcW w:w="1333" w:type="dxa"/>
            <w:tcBorders>
              <w:top w:val="nil"/>
              <w:left w:val="single" w:sz="4" w:space="0" w:color="auto"/>
              <w:bottom w:val="nil"/>
              <w:right w:val="single" w:sz="4" w:space="0" w:color="auto"/>
            </w:tcBorders>
            <w:shd w:val="clear" w:color="auto" w:fill="auto"/>
            <w:noWrap/>
            <w:vAlign w:val="bottom"/>
            <w:hideMark/>
          </w:tcPr>
          <w:p w14:paraId="511B50A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FF31ED8" w14:textId="77777777" w:rsidR="00D215BD" w:rsidRPr="001314CA" w:rsidRDefault="00D215BD" w:rsidP="00D215BD">
            <w:pPr>
              <w:spacing w:before="0"/>
              <w:jc w:val="right"/>
              <w:rPr>
                <w:rFonts w:cs="Calibri"/>
                <w:sz w:val="22"/>
                <w:szCs w:val="22"/>
              </w:rPr>
            </w:pPr>
            <w:r w:rsidRPr="001314CA">
              <w:rPr>
                <w:rFonts w:cs="Calibri"/>
                <w:sz w:val="22"/>
                <w:szCs w:val="22"/>
              </w:rPr>
              <w:t>6 280,60</w:t>
            </w:r>
          </w:p>
        </w:tc>
      </w:tr>
      <w:tr w:rsidR="00D215BD" w:rsidRPr="001314CA" w14:paraId="4D1396CB"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242F61C6"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Paktel</w:t>
            </w:r>
            <w:proofErr w:type="spellEnd"/>
            <w:r w:rsidRPr="001314CA">
              <w:rPr>
                <w:rFonts w:cs="Calibri"/>
                <w:sz w:val="22"/>
                <w:szCs w:val="22"/>
              </w:rPr>
              <w:t xml:space="preserve"> Limited, Islamabad</w:t>
            </w:r>
          </w:p>
        </w:tc>
        <w:tc>
          <w:tcPr>
            <w:tcW w:w="1311" w:type="dxa"/>
            <w:tcBorders>
              <w:top w:val="nil"/>
              <w:left w:val="single" w:sz="4" w:space="0" w:color="auto"/>
              <w:bottom w:val="nil"/>
              <w:right w:val="single" w:sz="4" w:space="0" w:color="auto"/>
            </w:tcBorders>
            <w:shd w:val="clear" w:color="auto" w:fill="auto"/>
            <w:noWrap/>
            <w:vAlign w:val="bottom"/>
            <w:hideMark/>
          </w:tcPr>
          <w:p w14:paraId="48C6A04D" w14:textId="77777777" w:rsidR="00D215BD" w:rsidRPr="001314CA" w:rsidRDefault="00D215BD" w:rsidP="00D215BD">
            <w:pPr>
              <w:spacing w:before="0"/>
              <w:jc w:val="center"/>
              <w:rPr>
                <w:rFonts w:cs="Calibri"/>
                <w:sz w:val="22"/>
                <w:szCs w:val="22"/>
              </w:rPr>
            </w:pPr>
            <w:r w:rsidRPr="001314CA">
              <w:rPr>
                <w:rFonts w:cs="Calibri"/>
                <w:sz w:val="22"/>
                <w:szCs w:val="22"/>
              </w:rPr>
              <w:t>2007</w:t>
            </w:r>
          </w:p>
        </w:tc>
        <w:tc>
          <w:tcPr>
            <w:tcW w:w="1559" w:type="dxa"/>
            <w:tcBorders>
              <w:top w:val="nil"/>
              <w:left w:val="single" w:sz="4" w:space="0" w:color="auto"/>
              <w:bottom w:val="nil"/>
              <w:right w:val="single" w:sz="4" w:space="0" w:color="auto"/>
            </w:tcBorders>
            <w:shd w:val="clear" w:color="auto" w:fill="auto"/>
            <w:noWrap/>
            <w:vAlign w:val="bottom"/>
            <w:hideMark/>
          </w:tcPr>
          <w:p w14:paraId="07008CBB" w14:textId="77777777" w:rsidR="00D215BD" w:rsidRPr="001314CA" w:rsidRDefault="00D215BD" w:rsidP="00D215BD">
            <w:pPr>
              <w:spacing w:before="0"/>
              <w:jc w:val="right"/>
              <w:rPr>
                <w:rFonts w:cs="Calibri"/>
                <w:sz w:val="22"/>
                <w:szCs w:val="22"/>
              </w:rPr>
            </w:pPr>
            <w:r w:rsidRPr="001314CA">
              <w:rPr>
                <w:rFonts w:cs="Calibri"/>
                <w:sz w:val="22"/>
                <w:szCs w:val="22"/>
              </w:rPr>
              <w:t>8 796,40</w:t>
            </w:r>
          </w:p>
        </w:tc>
        <w:tc>
          <w:tcPr>
            <w:tcW w:w="1333" w:type="dxa"/>
            <w:tcBorders>
              <w:top w:val="nil"/>
              <w:left w:val="single" w:sz="4" w:space="0" w:color="auto"/>
              <w:bottom w:val="nil"/>
              <w:right w:val="single" w:sz="4" w:space="0" w:color="auto"/>
            </w:tcBorders>
            <w:shd w:val="clear" w:color="auto" w:fill="auto"/>
            <w:noWrap/>
            <w:vAlign w:val="bottom"/>
            <w:hideMark/>
          </w:tcPr>
          <w:p w14:paraId="3B23A4D8"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177D42C" w14:textId="77777777" w:rsidR="00D215BD" w:rsidRPr="001314CA" w:rsidRDefault="00D215BD" w:rsidP="00D215BD">
            <w:pPr>
              <w:spacing w:before="0"/>
              <w:jc w:val="right"/>
              <w:rPr>
                <w:rFonts w:cs="Calibri"/>
                <w:sz w:val="22"/>
                <w:szCs w:val="22"/>
              </w:rPr>
            </w:pPr>
            <w:r w:rsidRPr="001314CA">
              <w:rPr>
                <w:rFonts w:cs="Calibri"/>
                <w:sz w:val="22"/>
                <w:szCs w:val="22"/>
              </w:rPr>
              <w:t>8 796,40</w:t>
            </w:r>
          </w:p>
        </w:tc>
      </w:tr>
      <w:tr w:rsidR="00D215BD" w:rsidRPr="001314CA" w14:paraId="68BE3DCF"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038CB86D"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 xml:space="preserve">Philippines </w:t>
            </w:r>
          </w:p>
        </w:tc>
        <w:tc>
          <w:tcPr>
            <w:tcW w:w="1311" w:type="dxa"/>
            <w:tcBorders>
              <w:top w:val="nil"/>
              <w:left w:val="single" w:sz="4" w:space="0" w:color="auto"/>
              <w:bottom w:val="nil"/>
              <w:right w:val="single" w:sz="4" w:space="0" w:color="auto"/>
            </w:tcBorders>
            <w:shd w:val="clear" w:color="auto" w:fill="auto"/>
            <w:noWrap/>
            <w:vAlign w:val="bottom"/>
            <w:hideMark/>
          </w:tcPr>
          <w:p w14:paraId="488BD66F"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37AE39F0"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31F18F52"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1B13FC2E" w14:textId="77777777" w:rsidR="00D215BD" w:rsidRPr="001314CA" w:rsidRDefault="00D215BD" w:rsidP="00D215BD">
            <w:pPr>
              <w:spacing w:before="0"/>
              <w:rPr>
                <w:rFonts w:ascii="Times New Roman" w:hAnsi="Times New Roman"/>
                <w:sz w:val="22"/>
                <w:szCs w:val="22"/>
              </w:rPr>
            </w:pPr>
          </w:p>
        </w:tc>
      </w:tr>
      <w:tr w:rsidR="00D215BD" w:rsidRPr="001314CA" w14:paraId="5E7445C2"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65562AE1"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Globe Telecom, Ville de Mandaluyong </w:t>
            </w:r>
          </w:p>
        </w:tc>
        <w:tc>
          <w:tcPr>
            <w:tcW w:w="1311" w:type="dxa"/>
            <w:tcBorders>
              <w:top w:val="nil"/>
              <w:left w:val="single" w:sz="4" w:space="0" w:color="auto"/>
              <w:bottom w:val="nil"/>
              <w:right w:val="single" w:sz="4" w:space="0" w:color="auto"/>
            </w:tcBorders>
            <w:shd w:val="clear" w:color="auto" w:fill="auto"/>
            <w:noWrap/>
            <w:vAlign w:val="bottom"/>
            <w:hideMark/>
          </w:tcPr>
          <w:p w14:paraId="35B7DD2B"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559" w:type="dxa"/>
            <w:tcBorders>
              <w:top w:val="nil"/>
              <w:left w:val="single" w:sz="4" w:space="0" w:color="auto"/>
              <w:bottom w:val="nil"/>
              <w:right w:val="single" w:sz="4" w:space="0" w:color="auto"/>
            </w:tcBorders>
            <w:shd w:val="clear" w:color="auto" w:fill="auto"/>
            <w:noWrap/>
            <w:vAlign w:val="bottom"/>
            <w:hideMark/>
          </w:tcPr>
          <w:p w14:paraId="69AC95E2" w14:textId="77777777" w:rsidR="00D215BD" w:rsidRPr="001314CA" w:rsidRDefault="00D215BD" w:rsidP="00D215BD">
            <w:pPr>
              <w:spacing w:before="0"/>
              <w:jc w:val="right"/>
              <w:rPr>
                <w:rFonts w:cs="Calibri"/>
                <w:sz w:val="22"/>
                <w:szCs w:val="22"/>
              </w:rPr>
            </w:pPr>
            <w:r w:rsidRPr="001314CA">
              <w:rPr>
                <w:rFonts w:cs="Calibri"/>
                <w:sz w:val="22"/>
                <w:szCs w:val="22"/>
              </w:rPr>
              <w:t>34 972,05</w:t>
            </w:r>
          </w:p>
        </w:tc>
        <w:tc>
          <w:tcPr>
            <w:tcW w:w="1333" w:type="dxa"/>
            <w:tcBorders>
              <w:top w:val="nil"/>
              <w:left w:val="single" w:sz="4" w:space="0" w:color="auto"/>
              <w:bottom w:val="nil"/>
              <w:right w:val="single" w:sz="4" w:space="0" w:color="auto"/>
            </w:tcBorders>
            <w:shd w:val="clear" w:color="auto" w:fill="auto"/>
            <w:noWrap/>
            <w:vAlign w:val="bottom"/>
            <w:hideMark/>
          </w:tcPr>
          <w:p w14:paraId="1CFEE21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9341771" w14:textId="77777777" w:rsidR="00D215BD" w:rsidRPr="001314CA" w:rsidRDefault="00D215BD" w:rsidP="00D215BD">
            <w:pPr>
              <w:spacing w:before="0"/>
              <w:jc w:val="right"/>
              <w:rPr>
                <w:rFonts w:cs="Calibri"/>
                <w:sz w:val="22"/>
                <w:szCs w:val="22"/>
              </w:rPr>
            </w:pPr>
            <w:r w:rsidRPr="001314CA">
              <w:rPr>
                <w:rFonts w:cs="Calibri"/>
                <w:sz w:val="22"/>
                <w:szCs w:val="22"/>
              </w:rPr>
              <w:t>34 972,05</w:t>
            </w:r>
          </w:p>
        </w:tc>
      </w:tr>
      <w:tr w:rsidR="00D215BD" w:rsidRPr="001314CA" w14:paraId="30D1524F"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2DA4F91F"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PhilCom</w:t>
            </w:r>
            <w:proofErr w:type="spellEnd"/>
            <w:r w:rsidRPr="001314CA">
              <w:rPr>
                <w:rFonts w:cs="Calibri"/>
                <w:sz w:val="22"/>
                <w:szCs w:val="22"/>
              </w:rPr>
              <w:t xml:space="preserve">, </w:t>
            </w:r>
            <w:proofErr w:type="spellStart"/>
            <w:r w:rsidRPr="001314CA">
              <w:rPr>
                <w:rFonts w:cs="Calibri"/>
                <w:sz w:val="22"/>
                <w:szCs w:val="22"/>
              </w:rPr>
              <w:t>Macati</w:t>
            </w:r>
            <w:proofErr w:type="spellEnd"/>
          </w:p>
        </w:tc>
        <w:tc>
          <w:tcPr>
            <w:tcW w:w="1311" w:type="dxa"/>
            <w:tcBorders>
              <w:top w:val="nil"/>
              <w:left w:val="single" w:sz="4" w:space="0" w:color="auto"/>
              <w:bottom w:val="nil"/>
              <w:right w:val="single" w:sz="4" w:space="0" w:color="auto"/>
            </w:tcBorders>
            <w:shd w:val="clear" w:color="auto" w:fill="auto"/>
            <w:noWrap/>
            <w:vAlign w:val="bottom"/>
            <w:hideMark/>
          </w:tcPr>
          <w:p w14:paraId="2CF5E557" w14:textId="77777777" w:rsidR="00D215BD" w:rsidRPr="001314CA" w:rsidRDefault="00D215BD" w:rsidP="00D215BD">
            <w:pPr>
              <w:spacing w:before="0"/>
              <w:jc w:val="center"/>
              <w:rPr>
                <w:rFonts w:cs="Calibri"/>
                <w:sz w:val="22"/>
                <w:szCs w:val="22"/>
              </w:rPr>
            </w:pPr>
            <w:r w:rsidRPr="001314CA">
              <w:rPr>
                <w:rFonts w:cs="Calibri"/>
                <w:sz w:val="22"/>
                <w:szCs w:val="22"/>
              </w:rPr>
              <w:t>2007-2009</w:t>
            </w:r>
          </w:p>
        </w:tc>
        <w:tc>
          <w:tcPr>
            <w:tcW w:w="1559" w:type="dxa"/>
            <w:tcBorders>
              <w:top w:val="nil"/>
              <w:left w:val="single" w:sz="4" w:space="0" w:color="auto"/>
              <w:bottom w:val="nil"/>
              <w:right w:val="single" w:sz="4" w:space="0" w:color="auto"/>
            </w:tcBorders>
            <w:shd w:val="clear" w:color="auto" w:fill="auto"/>
            <w:noWrap/>
            <w:vAlign w:val="bottom"/>
            <w:hideMark/>
          </w:tcPr>
          <w:p w14:paraId="706C1497" w14:textId="77777777" w:rsidR="00D215BD" w:rsidRPr="001314CA" w:rsidRDefault="00D215BD" w:rsidP="00D215BD">
            <w:pPr>
              <w:spacing w:before="0"/>
              <w:jc w:val="right"/>
              <w:rPr>
                <w:rFonts w:cs="Calibri"/>
                <w:sz w:val="22"/>
                <w:szCs w:val="22"/>
              </w:rPr>
            </w:pPr>
            <w:r w:rsidRPr="001314CA">
              <w:rPr>
                <w:rFonts w:cs="Calibri"/>
                <w:sz w:val="22"/>
                <w:szCs w:val="22"/>
              </w:rPr>
              <w:t>7 952,65</w:t>
            </w:r>
          </w:p>
        </w:tc>
        <w:tc>
          <w:tcPr>
            <w:tcW w:w="1333" w:type="dxa"/>
            <w:tcBorders>
              <w:top w:val="nil"/>
              <w:left w:val="single" w:sz="4" w:space="0" w:color="auto"/>
              <w:bottom w:val="nil"/>
              <w:right w:val="single" w:sz="4" w:space="0" w:color="auto"/>
            </w:tcBorders>
            <w:shd w:val="clear" w:color="auto" w:fill="auto"/>
            <w:noWrap/>
            <w:vAlign w:val="bottom"/>
            <w:hideMark/>
          </w:tcPr>
          <w:p w14:paraId="7D5EEAD3"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3D63982A" w14:textId="77777777" w:rsidR="00D215BD" w:rsidRPr="001314CA" w:rsidRDefault="00D215BD" w:rsidP="00D215BD">
            <w:pPr>
              <w:spacing w:before="0"/>
              <w:jc w:val="right"/>
              <w:rPr>
                <w:rFonts w:cs="Calibri"/>
                <w:sz w:val="22"/>
                <w:szCs w:val="22"/>
              </w:rPr>
            </w:pPr>
            <w:r w:rsidRPr="001314CA">
              <w:rPr>
                <w:rFonts w:cs="Calibri"/>
                <w:sz w:val="22"/>
                <w:szCs w:val="22"/>
              </w:rPr>
              <w:t>7 952,65</w:t>
            </w:r>
          </w:p>
        </w:tc>
      </w:tr>
      <w:tr w:rsidR="00D215BD" w:rsidRPr="001314CA" w14:paraId="1A3A5973"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694F6C60"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République du Rwanda</w:t>
            </w:r>
          </w:p>
        </w:tc>
        <w:tc>
          <w:tcPr>
            <w:tcW w:w="1311" w:type="dxa"/>
            <w:tcBorders>
              <w:top w:val="nil"/>
              <w:left w:val="single" w:sz="4" w:space="0" w:color="auto"/>
              <w:bottom w:val="nil"/>
              <w:right w:val="single" w:sz="4" w:space="0" w:color="auto"/>
            </w:tcBorders>
            <w:shd w:val="clear" w:color="auto" w:fill="auto"/>
            <w:noWrap/>
            <w:vAlign w:val="bottom"/>
            <w:hideMark/>
          </w:tcPr>
          <w:p w14:paraId="26FD8A40"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67AD77E3"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04DD39FA"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3605DE9F" w14:textId="77777777" w:rsidR="00D215BD" w:rsidRPr="001314CA" w:rsidRDefault="00D215BD" w:rsidP="00D215BD">
            <w:pPr>
              <w:spacing w:before="0"/>
              <w:rPr>
                <w:rFonts w:ascii="Times New Roman" w:hAnsi="Times New Roman"/>
                <w:sz w:val="22"/>
                <w:szCs w:val="22"/>
              </w:rPr>
            </w:pPr>
          </w:p>
        </w:tc>
      </w:tr>
      <w:tr w:rsidR="00D215BD" w:rsidRPr="001314CA" w14:paraId="2353B21E"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4B864288"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Université du Rwanda, Collège des sciences et des technologies s, Kigali</w:t>
            </w:r>
          </w:p>
        </w:tc>
        <w:tc>
          <w:tcPr>
            <w:tcW w:w="1311" w:type="dxa"/>
            <w:tcBorders>
              <w:top w:val="nil"/>
              <w:left w:val="single" w:sz="4" w:space="0" w:color="auto"/>
              <w:bottom w:val="nil"/>
              <w:right w:val="single" w:sz="4" w:space="0" w:color="auto"/>
            </w:tcBorders>
            <w:shd w:val="clear" w:color="auto" w:fill="auto"/>
            <w:noWrap/>
            <w:vAlign w:val="bottom"/>
            <w:hideMark/>
          </w:tcPr>
          <w:p w14:paraId="78B32642" w14:textId="77777777" w:rsidR="00D215BD" w:rsidRPr="001314CA" w:rsidRDefault="00D215BD" w:rsidP="00D215BD">
            <w:pPr>
              <w:spacing w:before="0"/>
              <w:jc w:val="center"/>
              <w:rPr>
                <w:rFonts w:cs="Calibri"/>
                <w:sz w:val="22"/>
                <w:szCs w:val="22"/>
              </w:rPr>
            </w:pPr>
            <w:r w:rsidRPr="001314CA">
              <w:rPr>
                <w:rFonts w:cs="Calibri"/>
                <w:sz w:val="22"/>
                <w:szCs w:val="22"/>
              </w:rPr>
              <w:t>2016</w:t>
            </w:r>
          </w:p>
        </w:tc>
        <w:tc>
          <w:tcPr>
            <w:tcW w:w="1559" w:type="dxa"/>
            <w:tcBorders>
              <w:top w:val="nil"/>
              <w:left w:val="single" w:sz="4" w:space="0" w:color="auto"/>
              <w:bottom w:val="nil"/>
              <w:right w:val="single" w:sz="4" w:space="0" w:color="auto"/>
            </w:tcBorders>
            <w:shd w:val="clear" w:color="auto" w:fill="auto"/>
            <w:noWrap/>
            <w:vAlign w:val="bottom"/>
            <w:hideMark/>
          </w:tcPr>
          <w:p w14:paraId="0BCF9D6D" w14:textId="77777777" w:rsidR="00D215BD" w:rsidRPr="001314CA" w:rsidRDefault="00D215BD" w:rsidP="00D215BD">
            <w:pPr>
              <w:spacing w:before="0"/>
              <w:jc w:val="right"/>
              <w:rPr>
                <w:rFonts w:cs="Calibri"/>
                <w:sz w:val="22"/>
                <w:szCs w:val="22"/>
              </w:rPr>
            </w:pPr>
            <w:r w:rsidRPr="001314CA">
              <w:rPr>
                <w:rFonts w:cs="Calibri"/>
                <w:sz w:val="22"/>
                <w:szCs w:val="22"/>
              </w:rPr>
              <w:t>2 169,40</w:t>
            </w:r>
          </w:p>
        </w:tc>
        <w:tc>
          <w:tcPr>
            <w:tcW w:w="1333" w:type="dxa"/>
            <w:tcBorders>
              <w:top w:val="nil"/>
              <w:left w:val="single" w:sz="4" w:space="0" w:color="auto"/>
              <w:bottom w:val="nil"/>
              <w:right w:val="single" w:sz="4" w:space="0" w:color="auto"/>
            </w:tcBorders>
            <w:shd w:val="clear" w:color="auto" w:fill="auto"/>
            <w:noWrap/>
            <w:vAlign w:val="bottom"/>
            <w:hideMark/>
          </w:tcPr>
          <w:p w14:paraId="36D7245B"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69A9504" w14:textId="77777777" w:rsidR="00D215BD" w:rsidRPr="001314CA" w:rsidRDefault="00D215BD" w:rsidP="00D215BD">
            <w:pPr>
              <w:spacing w:before="0"/>
              <w:jc w:val="right"/>
              <w:rPr>
                <w:rFonts w:cs="Calibri"/>
                <w:sz w:val="22"/>
                <w:szCs w:val="22"/>
              </w:rPr>
            </w:pPr>
            <w:r w:rsidRPr="001314CA">
              <w:rPr>
                <w:rFonts w:cs="Calibri"/>
                <w:sz w:val="22"/>
                <w:szCs w:val="22"/>
              </w:rPr>
              <w:t>2 169,40</w:t>
            </w:r>
          </w:p>
        </w:tc>
      </w:tr>
      <w:tr w:rsidR="00D215BD" w:rsidRPr="001314CA" w14:paraId="791973F2"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5CE4DF85"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Roumanie</w:t>
            </w:r>
          </w:p>
        </w:tc>
        <w:tc>
          <w:tcPr>
            <w:tcW w:w="1311" w:type="dxa"/>
            <w:tcBorders>
              <w:top w:val="nil"/>
              <w:left w:val="single" w:sz="4" w:space="0" w:color="auto"/>
              <w:bottom w:val="nil"/>
              <w:right w:val="single" w:sz="4" w:space="0" w:color="auto"/>
            </w:tcBorders>
            <w:shd w:val="clear" w:color="auto" w:fill="auto"/>
            <w:noWrap/>
            <w:vAlign w:val="bottom"/>
            <w:hideMark/>
          </w:tcPr>
          <w:p w14:paraId="535FDB1D"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1F65D3A9" w14:textId="77777777" w:rsidR="00D215BD" w:rsidRPr="001314CA" w:rsidRDefault="00D215BD" w:rsidP="00D215BD">
            <w:pPr>
              <w:spacing w:before="0"/>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2075B1FE"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5E3A2E92" w14:textId="77777777" w:rsidR="00D215BD" w:rsidRPr="001314CA" w:rsidRDefault="00D215BD" w:rsidP="00D215BD">
            <w:pPr>
              <w:spacing w:before="0"/>
              <w:rPr>
                <w:rFonts w:ascii="Times New Roman" w:hAnsi="Times New Roman"/>
                <w:sz w:val="22"/>
                <w:szCs w:val="22"/>
              </w:rPr>
            </w:pPr>
          </w:p>
        </w:tc>
      </w:tr>
      <w:tr w:rsidR="00D215BD" w:rsidRPr="001314CA" w14:paraId="356B4FB4"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6082141B"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École polytechnique de Bucarest, Bucarest</w:t>
            </w:r>
          </w:p>
        </w:tc>
        <w:tc>
          <w:tcPr>
            <w:tcW w:w="1311" w:type="dxa"/>
            <w:tcBorders>
              <w:top w:val="nil"/>
              <w:left w:val="single" w:sz="4" w:space="0" w:color="auto"/>
              <w:bottom w:val="nil"/>
              <w:right w:val="single" w:sz="4" w:space="0" w:color="auto"/>
            </w:tcBorders>
            <w:shd w:val="clear" w:color="auto" w:fill="auto"/>
            <w:noWrap/>
            <w:vAlign w:val="bottom"/>
            <w:hideMark/>
          </w:tcPr>
          <w:p w14:paraId="794A401F" w14:textId="77777777" w:rsidR="00D215BD" w:rsidRPr="001314CA" w:rsidRDefault="00D215BD" w:rsidP="00D215BD">
            <w:pPr>
              <w:spacing w:before="0"/>
              <w:jc w:val="center"/>
              <w:rPr>
                <w:rFonts w:cs="Calibri"/>
                <w:sz w:val="22"/>
                <w:szCs w:val="22"/>
              </w:rPr>
            </w:pPr>
            <w:r w:rsidRPr="001314CA">
              <w:rPr>
                <w:rFonts w:cs="Calibri"/>
                <w:sz w:val="22"/>
                <w:szCs w:val="22"/>
              </w:rPr>
              <w:t>2009-2010</w:t>
            </w:r>
          </w:p>
        </w:tc>
        <w:tc>
          <w:tcPr>
            <w:tcW w:w="1559" w:type="dxa"/>
            <w:tcBorders>
              <w:top w:val="nil"/>
              <w:left w:val="single" w:sz="4" w:space="0" w:color="auto"/>
              <w:bottom w:val="nil"/>
              <w:right w:val="single" w:sz="4" w:space="0" w:color="auto"/>
            </w:tcBorders>
            <w:shd w:val="clear" w:color="auto" w:fill="auto"/>
            <w:noWrap/>
            <w:vAlign w:val="bottom"/>
            <w:hideMark/>
          </w:tcPr>
          <w:p w14:paraId="308AF02E" w14:textId="77777777" w:rsidR="00D215BD" w:rsidRPr="001314CA" w:rsidRDefault="00D215BD" w:rsidP="00D215BD">
            <w:pPr>
              <w:spacing w:before="0"/>
              <w:jc w:val="right"/>
              <w:rPr>
                <w:rFonts w:cs="Calibri"/>
                <w:sz w:val="22"/>
                <w:szCs w:val="22"/>
              </w:rPr>
            </w:pPr>
            <w:r w:rsidRPr="001314CA">
              <w:rPr>
                <w:rFonts w:cs="Calibri"/>
                <w:sz w:val="22"/>
                <w:szCs w:val="22"/>
              </w:rPr>
              <w:t>7 478,90</w:t>
            </w:r>
          </w:p>
        </w:tc>
        <w:tc>
          <w:tcPr>
            <w:tcW w:w="1333" w:type="dxa"/>
            <w:tcBorders>
              <w:top w:val="nil"/>
              <w:left w:val="single" w:sz="4" w:space="0" w:color="auto"/>
              <w:bottom w:val="nil"/>
              <w:right w:val="single" w:sz="4" w:space="0" w:color="auto"/>
            </w:tcBorders>
            <w:shd w:val="clear" w:color="auto" w:fill="auto"/>
            <w:noWrap/>
            <w:vAlign w:val="bottom"/>
            <w:hideMark/>
          </w:tcPr>
          <w:p w14:paraId="5D2CE58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E6F786A" w14:textId="77777777" w:rsidR="00D215BD" w:rsidRPr="001314CA" w:rsidRDefault="00D215BD" w:rsidP="00D215BD">
            <w:pPr>
              <w:spacing w:before="0"/>
              <w:jc w:val="right"/>
              <w:rPr>
                <w:rFonts w:cs="Calibri"/>
                <w:sz w:val="22"/>
                <w:szCs w:val="22"/>
              </w:rPr>
            </w:pPr>
            <w:r w:rsidRPr="001314CA">
              <w:rPr>
                <w:rFonts w:cs="Calibri"/>
                <w:sz w:val="22"/>
                <w:szCs w:val="22"/>
              </w:rPr>
              <w:t>7 478,90</w:t>
            </w:r>
          </w:p>
        </w:tc>
      </w:tr>
      <w:tr w:rsidR="00D215BD" w:rsidRPr="001314CA" w14:paraId="789FC573"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70DD7405"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Fédération de Russie</w:t>
            </w:r>
          </w:p>
        </w:tc>
        <w:tc>
          <w:tcPr>
            <w:tcW w:w="1311" w:type="dxa"/>
            <w:tcBorders>
              <w:top w:val="nil"/>
              <w:left w:val="single" w:sz="4" w:space="0" w:color="auto"/>
              <w:bottom w:val="nil"/>
              <w:right w:val="single" w:sz="4" w:space="0" w:color="auto"/>
            </w:tcBorders>
            <w:shd w:val="clear" w:color="auto" w:fill="auto"/>
            <w:noWrap/>
            <w:vAlign w:val="bottom"/>
            <w:hideMark/>
          </w:tcPr>
          <w:p w14:paraId="7AB8D687"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200AFCD8"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6092B16D"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76AD7CF5" w14:textId="77777777" w:rsidR="00D215BD" w:rsidRPr="001314CA" w:rsidRDefault="00D215BD" w:rsidP="00D215BD">
            <w:pPr>
              <w:spacing w:before="0"/>
              <w:rPr>
                <w:rFonts w:ascii="Times New Roman" w:hAnsi="Times New Roman"/>
                <w:sz w:val="22"/>
                <w:szCs w:val="22"/>
              </w:rPr>
            </w:pPr>
          </w:p>
        </w:tc>
      </w:tr>
      <w:tr w:rsidR="00D215BD" w:rsidRPr="001314CA" w14:paraId="2406C755"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2466D61F"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IRPO ACISO, Moscou</w:t>
            </w:r>
          </w:p>
        </w:tc>
        <w:tc>
          <w:tcPr>
            <w:tcW w:w="1311" w:type="dxa"/>
            <w:tcBorders>
              <w:top w:val="nil"/>
              <w:left w:val="single" w:sz="4" w:space="0" w:color="auto"/>
              <w:bottom w:val="nil"/>
              <w:right w:val="single" w:sz="4" w:space="0" w:color="auto"/>
            </w:tcBorders>
            <w:shd w:val="clear" w:color="auto" w:fill="auto"/>
            <w:noWrap/>
            <w:vAlign w:val="bottom"/>
            <w:hideMark/>
          </w:tcPr>
          <w:p w14:paraId="18313B28" w14:textId="77777777" w:rsidR="00D215BD" w:rsidRPr="001314CA" w:rsidRDefault="00D215BD" w:rsidP="00D215BD">
            <w:pPr>
              <w:spacing w:before="0"/>
              <w:jc w:val="center"/>
              <w:rPr>
                <w:rFonts w:cs="Calibri"/>
                <w:sz w:val="22"/>
                <w:szCs w:val="22"/>
              </w:rPr>
            </w:pPr>
            <w:r w:rsidRPr="001314CA">
              <w:rPr>
                <w:rFonts w:cs="Calibri"/>
                <w:sz w:val="22"/>
                <w:szCs w:val="22"/>
              </w:rPr>
              <w:t>2013-2014</w:t>
            </w:r>
          </w:p>
        </w:tc>
        <w:tc>
          <w:tcPr>
            <w:tcW w:w="1559" w:type="dxa"/>
            <w:tcBorders>
              <w:top w:val="nil"/>
              <w:left w:val="single" w:sz="4" w:space="0" w:color="auto"/>
              <w:bottom w:val="nil"/>
              <w:right w:val="single" w:sz="4" w:space="0" w:color="auto"/>
            </w:tcBorders>
            <w:shd w:val="clear" w:color="auto" w:fill="auto"/>
            <w:noWrap/>
            <w:vAlign w:val="bottom"/>
            <w:hideMark/>
          </w:tcPr>
          <w:p w14:paraId="33B7237B" w14:textId="77777777" w:rsidR="00D215BD" w:rsidRPr="001314CA" w:rsidRDefault="00D215BD" w:rsidP="00D215BD">
            <w:pPr>
              <w:spacing w:before="0"/>
              <w:jc w:val="right"/>
              <w:rPr>
                <w:rFonts w:cs="Calibri"/>
                <w:sz w:val="22"/>
                <w:szCs w:val="22"/>
              </w:rPr>
            </w:pPr>
            <w:r w:rsidRPr="001314CA">
              <w:rPr>
                <w:rFonts w:cs="Calibri"/>
                <w:sz w:val="22"/>
                <w:szCs w:val="22"/>
              </w:rPr>
              <w:t>5 540,05</w:t>
            </w:r>
          </w:p>
        </w:tc>
        <w:tc>
          <w:tcPr>
            <w:tcW w:w="1333" w:type="dxa"/>
            <w:tcBorders>
              <w:top w:val="nil"/>
              <w:left w:val="single" w:sz="4" w:space="0" w:color="auto"/>
              <w:bottom w:val="nil"/>
              <w:right w:val="single" w:sz="4" w:space="0" w:color="auto"/>
            </w:tcBorders>
            <w:shd w:val="clear" w:color="auto" w:fill="auto"/>
            <w:noWrap/>
            <w:vAlign w:val="bottom"/>
            <w:hideMark/>
          </w:tcPr>
          <w:p w14:paraId="13D8F722"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058D97D7" w14:textId="77777777" w:rsidR="00D215BD" w:rsidRPr="001314CA" w:rsidRDefault="00D215BD" w:rsidP="00D215BD">
            <w:pPr>
              <w:spacing w:before="0"/>
              <w:jc w:val="right"/>
              <w:rPr>
                <w:rFonts w:cs="Calibri"/>
                <w:sz w:val="22"/>
                <w:szCs w:val="22"/>
              </w:rPr>
            </w:pPr>
            <w:r w:rsidRPr="001314CA">
              <w:rPr>
                <w:rFonts w:cs="Calibri"/>
                <w:sz w:val="22"/>
                <w:szCs w:val="22"/>
              </w:rPr>
              <w:t>5 540,05</w:t>
            </w:r>
          </w:p>
        </w:tc>
      </w:tr>
      <w:tr w:rsidR="00D215BD" w:rsidRPr="001314CA" w14:paraId="69C73A7D"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3319D282"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Mobix</w:t>
            </w:r>
            <w:proofErr w:type="spellEnd"/>
            <w:r w:rsidRPr="001314CA">
              <w:rPr>
                <w:rFonts w:cs="Calibri"/>
                <w:sz w:val="22"/>
                <w:szCs w:val="22"/>
              </w:rPr>
              <w:t xml:space="preserve"> Chip LLC, Moscou</w:t>
            </w:r>
          </w:p>
        </w:tc>
        <w:tc>
          <w:tcPr>
            <w:tcW w:w="1311" w:type="dxa"/>
            <w:tcBorders>
              <w:top w:val="nil"/>
              <w:left w:val="single" w:sz="4" w:space="0" w:color="auto"/>
              <w:bottom w:val="nil"/>
              <w:right w:val="single" w:sz="4" w:space="0" w:color="auto"/>
            </w:tcBorders>
            <w:shd w:val="clear" w:color="auto" w:fill="auto"/>
            <w:noWrap/>
            <w:vAlign w:val="bottom"/>
            <w:hideMark/>
          </w:tcPr>
          <w:p w14:paraId="00AD9BC6" w14:textId="77777777" w:rsidR="00D215BD" w:rsidRPr="001314CA" w:rsidRDefault="00D215BD" w:rsidP="00D215BD">
            <w:pPr>
              <w:spacing w:before="0"/>
              <w:jc w:val="center"/>
              <w:rPr>
                <w:rFonts w:cs="Calibri"/>
                <w:sz w:val="22"/>
                <w:szCs w:val="22"/>
              </w:rPr>
            </w:pPr>
            <w:r w:rsidRPr="001314CA">
              <w:rPr>
                <w:rFonts w:cs="Calibri"/>
                <w:sz w:val="22"/>
                <w:szCs w:val="22"/>
              </w:rPr>
              <w:t>2013-2014</w:t>
            </w:r>
          </w:p>
        </w:tc>
        <w:tc>
          <w:tcPr>
            <w:tcW w:w="1559" w:type="dxa"/>
            <w:tcBorders>
              <w:top w:val="nil"/>
              <w:left w:val="single" w:sz="4" w:space="0" w:color="auto"/>
              <w:bottom w:val="nil"/>
              <w:right w:val="single" w:sz="4" w:space="0" w:color="auto"/>
            </w:tcBorders>
            <w:shd w:val="clear" w:color="auto" w:fill="auto"/>
            <w:noWrap/>
            <w:vAlign w:val="bottom"/>
            <w:hideMark/>
          </w:tcPr>
          <w:p w14:paraId="1F3DA68A" w14:textId="77777777" w:rsidR="00D215BD" w:rsidRPr="001314CA" w:rsidRDefault="00D215BD" w:rsidP="00D215BD">
            <w:pPr>
              <w:spacing w:before="0"/>
              <w:jc w:val="right"/>
              <w:rPr>
                <w:rFonts w:cs="Calibri"/>
                <w:sz w:val="22"/>
                <w:szCs w:val="22"/>
              </w:rPr>
            </w:pPr>
            <w:r w:rsidRPr="001314CA">
              <w:rPr>
                <w:rFonts w:cs="Calibri"/>
                <w:sz w:val="22"/>
                <w:szCs w:val="22"/>
              </w:rPr>
              <w:t>15 664,70</w:t>
            </w:r>
          </w:p>
        </w:tc>
        <w:tc>
          <w:tcPr>
            <w:tcW w:w="1333" w:type="dxa"/>
            <w:tcBorders>
              <w:top w:val="nil"/>
              <w:left w:val="single" w:sz="4" w:space="0" w:color="auto"/>
              <w:bottom w:val="nil"/>
              <w:right w:val="single" w:sz="4" w:space="0" w:color="auto"/>
            </w:tcBorders>
            <w:shd w:val="clear" w:color="auto" w:fill="auto"/>
            <w:noWrap/>
            <w:vAlign w:val="bottom"/>
            <w:hideMark/>
          </w:tcPr>
          <w:p w14:paraId="1B2ACB09"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3BBE183" w14:textId="77777777" w:rsidR="00D215BD" w:rsidRPr="001314CA" w:rsidRDefault="00D215BD" w:rsidP="00D215BD">
            <w:pPr>
              <w:spacing w:before="0"/>
              <w:jc w:val="right"/>
              <w:rPr>
                <w:rFonts w:cs="Calibri"/>
                <w:sz w:val="22"/>
                <w:szCs w:val="22"/>
              </w:rPr>
            </w:pPr>
            <w:r w:rsidRPr="001314CA">
              <w:rPr>
                <w:rFonts w:cs="Calibri"/>
                <w:sz w:val="22"/>
                <w:szCs w:val="22"/>
              </w:rPr>
              <w:t>15 664,70</w:t>
            </w:r>
          </w:p>
        </w:tc>
      </w:tr>
      <w:tr w:rsidR="00D215BD" w:rsidRPr="001314CA" w14:paraId="3434B0B1"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1B1BB21E"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National </w:t>
            </w:r>
            <w:proofErr w:type="spellStart"/>
            <w:r w:rsidRPr="001314CA">
              <w:rPr>
                <w:rFonts w:cs="Calibri"/>
                <w:sz w:val="22"/>
                <w:szCs w:val="22"/>
              </w:rPr>
              <w:t>Telemedicine</w:t>
            </w:r>
            <w:proofErr w:type="spellEnd"/>
            <w:r w:rsidRPr="001314CA">
              <w:rPr>
                <w:rFonts w:cs="Calibri"/>
                <w:sz w:val="22"/>
                <w:szCs w:val="22"/>
              </w:rPr>
              <w:t xml:space="preserve"> Agency, Moscou</w:t>
            </w:r>
          </w:p>
        </w:tc>
        <w:tc>
          <w:tcPr>
            <w:tcW w:w="1311" w:type="dxa"/>
            <w:tcBorders>
              <w:top w:val="nil"/>
              <w:left w:val="single" w:sz="4" w:space="0" w:color="auto"/>
              <w:bottom w:val="nil"/>
              <w:right w:val="single" w:sz="4" w:space="0" w:color="auto"/>
            </w:tcBorders>
            <w:shd w:val="clear" w:color="auto" w:fill="auto"/>
            <w:noWrap/>
            <w:vAlign w:val="bottom"/>
            <w:hideMark/>
          </w:tcPr>
          <w:p w14:paraId="108CE12C" w14:textId="77777777" w:rsidR="00D215BD" w:rsidRPr="001314CA" w:rsidRDefault="00D215BD" w:rsidP="00D215BD">
            <w:pPr>
              <w:spacing w:before="0"/>
              <w:jc w:val="center"/>
              <w:rPr>
                <w:rFonts w:cs="Calibri"/>
                <w:sz w:val="22"/>
                <w:szCs w:val="22"/>
              </w:rPr>
            </w:pPr>
            <w:r w:rsidRPr="001314CA">
              <w:rPr>
                <w:rFonts w:cs="Calibri"/>
                <w:sz w:val="22"/>
                <w:szCs w:val="22"/>
              </w:rPr>
              <w:t>2012</w:t>
            </w:r>
          </w:p>
        </w:tc>
        <w:tc>
          <w:tcPr>
            <w:tcW w:w="1559" w:type="dxa"/>
            <w:tcBorders>
              <w:top w:val="nil"/>
              <w:left w:val="single" w:sz="4" w:space="0" w:color="auto"/>
              <w:bottom w:val="nil"/>
              <w:right w:val="single" w:sz="4" w:space="0" w:color="auto"/>
            </w:tcBorders>
            <w:shd w:val="clear" w:color="auto" w:fill="auto"/>
            <w:noWrap/>
            <w:vAlign w:val="bottom"/>
            <w:hideMark/>
          </w:tcPr>
          <w:p w14:paraId="07A71846" w14:textId="77777777" w:rsidR="00D215BD" w:rsidRPr="001314CA" w:rsidRDefault="00D215BD" w:rsidP="00D215BD">
            <w:pPr>
              <w:spacing w:before="0"/>
              <w:jc w:val="right"/>
              <w:rPr>
                <w:rFonts w:cs="Calibri"/>
                <w:sz w:val="22"/>
                <w:szCs w:val="22"/>
              </w:rPr>
            </w:pPr>
            <w:r w:rsidRPr="001314CA">
              <w:rPr>
                <w:rFonts w:cs="Calibri"/>
                <w:sz w:val="22"/>
                <w:szCs w:val="22"/>
              </w:rPr>
              <w:t>4 929,85</w:t>
            </w:r>
          </w:p>
        </w:tc>
        <w:tc>
          <w:tcPr>
            <w:tcW w:w="1333" w:type="dxa"/>
            <w:tcBorders>
              <w:top w:val="nil"/>
              <w:left w:val="single" w:sz="4" w:space="0" w:color="auto"/>
              <w:bottom w:val="nil"/>
              <w:right w:val="single" w:sz="4" w:space="0" w:color="auto"/>
            </w:tcBorders>
            <w:shd w:val="clear" w:color="auto" w:fill="auto"/>
            <w:noWrap/>
            <w:vAlign w:val="bottom"/>
            <w:hideMark/>
          </w:tcPr>
          <w:p w14:paraId="305AED41"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2B4C9674" w14:textId="77777777" w:rsidR="00D215BD" w:rsidRPr="001314CA" w:rsidRDefault="00D215BD" w:rsidP="00D215BD">
            <w:pPr>
              <w:spacing w:before="0"/>
              <w:jc w:val="right"/>
              <w:rPr>
                <w:rFonts w:cs="Calibri"/>
                <w:sz w:val="22"/>
                <w:szCs w:val="22"/>
              </w:rPr>
            </w:pPr>
            <w:r w:rsidRPr="001314CA">
              <w:rPr>
                <w:rFonts w:cs="Calibri"/>
                <w:sz w:val="22"/>
                <w:szCs w:val="22"/>
              </w:rPr>
              <w:t>4 929,85</w:t>
            </w:r>
          </w:p>
        </w:tc>
      </w:tr>
      <w:tr w:rsidR="00D215BD" w:rsidRPr="001314CA" w14:paraId="216F1A1B" w14:textId="77777777" w:rsidTr="00D215BD">
        <w:trPr>
          <w:trHeight w:val="300"/>
          <w:jc w:val="center"/>
        </w:trPr>
        <w:tc>
          <w:tcPr>
            <w:tcW w:w="4723" w:type="dxa"/>
            <w:tcBorders>
              <w:top w:val="nil"/>
              <w:left w:val="single" w:sz="4" w:space="0" w:color="auto"/>
              <w:bottom w:val="nil"/>
              <w:right w:val="single" w:sz="4" w:space="0" w:color="auto"/>
            </w:tcBorders>
            <w:shd w:val="clear" w:color="auto" w:fill="auto"/>
            <w:vAlign w:val="bottom"/>
            <w:hideMark/>
          </w:tcPr>
          <w:p w14:paraId="646B33E4"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Arabie saoudite</w:t>
            </w:r>
          </w:p>
        </w:tc>
        <w:tc>
          <w:tcPr>
            <w:tcW w:w="1311" w:type="dxa"/>
            <w:tcBorders>
              <w:top w:val="nil"/>
              <w:left w:val="single" w:sz="4" w:space="0" w:color="auto"/>
              <w:bottom w:val="nil"/>
              <w:right w:val="single" w:sz="4" w:space="0" w:color="auto"/>
            </w:tcBorders>
            <w:shd w:val="clear" w:color="auto" w:fill="auto"/>
            <w:noWrap/>
            <w:vAlign w:val="bottom"/>
            <w:hideMark/>
          </w:tcPr>
          <w:p w14:paraId="7FB29781"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016B1C5D" w14:textId="77777777" w:rsidR="00D215BD" w:rsidRPr="001314CA" w:rsidRDefault="00D215BD" w:rsidP="00D215BD">
            <w:pPr>
              <w:spacing w:before="0"/>
              <w:jc w:val="center"/>
              <w:rPr>
                <w:rFonts w:ascii="Times New Roman" w:hAnsi="Times New Roman"/>
                <w:sz w:val="22"/>
                <w:szCs w:val="22"/>
              </w:rPr>
            </w:pPr>
          </w:p>
        </w:tc>
        <w:tc>
          <w:tcPr>
            <w:tcW w:w="1333" w:type="dxa"/>
            <w:tcBorders>
              <w:top w:val="nil"/>
              <w:left w:val="single" w:sz="4" w:space="0" w:color="auto"/>
              <w:bottom w:val="nil"/>
              <w:right w:val="single" w:sz="4" w:space="0" w:color="auto"/>
            </w:tcBorders>
            <w:shd w:val="clear" w:color="auto" w:fill="auto"/>
            <w:noWrap/>
            <w:vAlign w:val="bottom"/>
            <w:hideMark/>
          </w:tcPr>
          <w:p w14:paraId="052BCFDD"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7CD20DFA" w14:textId="77777777" w:rsidR="00D215BD" w:rsidRPr="001314CA" w:rsidRDefault="00D215BD" w:rsidP="00D215BD">
            <w:pPr>
              <w:spacing w:before="0"/>
              <w:rPr>
                <w:rFonts w:ascii="Times New Roman" w:hAnsi="Times New Roman"/>
                <w:sz w:val="22"/>
                <w:szCs w:val="22"/>
              </w:rPr>
            </w:pPr>
          </w:p>
        </w:tc>
      </w:tr>
      <w:tr w:rsidR="00D215BD" w:rsidRPr="001314CA" w14:paraId="27F0F776" w14:textId="77777777" w:rsidTr="00D215BD">
        <w:trPr>
          <w:trHeight w:val="300"/>
          <w:jc w:val="center"/>
        </w:trPr>
        <w:tc>
          <w:tcPr>
            <w:tcW w:w="4723" w:type="dxa"/>
            <w:tcBorders>
              <w:top w:val="nil"/>
              <w:left w:val="single" w:sz="4" w:space="0" w:color="auto"/>
              <w:right w:val="single" w:sz="4" w:space="0" w:color="auto"/>
            </w:tcBorders>
            <w:shd w:val="clear" w:color="auto" w:fill="auto"/>
            <w:vAlign w:val="bottom"/>
            <w:hideMark/>
          </w:tcPr>
          <w:p w14:paraId="3E492FC9"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Electronia</w:t>
            </w:r>
            <w:proofErr w:type="spellEnd"/>
            <w:r w:rsidRPr="001314CA">
              <w:rPr>
                <w:rFonts w:cs="Calibri"/>
                <w:sz w:val="22"/>
                <w:szCs w:val="22"/>
              </w:rPr>
              <w:t xml:space="preserve">, Ltd., </w:t>
            </w:r>
            <w:proofErr w:type="spellStart"/>
            <w:r w:rsidRPr="001314CA">
              <w:rPr>
                <w:rFonts w:cs="Calibri"/>
                <w:sz w:val="22"/>
                <w:szCs w:val="22"/>
              </w:rPr>
              <w:t>Khobar</w:t>
            </w:r>
            <w:proofErr w:type="spellEnd"/>
          </w:p>
        </w:tc>
        <w:tc>
          <w:tcPr>
            <w:tcW w:w="1311" w:type="dxa"/>
            <w:tcBorders>
              <w:top w:val="nil"/>
              <w:left w:val="single" w:sz="4" w:space="0" w:color="auto"/>
              <w:right w:val="single" w:sz="4" w:space="0" w:color="auto"/>
            </w:tcBorders>
            <w:shd w:val="clear" w:color="auto" w:fill="auto"/>
            <w:noWrap/>
            <w:vAlign w:val="bottom"/>
            <w:hideMark/>
          </w:tcPr>
          <w:p w14:paraId="18BB11C8" w14:textId="77777777" w:rsidR="00D215BD" w:rsidRPr="001314CA" w:rsidRDefault="00D215BD" w:rsidP="00D215BD">
            <w:pPr>
              <w:spacing w:before="0"/>
              <w:jc w:val="center"/>
              <w:rPr>
                <w:rFonts w:cs="Calibri"/>
                <w:sz w:val="22"/>
                <w:szCs w:val="22"/>
              </w:rPr>
            </w:pPr>
            <w:r w:rsidRPr="001314CA">
              <w:rPr>
                <w:rFonts w:cs="Calibri"/>
                <w:sz w:val="22"/>
                <w:szCs w:val="22"/>
              </w:rPr>
              <w:t>2008-2010</w:t>
            </w:r>
          </w:p>
        </w:tc>
        <w:tc>
          <w:tcPr>
            <w:tcW w:w="1559" w:type="dxa"/>
            <w:tcBorders>
              <w:top w:val="nil"/>
              <w:left w:val="single" w:sz="4" w:space="0" w:color="auto"/>
              <w:right w:val="single" w:sz="4" w:space="0" w:color="auto"/>
            </w:tcBorders>
            <w:shd w:val="clear" w:color="auto" w:fill="auto"/>
            <w:noWrap/>
            <w:vAlign w:val="bottom"/>
            <w:hideMark/>
          </w:tcPr>
          <w:p w14:paraId="5BA5DE60" w14:textId="77777777" w:rsidR="00D215BD" w:rsidRPr="001314CA" w:rsidRDefault="00D215BD" w:rsidP="00D215BD">
            <w:pPr>
              <w:spacing w:before="0"/>
              <w:jc w:val="right"/>
              <w:rPr>
                <w:rFonts w:cs="Calibri"/>
                <w:sz w:val="22"/>
                <w:szCs w:val="22"/>
              </w:rPr>
            </w:pPr>
            <w:r w:rsidRPr="001314CA">
              <w:rPr>
                <w:rFonts w:cs="Calibri"/>
                <w:sz w:val="22"/>
                <w:szCs w:val="22"/>
              </w:rPr>
              <w:t>7 406,30</w:t>
            </w:r>
          </w:p>
        </w:tc>
        <w:tc>
          <w:tcPr>
            <w:tcW w:w="1333" w:type="dxa"/>
            <w:tcBorders>
              <w:top w:val="nil"/>
              <w:left w:val="single" w:sz="4" w:space="0" w:color="auto"/>
              <w:right w:val="single" w:sz="4" w:space="0" w:color="auto"/>
            </w:tcBorders>
            <w:shd w:val="clear" w:color="auto" w:fill="auto"/>
            <w:noWrap/>
            <w:vAlign w:val="bottom"/>
            <w:hideMark/>
          </w:tcPr>
          <w:p w14:paraId="0550F5F9"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right w:val="single" w:sz="4" w:space="0" w:color="auto"/>
            </w:tcBorders>
            <w:shd w:val="clear" w:color="auto" w:fill="auto"/>
            <w:noWrap/>
            <w:vAlign w:val="bottom"/>
            <w:hideMark/>
          </w:tcPr>
          <w:p w14:paraId="0DF916EB" w14:textId="77777777" w:rsidR="00D215BD" w:rsidRPr="001314CA" w:rsidRDefault="00D215BD" w:rsidP="00D215BD">
            <w:pPr>
              <w:spacing w:before="0"/>
              <w:jc w:val="right"/>
              <w:rPr>
                <w:rFonts w:cs="Calibri"/>
                <w:sz w:val="22"/>
                <w:szCs w:val="22"/>
              </w:rPr>
            </w:pPr>
            <w:r w:rsidRPr="001314CA">
              <w:rPr>
                <w:rFonts w:cs="Calibri"/>
                <w:sz w:val="22"/>
                <w:szCs w:val="22"/>
              </w:rPr>
              <w:t>7 406,30</w:t>
            </w:r>
          </w:p>
        </w:tc>
      </w:tr>
      <w:tr w:rsidR="00D215BD" w:rsidRPr="001314CA" w14:paraId="751B334B" w14:textId="77777777" w:rsidTr="00D215BD">
        <w:trPr>
          <w:trHeight w:val="300"/>
          <w:jc w:val="center"/>
        </w:trPr>
        <w:tc>
          <w:tcPr>
            <w:tcW w:w="4723" w:type="dxa"/>
            <w:tcBorders>
              <w:top w:val="nil"/>
              <w:left w:val="single" w:sz="4" w:space="0" w:color="auto"/>
              <w:bottom w:val="single" w:sz="4" w:space="0" w:color="auto"/>
              <w:right w:val="single" w:sz="4" w:space="0" w:color="auto"/>
            </w:tcBorders>
            <w:shd w:val="clear" w:color="auto" w:fill="auto"/>
            <w:vAlign w:val="bottom"/>
            <w:hideMark/>
          </w:tcPr>
          <w:p w14:paraId="62522549"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Tuwaiq</w:t>
            </w:r>
            <w:proofErr w:type="spellEnd"/>
            <w:r w:rsidRPr="001314CA">
              <w:rPr>
                <w:rFonts w:cs="Calibri"/>
                <w:sz w:val="22"/>
                <w:szCs w:val="22"/>
              </w:rPr>
              <w:t xml:space="preserve"> Communications </w:t>
            </w:r>
            <w:proofErr w:type="spellStart"/>
            <w:r w:rsidRPr="001314CA">
              <w:rPr>
                <w:rFonts w:cs="Calibri"/>
                <w:sz w:val="22"/>
                <w:szCs w:val="22"/>
              </w:rPr>
              <w:t>Company</w:t>
            </w:r>
            <w:proofErr w:type="spellEnd"/>
            <w:r w:rsidRPr="001314CA">
              <w:rPr>
                <w:rFonts w:cs="Calibri"/>
                <w:sz w:val="22"/>
                <w:szCs w:val="22"/>
              </w:rPr>
              <w:t>, Riyad</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046D3CF0" w14:textId="77777777" w:rsidR="00D215BD" w:rsidRPr="001314CA" w:rsidRDefault="00D215BD" w:rsidP="00D215BD">
            <w:pPr>
              <w:spacing w:before="0"/>
              <w:jc w:val="center"/>
              <w:rPr>
                <w:rFonts w:cs="Calibri"/>
                <w:sz w:val="22"/>
                <w:szCs w:val="22"/>
              </w:rPr>
            </w:pPr>
            <w:r w:rsidRPr="001314CA">
              <w:rPr>
                <w:rFonts w:cs="Calibri"/>
                <w:sz w:val="22"/>
                <w:szCs w:val="22"/>
              </w:rPr>
              <w:t>2008-2009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DC76760" w14:textId="77777777" w:rsidR="00D215BD" w:rsidRPr="001314CA" w:rsidRDefault="00D215BD" w:rsidP="00D215BD">
            <w:pPr>
              <w:spacing w:before="0"/>
              <w:jc w:val="right"/>
              <w:rPr>
                <w:rFonts w:cs="Calibri"/>
                <w:sz w:val="22"/>
                <w:szCs w:val="22"/>
              </w:rPr>
            </w:pPr>
            <w:r w:rsidRPr="001314CA">
              <w:rPr>
                <w:rFonts w:cs="Calibri"/>
                <w:sz w:val="22"/>
                <w:szCs w:val="22"/>
              </w:rPr>
              <w:t>83 580,20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15D5C3D1"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4C5D8CE" w14:textId="77777777" w:rsidR="00D215BD" w:rsidRPr="001314CA" w:rsidRDefault="00D215BD" w:rsidP="00D215BD">
            <w:pPr>
              <w:spacing w:before="0"/>
              <w:jc w:val="right"/>
              <w:rPr>
                <w:rFonts w:cs="Calibri"/>
                <w:sz w:val="22"/>
                <w:szCs w:val="22"/>
              </w:rPr>
            </w:pPr>
            <w:r w:rsidRPr="001314CA">
              <w:rPr>
                <w:rFonts w:cs="Calibri"/>
                <w:sz w:val="22"/>
                <w:szCs w:val="22"/>
              </w:rPr>
              <w:t>83 580,20</w:t>
            </w:r>
          </w:p>
        </w:tc>
      </w:tr>
    </w:tbl>
    <w:p w14:paraId="2F8BC9F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r w:rsidRPr="001314CA">
        <w:br w:type="page"/>
      </w:r>
    </w:p>
    <w:tbl>
      <w:tblPr>
        <w:tblW w:w="10343" w:type="dxa"/>
        <w:jc w:val="center"/>
        <w:tblLook w:val="04A0" w:firstRow="1" w:lastRow="0" w:firstColumn="1" w:lastColumn="0" w:noHBand="0" w:noVBand="1"/>
      </w:tblPr>
      <w:tblGrid>
        <w:gridCol w:w="4729"/>
        <w:gridCol w:w="1311"/>
        <w:gridCol w:w="1468"/>
        <w:gridCol w:w="1418"/>
        <w:gridCol w:w="1417"/>
      </w:tblGrid>
      <w:tr w:rsidR="00D215BD" w:rsidRPr="001314CA" w14:paraId="703B75CF" w14:textId="77777777" w:rsidTr="00D215BD">
        <w:trPr>
          <w:trHeight w:val="300"/>
          <w:jc w:val="center"/>
        </w:trPr>
        <w:tc>
          <w:tcPr>
            <w:tcW w:w="4729" w:type="dxa"/>
            <w:tcBorders>
              <w:top w:val="single" w:sz="4" w:space="0" w:color="auto"/>
              <w:left w:val="single" w:sz="4" w:space="0" w:color="auto"/>
              <w:bottom w:val="single" w:sz="4" w:space="0" w:color="auto"/>
              <w:right w:val="single" w:sz="4" w:space="0" w:color="auto"/>
            </w:tcBorders>
            <w:shd w:val="clear" w:color="auto" w:fill="auto"/>
            <w:vAlign w:val="bottom"/>
          </w:tcPr>
          <w:p w14:paraId="20D0F7F5" w14:textId="77777777" w:rsidR="00D215BD" w:rsidRPr="001314CA" w:rsidRDefault="00D215BD" w:rsidP="00D215BD">
            <w:pPr>
              <w:spacing w:after="120"/>
              <w:rPr>
                <w:rFonts w:cs="Calibri"/>
                <w:b/>
                <w:bCs/>
                <w:sz w:val="22"/>
                <w:szCs w:val="22"/>
              </w:rPr>
            </w:pPr>
            <w:r w:rsidRPr="001314CA">
              <w:rPr>
                <w:rFonts w:asciiTheme="minorHAnsi" w:hAnsiTheme="minorHAnsi"/>
                <w:b/>
                <w:sz w:val="22"/>
                <w:szCs w:val="22"/>
              </w:rPr>
              <w:lastRenderedPageBreak/>
              <w:t>B</w:t>
            </w:r>
            <w:r w:rsidRPr="001314CA">
              <w:rPr>
                <w:rFonts w:asciiTheme="minorHAnsi" w:hAnsiTheme="minorHAnsi"/>
                <w:b/>
                <w:sz w:val="22"/>
                <w:szCs w:val="22"/>
              </w:rPr>
              <w:tab/>
              <w:t>Membres de Secteur et autres entités</w:t>
            </w:r>
          </w:p>
        </w:tc>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0BC52DF3" w14:textId="77777777" w:rsidR="00D215BD" w:rsidRPr="001314CA" w:rsidRDefault="00D215BD" w:rsidP="00D215BD">
            <w:pPr>
              <w:jc w:val="center"/>
              <w:rPr>
                <w:rFonts w:cs="Calibri"/>
                <w:b/>
                <w:bCs/>
                <w:sz w:val="22"/>
                <w:szCs w:val="22"/>
              </w:rPr>
            </w:pPr>
            <w:r w:rsidRPr="001314CA">
              <w:rPr>
                <w:rFonts w:asciiTheme="minorHAnsi" w:hAnsiTheme="minorHAnsi"/>
                <w:b/>
                <w:sz w:val="22"/>
                <w:szCs w:val="22"/>
                <w:lang w:eastAsia="zh-CN"/>
              </w:rPr>
              <w:t>Année</w:t>
            </w:r>
          </w:p>
        </w:tc>
        <w:tc>
          <w:tcPr>
            <w:tcW w:w="1468" w:type="dxa"/>
            <w:tcBorders>
              <w:top w:val="single" w:sz="4" w:space="0" w:color="auto"/>
              <w:left w:val="single" w:sz="4" w:space="0" w:color="auto"/>
              <w:bottom w:val="single" w:sz="4" w:space="0" w:color="auto"/>
              <w:right w:val="single" w:sz="4" w:space="0" w:color="auto"/>
            </w:tcBorders>
            <w:shd w:val="clear" w:color="auto" w:fill="auto"/>
            <w:noWrap/>
          </w:tcPr>
          <w:p w14:paraId="268082BE" w14:textId="77777777" w:rsidR="00D215BD" w:rsidRPr="001314CA" w:rsidRDefault="00D215BD" w:rsidP="00D215BD">
            <w:pPr>
              <w:jc w:val="center"/>
              <w:rPr>
                <w:rFonts w:ascii="Times New Roman" w:hAnsi="Times New Roman"/>
                <w:sz w:val="22"/>
                <w:szCs w:val="22"/>
              </w:rPr>
            </w:pPr>
            <w:r w:rsidRPr="001314CA">
              <w:rPr>
                <w:rFonts w:asciiTheme="minorHAnsi" w:hAnsiTheme="minorHAnsi"/>
                <w:b/>
                <w:sz w:val="22"/>
                <w:szCs w:val="22"/>
                <w:lang w:eastAsia="zh-CN"/>
              </w:rPr>
              <w:t>Contributions</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B248718" w14:textId="77777777" w:rsidR="00D215BD" w:rsidRPr="001314CA" w:rsidRDefault="00D215BD" w:rsidP="00D215BD">
            <w:pPr>
              <w:jc w:val="center"/>
              <w:rPr>
                <w:rFonts w:ascii="Times New Roman" w:hAnsi="Times New Roman"/>
                <w:sz w:val="22"/>
                <w:szCs w:val="22"/>
              </w:rPr>
            </w:pPr>
            <w:r w:rsidRPr="001314CA">
              <w:rPr>
                <w:rFonts w:asciiTheme="minorHAnsi" w:hAnsiTheme="minorHAnsi"/>
                <w:b/>
                <w:sz w:val="22"/>
                <w:szCs w:val="22"/>
                <w:lang w:eastAsia="zh-CN"/>
              </w:rPr>
              <w:t>Publications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35F75EB" w14:textId="77777777" w:rsidR="00D215BD" w:rsidRPr="001314CA" w:rsidRDefault="00D215BD" w:rsidP="00D215BD">
            <w:pPr>
              <w:jc w:val="center"/>
              <w:rPr>
                <w:rFonts w:ascii="Times New Roman" w:hAnsi="Times New Roman"/>
                <w:sz w:val="22"/>
                <w:szCs w:val="22"/>
              </w:rPr>
            </w:pPr>
            <w:r w:rsidRPr="001314CA">
              <w:rPr>
                <w:rFonts w:asciiTheme="minorHAnsi" w:hAnsiTheme="minorHAnsi"/>
                <w:b/>
                <w:sz w:val="22"/>
                <w:szCs w:val="22"/>
                <w:lang w:eastAsia="zh-CN"/>
              </w:rPr>
              <w:t>Total</w:t>
            </w:r>
          </w:p>
        </w:tc>
      </w:tr>
      <w:tr w:rsidR="00D215BD" w:rsidRPr="001314CA" w14:paraId="55668C59"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3423844E" w14:textId="77777777" w:rsidR="00D215BD" w:rsidRPr="001314CA" w:rsidRDefault="00D215BD" w:rsidP="00D215BD">
            <w:pPr>
              <w:spacing w:before="0"/>
              <w:rPr>
                <w:rFonts w:cs="Calibri"/>
                <w:b/>
                <w:bCs/>
                <w:sz w:val="22"/>
                <w:szCs w:val="22"/>
              </w:rPr>
            </w:pPr>
            <w:r w:rsidRPr="001314CA">
              <w:rPr>
                <w:rFonts w:cs="Calibri"/>
                <w:b/>
                <w:bCs/>
                <w:sz w:val="22"/>
                <w:szCs w:val="22"/>
              </w:rPr>
              <w:t>Sénégal</w:t>
            </w:r>
          </w:p>
        </w:tc>
        <w:tc>
          <w:tcPr>
            <w:tcW w:w="1311" w:type="dxa"/>
            <w:tcBorders>
              <w:top w:val="nil"/>
              <w:left w:val="single" w:sz="4" w:space="0" w:color="auto"/>
              <w:bottom w:val="nil"/>
              <w:right w:val="single" w:sz="4" w:space="0" w:color="auto"/>
            </w:tcBorders>
            <w:shd w:val="clear" w:color="auto" w:fill="auto"/>
            <w:noWrap/>
            <w:vAlign w:val="bottom"/>
            <w:hideMark/>
          </w:tcPr>
          <w:p w14:paraId="519772C9"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3A1B69AD"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48B1F7D3"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6E7D3BA8" w14:textId="77777777" w:rsidR="00D215BD" w:rsidRPr="001314CA" w:rsidRDefault="00D215BD" w:rsidP="00D215BD">
            <w:pPr>
              <w:spacing w:before="0"/>
              <w:rPr>
                <w:rFonts w:ascii="Times New Roman" w:hAnsi="Times New Roman"/>
                <w:sz w:val="22"/>
                <w:szCs w:val="22"/>
              </w:rPr>
            </w:pPr>
          </w:p>
        </w:tc>
      </w:tr>
      <w:tr w:rsidR="00D215BD" w:rsidRPr="001314CA" w14:paraId="382C2C58" w14:textId="77777777" w:rsidTr="00D215BD">
        <w:trPr>
          <w:trHeight w:val="600"/>
          <w:jc w:val="center"/>
        </w:trPr>
        <w:tc>
          <w:tcPr>
            <w:tcW w:w="4729" w:type="dxa"/>
            <w:tcBorders>
              <w:top w:val="nil"/>
              <w:left w:val="single" w:sz="4" w:space="0" w:color="auto"/>
              <w:bottom w:val="nil"/>
              <w:right w:val="single" w:sz="4" w:space="0" w:color="auto"/>
            </w:tcBorders>
            <w:shd w:val="clear" w:color="auto" w:fill="auto"/>
            <w:vAlign w:val="bottom"/>
            <w:hideMark/>
          </w:tcPr>
          <w:p w14:paraId="5A2316F6"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Le Consortium du Service Universel (CSU), Médina (Dakar)</w:t>
            </w:r>
          </w:p>
        </w:tc>
        <w:tc>
          <w:tcPr>
            <w:tcW w:w="1311" w:type="dxa"/>
            <w:tcBorders>
              <w:top w:val="nil"/>
              <w:left w:val="single" w:sz="4" w:space="0" w:color="auto"/>
              <w:bottom w:val="nil"/>
              <w:right w:val="single" w:sz="4" w:space="0" w:color="auto"/>
            </w:tcBorders>
            <w:shd w:val="clear" w:color="auto" w:fill="auto"/>
            <w:noWrap/>
            <w:vAlign w:val="bottom"/>
            <w:hideMark/>
          </w:tcPr>
          <w:p w14:paraId="0F34B309"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73C527AC" w14:textId="77777777" w:rsidR="00D215BD" w:rsidRPr="001314CA" w:rsidRDefault="00D215BD" w:rsidP="00D215BD">
            <w:pPr>
              <w:spacing w:before="0"/>
              <w:jc w:val="right"/>
              <w:rPr>
                <w:rFonts w:cs="Calibri"/>
                <w:sz w:val="22"/>
                <w:szCs w:val="22"/>
              </w:rPr>
            </w:pPr>
            <w:r w:rsidRPr="001314CA">
              <w:rPr>
                <w:rFonts w:cs="Calibri"/>
                <w:sz w:val="22"/>
                <w:szCs w:val="22"/>
              </w:rPr>
              <w:t>8 743,05</w:t>
            </w:r>
          </w:p>
        </w:tc>
        <w:tc>
          <w:tcPr>
            <w:tcW w:w="1418" w:type="dxa"/>
            <w:tcBorders>
              <w:top w:val="nil"/>
              <w:left w:val="single" w:sz="4" w:space="0" w:color="auto"/>
              <w:bottom w:val="nil"/>
              <w:right w:val="single" w:sz="4" w:space="0" w:color="auto"/>
            </w:tcBorders>
            <w:shd w:val="clear" w:color="auto" w:fill="auto"/>
            <w:noWrap/>
            <w:vAlign w:val="bottom"/>
            <w:hideMark/>
          </w:tcPr>
          <w:p w14:paraId="6D8FF5A8"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46D017C1" w14:textId="77777777" w:rsidR="00D215BD" w:rsidRPr="001314CA" w:rsidRDefault="00D215BD" w:rsidP="00D215BD">
            <w:pPr>
              <w:spacing w:before="0"/>
              <w:jc w:val="right"/>
              <w:rPr>
                <w:rFonts w:cs="Calibri"/>
                <w:sz w:val="22"/>
                <w:szCs w:val="22"/>
              </w:rPr>
            </w:pPr>
            <w:r w:rsidRPr="001314CA">
              <w:rPr>
                <w:rFonts w:cs="Calibri"/>
                <w:sz w:val="22"/>
                <w:szCs w:val="22"/>
              </w:rPr>
              <w:t>8 743,05</w:t>
            </w:r>
          </w:p>
        </w:tc>
      </w:tr>
      <w:tr w:rsidR="00D215BD" w:rsidRPr="001314CA" w14:paraId="2601776C"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11ADEEA8"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Somalie</w:t>
            </w:r>
          </w:p>
        </w:tc>
        <w:tc>
          <w:tcPr>
            <w:tcW w:w="1311" w:type="dxa"/>
            <w:tcBorders>
              <w:top w:val="nil"/>
              <w:left w:val="single" w:sz="4" w:space="0" w:color="auto"/>
              <w:bottom w:val="nil"/>
              <w:right w:val="single" w:sz="4" w:space="0" w:color="auto"/>
            </w:tcBorders>
            <w:shd w:val="clear" w:color="auto" w:fill="auto"/>
            <w:noWrap/>
            <w:vAlign w:val="bottom"/>
            <w:hideMark/>
          </w:tcPr>
          <w:p w14:paraId="58A96FD5"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77341F2F"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259D41FD"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1CF960C0" w14:textId="77777777" w:rsidR="00D215BD" w:rsidRPr="001314CA" w:rsidRDefault="00D215BD" w:rsidP="00D215BD">
            <w:pPr>
              <w:spacing w:before="0"/>
              <w:rPr>
                <w:rFonts w:ascii="Times New Roman" w:hAnsi="Times New Roman"/>
                <w:sz w:val="22"/>
                <w:szCs w:val="22"/>
              </w:rPr>
            </w:pPr>
          </w:p>
        </w:tc>
      </w:tr>
      <w:tr w:rsidR="00D215BD" w:rsidRPr="001314CA" w14:paraId="3D86C70C"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214F43A0"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Telcom</w:t>
            </w:r>
            <w:proofErr w:type="spellEnd"/>
            <w:r w:rsidRPr="001314CA">
              <w:rPr>
                <w:rFonts w:cs="Calibri"/>
                <w:sz w:val="22"/>
                <w:szCs w:val="22"/>
              </w:rPr>
              <w:t xml:space="preserve"> </w:t>
            </w:r>
            <w:proofErr w:type="spellStart"/>
            <w:r w:rsidRPr="001314CA">
              <w:rPr>
                <w:rFonts w:cs="Calibri"/>
                <w:sz w:val="22"/>
                <w:szCs w:val="22"/>
              </w:rPr>
              <w:t>Somalia</w:t>
            </w:r>
            <w:proofErr w:type="spellEnd"/>
            <w:r w:rsidRPr="001314CA">
              <w:rPr>
                <w:rFonts w:cs="Calibri"/>
                <w:sz w:val="22"/>
                <w:szCs w:val="22"/>
              </w:rPr>
              <w:t>, Mogadiscio</w:t>
            </w:r>
          </w:p>
        </w:tc>
        <w:tc>
          <w:tcPr>
            <w:tcW w:w="1311" w:type="dxa"/>
            <w:tcBorders>
              <w:top w:val="nil"/>
              <w:left w:val="single" w:sz="4" w:space="0" w:color="auto"/>
              <w:bottom w:val="nil"/>
              <w:right w:val="single" w:sz="4" w:space="0" w:color="auto"/>
            </w:tcBorders>
            <w:shd w:val="clear" w:color="auto" w:fill="auto"/>
            <w:noWrap/>
            <w:vAlign w:val="bottom"/>
            <w:hideMark/>
          </w:tcPr>
          <w:p w14:paraId="78E21F59" w14:textId="77777777" w:rsidR="00D215BD" w:rsidRPr="001314CA" w:rsidRDefault="00D215BD" w:rsidP="00D215BD">
            <w:pPr>
              <w:spacing w:before="0"/>
              <w:jc w:val="center"/>
              <w:rPr>
                <w:rFonts w:cs="Calibri"/>
                <w:sz w:val="22"/>
                <w:szCs w:val="22"/>
              </w:rPr>
            </w:pPr>
            <w:r w:rsidRPr="001314CA">
              <w:rPr>
                <w:rFonts w:cs="Calibri"/>
                <w:sz w:val="22"/>
                <w:szCs w:val="22"/>
              </w:rPr>
              <w:t>2005-2007</w:t>
            </w:r>
          </w:p>
        </w:tc>
        <w:tc>
          <w:tcPr>
            <w:tcW w:w="1468" w:type="dxa"/>
            <w:tcBorders>
              <w:top w:val="nil"/>
              <w:left w:val="single" w:sz="4" w:space="0" w:color="auto"/>
              <w:bottom w:val="nil"/>
              <w:right w:val="single" w:sz="4" w:space="0" w:color="auto"/>
            </w:tcBorders>
            <w:shd w:val="clear" w:color="auto" w:fill="auto"/>
            <w:noWrap/>
            <w:vAlign w:val="bottom"/>
            <w:hideMark/>
          </w:tcPr>
          <w:p w14:paraId="15D98B73" w14:textId="77777777" w:rsidR="00D215BD" w:rsidRPr="001314CA" w:rsidRDefault="00D215BD" w:rsidP="00D215BD">
            <w:pPr>
              <w:spacing w:before="0"/>
              <w:jc w:val="right"/>
              <w:rPr>
                <w:rFonts w:cs="Calibri"/>
                <w:sz w:val="22"/>
                <w:szCs w:val="22"/>
              </w:rPr>
            </w:pPr>
            <w:r w:rsidRPr="001314CA">
              <w:rPr>
                <w:rFonts w:cs="Calibri"/>
                <w:sz w:val="22"/>
                <w:szCs w:val="22"/>
              </w:rPr>
              <w:t>18 820,30</w:t>
            </w:r>
          </w:p>
        </w:tc>
        <w:tc>
          <w:tcPr>
            <w:tcW w:w="1418" w:type="dxa"/>
            <w:tcBorders>
              <w:top w:val="nil"/>
              <w:left w:val="single" w:sz="4" w:space="0" w:color="auto"/>
              <w:bottom w:val="nil"/>
              <w:right w:val="single" w:sz="4" w:space="0" w:color="auto"/>
            </w:tcBorders>
            <w:shd w:val="clear" w:color="auto" w:fill="auto"/>
            <w:noWrap/>
            <w:vAlign w:val="bottom"/>
            <w:hideMark/>
          </w:tcPr>
          <w:p w14:paraId="55C786D4"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28C5ADD" w14:textId="77777777" w:rsidR="00D215BD" w:rsidRPr="001314CA" w:rsidRDefault="00D215BD" w:rsidP="00D215BD">
            <w:pPr>
              <w:spacing w:before="0"/>
              <w:jc w:val="right"/>
              <w:rPr>
                <w:rFonts w:cs="Calibri"/>
                <w:sz w:val="22"/>
                <w:szCs w:val="22"/>
              </w:rPr>
            </w:pPr>
            <w:r w:rsidRPr="001314CA">
              <w:rPr>
                <w:rFonts w:cs="Calibri"/>
                <w:sz w:val="22"/>
                <w:szCs w:val="22"/>
              </w:rPr>
              <w:t>18 820,30</w:t>
            </w:r>
          </w:p>
        </w:tc>
      </w:tr>
      <w:tr w:rsidR="00D215BD" w:rsidRPr="001314CA" w14:paraId="136F70F0"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768EED60" w14:textId="77777777" w:rsidR="00D215BD" w:rsidRPr="001314CA" w:rsidRDefault="00D215BD" w:rsidP="00D215BD">
            <w:pPr>
              <w:tabs>
                <w:tab w:val="clear" w:pos="567"/>
              </w:tabs>
              <w:spacing w:before="0"/>
              <w:ind w:left="317" w:hanging="317"/>
              <w:rPr>
                <w:rFonts w:cs="Calibri"/>
                <w:b/>
                <w:bCs/>
                <w:sz w:val="22"/>
                <w:szCs w:val="22"/>
              </w:rPr>
            </w:pPr>
            <w:r w:rsidRPr="001314CA">
              <w:rPr>
                <w:b/>
                <w:sz w:val="22"/>
                <w:szCs w:val="22"/>
              </w:rPr>
              <w:t>République sudafricaine</w:t>
            </w:r>
          </w:p>
        </w:tc>
        <w:tc>
          <w:tcPr>
            <w:tcW w:w="1311" w:type="dxa"/>
            <w:tcBorders>
              <w:top w:val="nil"/>
              <w:left w:val="single" w:sz="4" w:space="0" w:color="auto"/>
              <w:bottom w:val="nil"/>
              <w:right w:val="single" w:sz="4" w:space="0" w:color="auto"/>
            </w:tcBorders>
            <w:shd w:val="clear" w:color="auto" w:fill="auto"/>
            <w:noWrap/>
            <w:vAlign w:val="bottom"/>
            <w:hideMark/>
          </w:tcPr>
          <w:p w14:paraId="643569CB"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70287C91"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5C3FAF20" w14:textId="77777777" w:rsidR="00D215BD" w:rsidRPr="001314CA" w:rsidRDefault="00D215BD" w:rsidP="00D215BD">
            <w:pPr>
              <w:spacing w:before="0"/>
              <w:jc w:val="right"/>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122E408F" w14:textId="77777777" w:rsidR="00D215BD" w:rsidRPr="001314CA" w:rsidRDefault="00D215BD" w:rsidP="00D215BD">
            <w:pPr>
              <w:spacing w:before="0"/>
              <w:jc w:val="right"/>
              <w:rPr>
                <w:rFonts w:ascii="Times New Roman" w:hAnsi="Times New Roman"/>
                <w:sz w:val="22"/>
                <w:szCs w:val="22"/>
              </w:rPr>
            </w:pPr>
          </w:p>
        </w:tc>
      </w:tr>
      <w:tr w:rsidR="00D215BD" w:rsidRPr="001314CA" w14:paraId="10447BDE"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354C6980"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Cell C (Pty) Ltd., Benmore</w:t>
            </w:r>
          </w:p>
        </w:tc>
        <w:tc>
          <w:tcPr>
            <w:tcW w:w="1311" w:type="dxa"/>
            <w:tcBorders>
              <w:top w:val="nil"/>
              <w:left w:val="single" w:sz="4" w:space="0" w:color="auto"/>
              <w:bottom w:val="nil"/>
              <w:right w:val="single" w:sz="4" w:space="0" w:color="auto"/>
            </w:tcBorders>
            <w:shd w:val="clear" w:color="auto" w:fill="auto"/>
            <w:noWrap/>
            <w:vAlign w:val="bottom"/>
            <w:hideMark/>
          </w:tcPr>
          <w:p w14:paraId="4F7823D3" w14:textId="77777777" w:rsidR="00D215BD" w:rsidRPr="001314CA" w:rsidRDefault="00D215BD" w:rsidP="00D215BD">
            <w:pPr>
              <w:spacing w:before="0"/>
              <w:jc w:val="center"/>
              <w:rPr>
                <w:rFonts w:cs="Calibri"/>
                <w:sz w:val="22"/>
                <w:szCs w:val="22"/>
              </w:rPr>
            </w:pPr>
            <w:r w:rsidRPr="001314CA">
              <w:rPr>
                <w:rFonts w:cs="Calibri"/>
                <w:sz w:val="22"/>
                <w:szCs w:val="22"/>
              </w:rPr>
              <w:t>2004-2007</w:t>
            </w:r>
          </w:p>
        </w:tc>
        <w:tc>
          <w:tcPr>
            <w:tcW w:w="1468" w:type="dxa"/>
            <w:tcBorders>
              <w:top w:val="nil"/>
              <w:left w:val="single" w:sz="4" w:space="0" w:color="auto"/>
              <w:bottom w:val="nil"/>
              <w:right w:val="single" w:sz="4" w:space="0" w:color="auto"/>
            </w:tcBorders>
            <w:shd w:val="clear" w:color="auto" w:fill="auto"/>
            <w:noWrap/>
            <w:vAlign w:val="bottom"/>
            <w:hideMark/>
          </w:tcPr>
          <w:p w14:paraId="4F0324B3" w14:textId="77777777" w:rsidR="00D215BD" w:rsidRPr="001314CA" w:rsidRDefault="00D215BD" w:rsidP="00D215BD">
            <w:pPr>
              <w:spacing w:before="0"/>
              <w:jc w:val="right"/>
              <w:rPr>
                <w:rFonts w:cs="Calibri"/>
                <w:sz w:val="22"/>
                <w:szCs w:val="22"/>
              </w:rPr>
            </w:pPr>
            <w:r w:rsidRPr="001314CA">
              <w:rPr>
                <w:rFonts w:cs="Calibri"/>
                <w:sz w:val="22"/>
                <w:szCs w:val="22"/>
              </w:rPr>
              <w:t>585 554,00</w:t>
            </w:r>
          </w:p>
        </w:tc>
        <w:tc>
          <w:tcPr>
            <w:tcW w:w="1418" w:type="dxa"/>
            <w:tcBorders>
              <w:top w:val="nil"/>
              <w:left w:val="single" w:sz="4" w:space="0" w:color="auto"/>
              <w:bottom w:val="nil"/>
              <w:right w:val="single" w:sz="4" w:space="0" w:color="auto"/>
            </w:tcBorders>
            <w:shd w:val="clear" w:color="auto" w:fill="auto"/>
            <w:noWrap/>
            <w:vAlign w:val="bottom"/>
            <w:hideMark/>
          </w:tcPr>
          <w:p w14:paraId="46A3D911"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6CB4C8D" w14:textId="77777777" w:rsidR="00D215BD" w:rsidRPr="001314CA" w:rsidRDefault="00D215BD" w:rsidP="00D215BD">
            <w:pPr>
              <w:spacing w:before="0"/>
              <w:jc w:val="right"/>
              <w:rPr>
                <w:rFonts w:cs="Calibri"/>
                <w:sz w:val="22"/>
                <w:szCs w:val="22"/>
              </w:rPr>
            </w:pPr>
            <w:r w:rsidRPr="001314CA">
              <w:rPr>
                <w:rFonts w:cs="Calibri"/>
                <w:sz w:val="22"/>
                <w:szCs w:val="22"/>
              </w:rPr>
              <w:t>585 554,00</w:t>
            </w:r>
          </w:p>
        </w:tc>
      </w:tr>
      <w:tr w:rsidR="00D215BD" w:rsidRPr="001314CA" w14:paraId="322650BE"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2E50A16E"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Soudan</w:t>
            </w:r>
          </w:p>
        </w:tc>
        <w:tc>
          <w:tcPr>
            <w:tcW w:w="1311" w:type="dxa"/>
            <w:tcBorders>
              <w:top w:val="nil"/>
              <w:left w:val="single" w:sz="4" w:space="0" w:color="auto"/>
              <w:bottom w:val="nil"/>
              <w:right w:val="single" w:sz="4" w:space="0" w:color="auto"/>
            </w:tcBorders>
            <w:shd w:val="clear" w:color="auto" w:fill="auto"/>
            <w:noWrap/>
            <w:vAlign w:val="bottom"/>
            <w:hideMark/>
          </w:tcPr>
          <w:p w14:paraId="664DD220"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5282F54F"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0509AFD2"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5FAAAFC7" w14:textId="77777777" w:rsidR="00D215BD" w:rsidRPr="001314CA" w:rsidRDefault="00D215BD" w:rsidP="00D215BD">
            <w:pPr>
              <w:spacing w:before="0"/>
              <w:rPr>
                <w:rFonts w:ascii="Times New Roman" w:hAnsi="Times New Roman"/>
                <w:sz w:val="22"/>
                <w:szCs w:val="22"/>
              </w:rPr>
            </w:pPr>
          </w:p>
        </w:tc>
      </w:tr>
      <w:tr w:rsidR="00D215BD" w:rsidRPr="001314CA" w14:paraId="4402334C" w14:textId="77777777" w:rsidTr="00D215BD">
        <w:trPr>
          <w:trHeight w:val="600"/>
          <w:jc w:val="center"/>
        </w:trPr>
        <w:tc>
          <w:tcPr>
            <w:tcW w:w="4729" w:type="dxa"/>
            <w:tcBorders>
              <w:top w:val="nil"/>
              <w:left w:val="single" w:sz="4" w:space="0" w:color="auto"/>
              <w:bottom w:val="nil"/>
              <w:right w:val="single" w:sz="4" w:space="0" w:color="auto"/>
            </w:tcBorders>
            <w:shd w:val="clear" w:color="auto" w:fill="auto"/>
            <w:vAlign w:val="bottom"/>
            <w:hideMark/>
          </w:tcPr>
          <w:p w14:paraId="02F44EA3"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Université Garden City de science et de technologie, Khartoum</w:t>
            </w:r>
          </w:p>
        </w:tc>
        <w:tc>
          <w:tcPr>
            <w:tcW w:w="1311" w:type="dxa"/>
            <w:tcBorders>
              <w:top w:val="nil"/>
              <w:left w:val="single" w:sz="4" w:space="0" w:color="auto"/>
              <w:bottom w:val="nil"/>
              <w:right w:val="single" w:sz="4" w:space="0" w:color="auto"/>
            </w:tcBorders>
            <w:shd w:val="clear" w:color="auto" w:fill="auto"/>
            <w:noWrap/>
            <w:vAlign w:val="bottom"/>
            <w:hideMark/>
          </w:tcPr>
          <w:p w14:paraId="71796CDF" w14:textId="77777777" w:rsidR="00D215BD" w:rsidRPr="001314CA" w:rsidRDefault="00D215BD" w:rsidP="00D215BD">
            <w:pPr>
              <w:spacing w:before="0"/>
              <w:jc w:val="center"/>
              <w:rPr>
                <w:rFonts w:cs="Calibri"/>
                <w:sz w:val="22"/>
                <w:szCs w:val="22"/>
              </w:rPr>
            </w:pPr>
            <w:r w:rsidRPr="001314CA">
              <w:rPr>
                <w:rFonts w:cs="Calibri"/>
                <w:sz w:val="22"/>
                <w:szCs w:val="22"/>
              </w:rPr>
              <w:t>2013-2014</w:t>
            </w:r>
          </w:p>
        </w:tc>
        <w:tc>
          <w:tcPr>
            <w:tcW w:w="1468" w:type="dxa"/>
            <w:tcBorders>
              <w:top w:val="nil"/>
              <w:left w:val="single" w:sz="4" w:space="0" w:color="auto"/>
              <w:bottom w:val="nil"/>
              <w:right w:val="single" w:sz="4" w:space="0" w:color="auto"/>
            </w:tcBorders>
            <w:shd w:val="clear" w:color="auto" w:fill="auto"/>
            <w:noWrap/>
            <w:vAlign w:val="bottom"/>
            <w:hideMark/>
          </w:tcPr>
          <w:p w14:paraId="5A52A6EA" w14:textId="77777777" w:rsidR="00D215BD" w:rsidRPr="001314CA" w:rsidRDefault="00D215BD" w:rsidP="00D215BD">
            <w:pPr>
              <w:spacing w:before="0"/>
              <w:jc w:val="right"/>
              <w:rPr>
                <w:rFonts w:cs="Calibri"/>
                <w:sz w:val="22"/>
                <w:szCs w:val="22"/>
              </w:rPr>
            </w:pPr>
            <w:r w:rsidRPr="001314CA">
              <w:rPr>
                <w:rFonts w:cs="Calibri"/>
                <w:sz w:val="22"/>
                <w:szCs w:val="22"/>
              </w:rPr>
              <w:t>3 745,55</w:t>
            </w:r>
          </w:p>
        </w:tc>
        <w:tc>
          <w:tcPr>
            <w:tcW w:w="1418" w:type="dxa"/>
            <w:tcBorders>
              <w:top w:val="nil"/>
              <w:left w:val="single" w:sz="4" w:space="0" w:color="auto"/>
              <w:bottom w:val="nil"/>
              <w:right w:val="single" w:sz="4" w:space="0" w:color="auto"/>
            </w:tcBorders>
            <w:shd w:val="clear" w:color="auto" w:fill="auto"/>
            <w:noWrap/>
            <w:vAlign w:val="bottom"/>
            <w:hideMark/>
          </w:tcPr>
          <w:p w14:paraId="2FDA522D"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58F42CA" w14:textId="77777777" w:rsidR="00D215BD" w:rsidRPr="001314CA" w:rsidRDefault="00D215BD" w:rsidP="00D215BD">
            <w:pPr>
              <w:spacing w:before="0"/>
              <w:jc w:val="right"/>
              <w:rPr>
                <w:rFonts w:cs="Calibri"/>
                <w:sz w:val="22"/>
                <w:szCs w:val="22"/>
              </w:rPr>
            </w:pPr>
            <w:r w:rsidRPr="001314CA">
              <w:rPr>
                <w:rFonts w:cs="Calibri"/>
                <w:sz w:val="22"/>
                <w:szCs w:val="22"/>
              </w:rPr>
              <w:t>3 745,55</w:t>
            </w:r>
          </w:p>
        </w:tc>
      </w:tr>
      <w:tr w:rsidR="00D215BD" w:rsidRPr="001314CA" w14:paraId="5B580490"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2376C460"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Université ouverte du Soudan, Khartoum</w:t>
            </w:r>
          </w:p>
        </w:tc>
        <w:tc>
          <w:tcPr>
            <w:tcW w:w="1311" w:type="dxa"/>
            <w:tcBorders>
              <w:top w:val="nil"/>
              <w:left w:val="single" w:sz="4" w:space="0" w:color="auto"/>
              <w:bottom w:val="nil"/>
              <w:right w:val="single" w:sz="4" w:space="0" w:color="auto"/>
            </w:tcBorders>
            <w:shd w:val="clear" w:color="auto" w:fill="auto"/>
            <w:noWrap/>
            <w:vAlign w:val="bottom"/>
            <w:hideMark/>
          </w:tcPr>
          <w:p w14:paraId="1E586195" w14:textId="77777777" w:rsidR="00D215BD" w:rsidRPr="001314CA" w:rsidRDefault="00D215BD" w:rsidP="00D215BD">
            <w:pPr>
              <w:spacing w:before="0"/>
              <w:jc w:val="center"/>
              <w:rPr>
                <w:rFonts w:cs="Calibri"/>
                <w:sz w:val="22"/>
                <w:szCs w:val="22"/>
              </w:rPr>
            </w:pPr>
            <w:r w:rsidRPr="001314CA">
              <w:rPr>
                <w:rFonts w:cs="Calibri"/>
                <w:sz w:val="22"/>
                <w:szCs w:val="22"/>
              </w:rPr>
              <w:t>2013-2014</w:t>
            </w:r>
          </w:p>
        </w:tc>
        <w:tc>
          <w:tcPr>
            <w:tcW w:w="1468" w:type="dxa"/>
            <w:tcBorders>
              <w:top w:val="nil"/>
              <w:left w:val="single" w:sz="4" w:space="0" w:color="auto"/>
              <w:bottom w:val="nil"/>
              <w:right w:val="single" w:sz="4" w:space="0" w:color="auto"/>
            </w:tcBorders>
            <w:shd w:val="clear" w:color="auto" w:fill="auto"/>
            <w:noWrap/>
            <w:vAlign w:val="bottom"/>
            <w:hideMark/>
          </w:tcPr>
          <w:p w14:paraId="3FA44847" w14:textId="77777777" w:rsidR="00D215BD" w:rsidRPr="001314CA" w:rsidRDefault="00D215BD" w:rsidP="00D215BD">
            <w:pPr>
              <w:spacing w:before="0"/>
              <w:jc w:val="right"/>
              <w:rPr>
                <w:rFonts w:cs="Calibri"/>
                <w:sz w:val="22"/>
                <w:szCs w:val="22"/>
              </w:rPr>
            </w:pPr>
            <w:r w:rsidRPr="001314CA">
              <w:rPr>
                <w:rFonts w:cs="Calibri"/>
                <w:sz w:val="22"/>
                <w:szCs w:val="22"/>
              </w:rPr>
              <w:t>3 745,55</w:t>
            </w:r>
          </w:p>
        </w:tc>
        <w:tc>
          <w:tcPr>
            <w:tcW w:w="1418" w:type="dxa"/>
            <w:tcBorders>
              <w:top w:val="nil"/>
              <w:left w:val="single" w:sz="4" w:space="0" w:color="auto"/>
              <w:bottom w:val="nil"/>
              <w:right w:val="single" w:sz="4" w:space="0" w:color="auto"/>
            </w:tcBorders>
            <w:shd w:val="clear" w:color="auto" w:fill="auto"/>
            <w:noWrap/>
            <w:vAlign w:val="bottom"/>
            <w:hideMark/>
          </w:tcPr>
          <w:p w14:paraId="1C7599A5"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6941E37" w14:textId="77777777" w:rsidR="00D215BD" w:rsidRPr="001314CA" w:rsidRDefault="00D215BD" w:rsidP="00D215BD">
            <w:pPr>
              <w:spacing w:before="0"/>
              <w:jc w:val="right"/>
              <w:rPr>
                <w:rFonts w:cs="Calibri"/>
                <w:sz w:val="22"/>
                <w:szCs w:val="22"/>
              </w:rPr>
            </w:pPr>
            <w:r w:rsidRPr="001314CA">
              <w:rPr>
                <w:rFonts w:cs="Calibri"/>
                <w:sz w:val="22"/>
                <w:szCs w:val="22"/>
              </w:rPr>
              <w:t>3 745,55</w:t>
            </w:r>
          </w:p>
        </w:tc>
      </w:tr>
      <w:tr w:rsidR="00D215BD" w:rsidRPr="001314CA" w14:paraId="110AFFA8"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5AB3E752"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Pulse </w:t>
            </w:r>
            <w:proofErr w:type="spellStart"/>
            <w:r w:rsidRPr="001314CA">
              <w:rPr>
                <w:rFonts w:cs="Calibri"/>
                <w:sz w:val="22"/>
                <w:szCs w:val="22"/>
              </w:rPr>
              <w:t>Company</w:t>
            </w:r>
            <w:proofErr w:type="spellEnd"/>
            <w:r w:rsidRPr="001314CA">
              <w:rPr>
                <w:rFonts w:cs="Calibri"/>
                <w:sz w:val="22"/>
                <w:szCs w:val="22"/>
              </w:rPr>
              <w:t xml:space="preserve"> Ltd., Khartoum</w:t>
            </w:r>
          </w:p>
        </w:tc>
        <w:tc>
          <w:tcPr>
            <w:tcW w:w="1311" w:type="dxa"/>
            <w:tcBorders>
              <w:top w:val="nil"/>
              <w:left w:val="single" w:sz="4" w:space="0" w:color="auto"/>
              <w:bottom w:val="nil"/>
              <w:right w:val="single" w:sz="4" w:space="0" w:color="auto"/>
            </w:tcBorders>
            <w:shd w:val="clear" w:color="auto" w:fill="auto"/>
            <w:noWrap/>
            <w:vAlign w:val="bottom"/>
            <w:hideMark/>
          </w:tcPr>
          <w:p w14:paraId="42BE1AEB" w14:textId="77777777" w:rsidR="00D215BD" w:rsidRPr="001314CA" w:rsidRDefault="00D215BD" w:rsidP="00D215BD">
            <w:pPr>
              <w:spacing w:before="0"/>
              <w:jc w:val="center"/>
              <w:rPr>
                <w:rFonts w:cs="Calibri"/>
                <w:sz w:val="22"/>
                <w:szCs w:val="22"/>
              </w:rPr>
            </w:pPr>
            <w:r w:rsidRPr="001314CA">
              <w:rPr>
                <w:rFonts w:cs="Calibri"/>
                <w:sz w:val="22"/>
                <w:szCs w:val="22"/>
              </w:rPr>
              <w:t>2016</w:t>
            </w:r>
          </w:p>
        </w:tc>
        <w:tc>
          <w:tcPr>
            <w:tcW w:w="1468" w:type="dxa"/>
            <w:tcBorders>
              <w:top w:val="nil"/>
              <w:left w:val="single" w:sz="4" w:space="0" w:color="auto"/>
              <w:bottom w:val="nil"/>
              <w:right w:val="single" w:sz="4" w:space="0" w:color="auto"/>
            </w:tcBorders>
            <w:shd w:val="clear" w:color="auto" w:fill="auto"/>
            <w:noWrap/>
            <w:vAlign w:val="bottom"/>
            <w:hideMark/>
          </w:tcPr>
          <w:p w14:paraId="121B72F4" w14:textId="77777777" w:rsidR="00D215BD" w:rsidRPr="001314CA" w:rsidRDefault="00D215BD" w:rsidP="00D215BD">
            <w:pPr>
              <w:spacing w:before="0"/>
              <w:jc w:val="right"/>
              <w:rPr>
                <w:rFonts w:cs="Calibri"/>
                <w:sz w:val="22"/>
                <w:szCs w:val="22"/>
              </w:rPr>
            </w:pPr>
            <w:r w:rsidRPr="001314CA">
              <w:rPr>
                <w:rFonts w:cs="Calibri"/>
                <w:sz w:val="22"/>
                <w:szCs w:val="22"/>
              </w:rPr>
              <w:t>5 206,55</w:t>
            </w:r>
          </w:p>
        </w:tc>
        <w:tc>
          <w:tcPr>
            <w:tcW w:w="1418" w:type="dxa"/>
            <w:tcBorders>
              <w:top w:val="nil"/>
              <w:left w:val="single" w:sz="4" w:space="0" w:color="auto"/>
              <w:bottom w:val="nil"/>
              <w:right w:val="single" w:sz="4" w:space="0" w:color="auto"/>
            </w:tcBorders>
            <w:shd w:val="clear" w:color="auto" w:fill="auto"/>
            <w:noWrap/>
            <w:vAlign w:val="bottom"/>
            <w:hideMark/>
          </w:tcPr>
          <w:p w14:paraId="4215BC5A"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6E7ADFF" w14:textId="77777777" w:rsidR="00D215BD" w:rsidRPr="001314CA" w:rsidRDefault="00D215BD" w:rsidP="00D215BD">
            <w:pPr>
              <w:spacing w:before="0"/>
              <w:jc w:val="right"/>
              <w:rPr>
                <w:rFonts w:cs="Calibri"/>
                <w:sz w:val="22"/>
                <w:szCs w:val="22"/>
              </w:rPr>
            </w:pPr>
            <w:r w:rsidRPr="001314CA">
              <w:rPr>
                <w:rFonts w:cs="Calibri"/>
                <w:sz w:val="22"/>
                <w:szCs w:val="22"/>
              </w:rPr>
              <w:t>5 206,55</w:t>
            </w:r>
          </w:p>
        </w:tc>
      </w:tr>
      <w:tr w:rsidR="00D215BD" w:rsidRPr="001314CA" w14:paraId="0B437329"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6DFE98B6"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Université de Khartoum, Khartoum</w:t>
            </w:r>
          </w:p>
        </w:tc>
        <w:tc>
          <w:tcPr>
            <w:tcW w:w="1311" w:type="dxa"/>
            <w:tcBorders>
              <w:top w:val="nil"/>
              <w:left w:val="single" w:sz="4" w:space="0" w:color="auto"/>
              <w:bottom w:val="nil"/>
              <w:right w:val="single" w:sz="4" w:space="0" w:color="auto"/>
            </w:tcBorders>
            <w:shd w:val="clear" w:color="auto" w:fill="auto"/>
            <w:noWrap/>
            <w:vAlign w:val="bottom"/>
            <w:hideMark/>
          </w:tcPr>
          <w:p w14:paraId="5B355F4C" w14:textId="77777777" w:rsidR="00D215BD" w:rsidRPr="001314CA" w:rsidRDefault="00D215BD" w:rsidP="00D215BD">
            <w:pPr>
              <w:spacing w:before="0"/>
              <w:jc w:val="center"/>
              <w:rPr>
                <w:rFonts w:cs="Calibri"/>
                <w:sz w:val="22"/>
                <w:szCs w:val="22"/>
              </w:rPr>
            </w:pPr>
            <w:r w:rsidRPr="001314CA">
              <w:rPr>
                <w:rFonts w:cs="Calibri"/>
                <w:sz w:val="22"/>
                <w:szCs w:val="22"/>
              </w:rPr>
              <w:t>2013-2014</w:t>
            </w:r>
          </w:p>
        </w:tc>
        <w:tc>
          <w:tcPr>
            <w:tcW w:w="1468" w:type="dxa"/>
            <w:tcBorders>
              <w:top w:val="nil"/>
              <w:left w:val="single" w:sz="4" w:space="0" w:color="auto"/>
              <w:bottom w:val="nil"/>
              <w:right w:val="single" w:sz="4" w:space="0" w:color="auto"/>
            </w:tcBorders>
            <w:shd w:val="clear" w:color="auto" w:fill="auto"/>
            <w:noWrap/>
            <w:vAlign w:val="bottom"/>
            <w:hideMark/>
          </w:tcPr>
          <w:p w14:paraId="2995D714" w14:textId="77777777" w:rsidR="00D215BD" w:rsidRPr="001314CA" w:rsidRDefault="00D215BD" w:rsidP="00D215BD">
            <w:pPr>
              <w:spacing w:before="0"/>
              <w:jc w:val="right"/>
              <w:rPr>
                <w:rFonts w:cs="Calibri"/>
                <w:sz w:val="22"/>
                <w:szCs w:val="22"/>
              </w:rPr>
            </w:pPr>
            <w:r w:rsidRPr="001314CA">
              <w:rPr>
                <w:rFonts w:cs="Calibri"/>
                <w:sz w:val="22"/>
                <w:szCs w:val="22"/>
              </w:rPr>
              <w:t>3 745,55</w:t>
            </w:r>
          </w:p>
        </w:tc>
        <w:tc>
          <w:tcPr>
            <w:tcW w:w="1418" w:type="dxa"/>
            <w:tcBorders>
              <w:top w:val="nil"/>
              <w:left w:val="single" w:sz="4" w:space="0" w:color="auto"/>
              <w:bottom w:val="nil"/>
              <w:right w:val="single" w:sz="4" w:space="0" w:color="auto"/>
            </w:tcBorders>
            <w:shd w:val="clear" w:color="auto" w:fill="auto"/>
            <w:noWrap/>
            <w:vAlign w:val="bottom"/>
            <w:hideMark/>
          </w:tcPr>
          <w:p w14:paraId="7468E664"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75B7925" w14:textId="77777777" w:rsidR="00D215BD" w:rsidRPr="001314CA" w:rsidRDefault="00D215BD" w:rsidP="00D215BD">
            <w:pPr>
              <w:spacing w:before="0"/>
              <w:jc w:val="right"/>
              <w:rPr>
                <w:rFonts w:cs="Calibri"/>
                <w:sz w:val="22"/>
                <w:szCs w:val="22"/>
              </w:rPr>
            </w:pPr>
            <w:r w:rsidRPr="001314CA">
              <w:rPr>
                <w:rFonts w:cs="Calibri"/>
                <w:sz w:val="22"/>
                <w:szCs w:val="22"/>
              </w:rPr>
              <w:t>3 745,55</w:t>
            </w:r>
          </w:p>
        </w:tc>
      </w:tr>
      <w:tr w:rsidR="00D215BD" w:rsidRPr="001314CA" w14:paraId="2D78CF77"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35A5A2F8"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Suède</w:t>
            </w:r>
          </w:p>
        </w:tc>
        <w:tc>
          <w:tcPr>
            <w:tcW w:w="1311" w:type="dxa"/>
            <w:tcBorders>
              <w:top w:val="nil"/>
              <w:left w:val="single" w:sz="4" w:space="0" w:color="auto"/>
              <w:bottom w:val="nil"/>
              <w:right w:val="single" w:sz="4" w:space="0" w:color="auto"/>
            </w:tcBorders>
            <w:shd w:val="clear" w:color="auto" w:fill="auto"/>
            <w:noWrap/>
            <w:vAlign w:val="bottom"/>
            <w:hideMark/>
          </w:tcPr>
          <w:p w14:paraId="2E69CAFA"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2B9CAC38"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34879A30"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513305F8" w14:textId="77777777" w:rsidR="00D215BD" w:rsidRPr="001314CA" w:rsidRDefault="00D215BD" w:rsidP="00D215BD">
            <w:pPr>
              <w:spacing w:before="0"/>
              <w:rPr>
                <w:rFonts w:ascii="Times New Roman" w:hAnsi="Times New Roman"/>
                <w:sz w:val="22"/>
                <w:szCs w:val="22"/>
              </w:rPr>
            </w:pPr>
          </w:p>
        </w:tc>
      </w:tr>
      <w:tr w:rsidR="00D215BD" w:rsidRPr="001314CA" w14:paraId="44E23863"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0EBBCFF1"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GlobeTouch</w:t>
            </w:r>
            <w:proofErr w:type="spellEnd"/>
            <w:r w:rsidRPr="001314CA">
              <w:rPr>
                <w:rFonts w:cs="Calibri"/>
                <w:sz w:val="22"/>
                <w:szCs w:val="22"/>
              </w:rPr>
              <w:t xml:space="preserve"> AB, Stockholm</w:t>
            </w:r>
          </w:p>
        </w:tc>
        <w:tc>
          <w:tcPr>
            <w:tcW w:w="1311" w:type="dxa"/>
            <w:tcBorders>
              <w:top w:val="nil"/>
              <w:left w:val="single" w:sz="4" w:space="0" w:color="auto"/>
              <w:bottom w:val="nil"/>
              <w:right w:val="single" w:sz="4" w:space="0" w:color="auto"/>
            </w:tcBorders>
            <w:shd w:val="clear" w:color="auto" w:fill="auto"/>
            <w:noWrap/>
            <w:vAlign w:val="bottom"/>
            <w:hideMark/>
          </w:tcPr>
          <w:p w14:paraId="5624FD82" w14:textId="77777777" w:rsidR="00D215BD" w:rsidRPr="001314CA" w:rsidRDefault="00D215BD" w:rsidP="00D215BD">
            <w:pPr>
              <w:spacing w:before="0"/>
              <w:jc w:val="center"/>
              <w:rPr>
                <w:rFonts w:cs="Calibri"/>
                <w:sz w:val="22"/>
                <w:szCs w:val="22"/>
              </w:rPr>
            </w:pPr>
            <w:r w:rsidRPr="001314CA">
              <w:rPr>
                <w:rFonts w:cs="Calibri"/>
                <w:sz w:val="22"/>
                <w:szCs w:val="22"/>
              </w:rPr>
              <w:t>2016</w:t>
            </w:r>
          </w:p>
        </w:tc>
        <w:tc>
          <w:tcPr>
            <w:tcW w:w="1468" w:type="dxa"/>
            <w:tcBorders>
              <w:top w:val="nil"/>
              <w:left w:val="single" w:sz="4" w:space="0" w:color="auto"/>
              <w:bottom w:val="nil"/>
              <w:right w:val="single" w:sz="4" w:space="0" w:color="auto"/>
            </w:tcBorders>
            <w:shd w:val="clear" w:color="auto" w:fill="auto"/>
            <w:noWrap/>
            <w:vAlign w:val="bottom"/>
            <w:hideMark/>
          </w:tcPr>
          <w:p w14:paraId="641E3D77" w14:textId="77777777" w:rsidR="00D215BD" w:rsidRPr="001314CA" w:rsidRDefault="00D215BD" w:rsidP="00D215BD">
            <w:pPr>
              <w:spacing w:before="0"/>
              <w:jc w:val="right"/>
              <w:rPr>
                <w:rFonts w:cs="Calibri"/>
                <w:sz w:val="22"/>
                <w:szCs w:val="22"/>
              </w:rPr>
            </w:pPr>
            <w:r w:rsidRPr="001314CA">
              <w:rPr>
                <w:rFonts w:cs="Calibri"/>
                <w:sz w:val="22"/>
                <w:szCs w:val="22"/>
              </w:rPr>
              <w:t>13 884,10</w:t>
            </w:r>
          </w:p>
        </w:tc>
        <w:tc>
          <w:tcPr>
            <w:tcW w:w="1418" w:type="dxa"/>
            <w:tcBorders>
              <w:top w:val="nil"/>
              <w:left w:val="single" w:sz="4" w:space="0" w:color="auto"/>
              <w:bottom w:val="nil"/>
              <w:right w:val="single" w:sz="4" w:space="0" w:color="auto"/>
            </w:tcBorders>
            <w:shd w:val="clear" w:color="auto" w:fill="auto"/>
            <w:noWrap/>
            <w:vAlign w:val="bottom"/>
            <w:hideMark/>
          </w:tcPr>
          <w:p w14:paraId="7728E4E1"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6E18618" w14:textId="77777777" w:rsidR="00D215BD" w:rsidRPr="001314CA" w:rsidRDefault="00D215BD" w:rsidP="00D215BD">
            <w:pPr>
              <w:spacing w:before="0"/>
              <w:jc w:val="right"/>
              <w:rPr>
                <w:rFonts w:cs="Calibri"/>
                <w:sz w:val="22"/>
                <w:szCs w:val="22"/>
              </w:rPr>
            </w:pPr>
            <w:r w:rsidRPr="001314CA">
              <w:rPr>
                <w:rFonts w:cs="Calibri"/>
                <w:sz w:val="22"/>
                <w:szCs w:val="22"/>
              </w:rPr>
              <w:t>13 884,10</w:t>
            </w:r>
          </w:p>
        </w:tc>
      </w:tr>
      <w:tr w:rsidR="00D215BD" w:rsidRPr="001314CA" w14:paraId="191AC421"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3599F692"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Suisse</w:t>
            </w:r>
          </w:p>
        </w:tc>
        <w:tc>
          <w:tcPr>
            <w:tcW w:w="1311" w:type="dxa"/>
            <w:tcBorders>
              <w:top w:val="nil"/>
              <w:left w:val="single" w:sz="4" w:space="0" w:color="auto"/>
              <w:bottom w:val="nil"/>
              <w:right w:val="single" w:sz="4" w:space="0" w:color="auto"/>
            </w:tcBorders>
            <w:shd w:val="clear" w:color="auto" w:fill="auto"/>
            <w:noWrap/>
            <w:vAlign w:val="bottom"/>
            <w:hideMark/>
          </w:tcPr>
          <w:p w14:paraId="6E951940"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68F6A0C3"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58824410"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1879F0E2" w14:textId="77777777" w:rsidR="00D215BD" w:rsidRPr="001314CA" w:rsidRDefault="00D215BD" w:rsidP="00D215BD">
            <w:pPr>
              <w:spacing w:before="0"/>
              <w:rPr>
                <w:rFonts w:ascii="Times New Roman" w:hAnsi="Times New Roman"/>
                <w:sz w:val="22"/>
                <w:szCs w:val="22"/>
              </w:rPr>
            </w:pPr>
          </w:p>
        </w:tc>
      </w:tr>
      <w:tr w:rsidR="00D215BD" w:rsidRPr="001314CA" w14:paraId="375DB4F3"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32E2D80B"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r>
            <w:proofErr w:type="spellStart"/>
            <w:r w:rsidRPr="00513163">
              <w:rPr>
                <w:rFonts w:cs="Calibri"/>
                <w:sz w:val="22"/>
                <w:szCs w:val="22"/>
                <w:lang w:val="en-US"/>
              </w:rPr>
              <w:t>Ascom</w:t>
            </w:r>
            <w:proofErr w:type="spellEnd"/>
            <w:r w:rsidRPr="00513163">
              <w:rPr>
                <w:rFonts w:cs="Calibri"/>
                <w:sz w:val="22"/>
                <w:szCs w:val="22"/>
                <w:lang w:val="en-US"/>
              </w:rPr>
              <w:t xml:space="preserve"> Network Testing AG, </w:t>
            </w:r>
            <w:proofErr w:type="spellStart"/>
            <w:r w:rsidRPr="00513163">
              <w:rPr>
                <w:rFonts w:cs="Calibri"/>
                <w:sz w:val="22"/>
                <w:szCs w:val="22"/>
                <w:lang w:val="en-US"/>
              </w:rPr>
              <w:t>Soleure</w:t>
            </w:r>
            <w:proofErr w:type="spellEnd"/>
          </w:p>
        </w:tc>
        <w:tc>
          <w:tcPr>
            <w:tcW w:w="1311" w:type="dxa"/>
            <w:tcBorders>
              <w:top w:val="nil"/>
              <w:left w:val="single" w:sz="4" w:space="0" w:color="auto"/>
              <w:bottom w:val="nil"/>
              <w:right w:val="single" w:sz="4" w:space="0" w:color="auto"/>
            </w:tcBorders>
            <w:shd w:val="clear" w:color="auto" w:fill="auto"/>
            <w:noWrap/>
            <w:vAlign w:val="bottom"/>
            <w:hideMark/>
          </w:tcPr>
          <w:p w14:paraId="4386DE5C" w14:textId="77777777" w:rsidR="00D215BD" w:rsidRPr="001314CA" w:rsidRDefault="00D215BD" w:rsidP="00D215BD">
            <w:pPr>
              <w:spacing w:before="0"/>
              <w:jc w:val="center"/>
              <w:rPr>
                <w:rFonts w:cs="Calibri"/>
                <w:sz w:val="22"/>
                <w:szCs w:val="22"/>
              </w:rPr>
            </w:pPr>
            <w:r w:rsidRPr="001314CA">
              <w:rPr>
                <w:rFonts w:cs="Calibri"/>
                <w:sz w:val="22"/>
                <w:szCs w:val="22"/>
              </w:rPr>
              <w:t>2018</w:t>
            </w:r>
          </w:p>
        </w:tc>
        <w:tc>
          <w:tcPr>
            <w:tcW w:w="1468" w:type="dxa"/>
            <w:tcBorders>
              <w:top w:val="nil"/>
              <w:left w:val="single" w:sz="4" w:space="0" w:color="auto"/>
              <w:bottom w:val="nil"/>
              <w:right w:val="single" w:sz="4" w:space="0" w:color="auto"/>
            </w:tcBorders>
            <w:shd w:val="clear" w:color="auto" w:fill="auto"/>
            <w:noWrap/>
            <w:vAlign w:val="bottom"/>
            <w:hideMark/>
          </w:tcPr>
          <w:p w14:paraId="280D4A63" w14:textId="77777777" w:rsidR="00D215BD" w:rsidRPr="001314CA" w:rsidRDefault="00D215BD" w:rsidP="00D215BD">
            <w:pPr>
              <w:spacing w:before="0"/>
              <w:jc w:val="right"/>
              <w:rPr>
                <w:rFonts w:cs="Calibri"/>
                <w:sz w:val="22"/>
                <w:szCs w:val="22"/>
              </w:rPr>
            </w:pPr>
            <w:r w:rsidRPr="001314CA">
              <w:rPr>
                <w:rFonts w:cs="Calibri"/>
                <w:sz w:val="22"/>
                <w:szCs w:val="22"/>
              </w:rPr>
              <w:t>11 657,35</w:t>
            </w:r>
          </w:p>
        </w:tc>
        <w:tc>
          <w:tcPr>
            <w:tcW w:w="1418" w:type="dxa"/>
            <w:tcBorders>
              <w:top w:val="nil"/>
              <w:left w:val="single" w:sz="4" w:space="0" w:color="auto"/>
              <w:bottom w:val="nil"/>
              <w:right w:val="single" w:sz="4" w:space="0" w:color="auto"/>
            </w:tcBorders>
            <w:shd w:val="clear" w:color="auto" w:fill="auto"/>
            <w:noWrap/>
            <w:vAlign w:val="bottom"/>
            <w:hideMark/>
          </w:tcPr>
          <w:p w14:paraId="20EB7F13"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0576BDD8" w14:textId="77777777" w:rsidR="00D215BD" w:rsidRPr="001314CA" w:rsidRDefault="00D215BD" w:rsidP="00D215BD">
            <w:pPr>
              <w:spacing w:before="0"/>
              <w:jc w:val="right"/>
              <w:rPr>
                <w:rFonts w:cs="Calibri"/>
                <w:sz w:val="22"/>
                <w:szCs w:val="22"/>
              </w:rPr>
            </w:pPr>
            <w:r w:rsidRPr="001314CA">
              <w:rPr>
                <w:rFonts w:cs="Calibri"/>
                <w:sz w:val="22"/>
                <w:szCs w:val="22"/>
              </w:rPr>
              <w:t>11 657,35</w:t>
            </w:r>
          </w:p>
        </w:tc>
      </w:tr>
      <w:tr w:rsidR="00D215BD" w:rsidRPr="001314CA" w14:paraId="3D1CDDAC"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20F3B1EF"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Thaïlande</w:t>
            </w:r>
          </w:p>
        </w:tc>
        <w:tc>
          <w:tcPr>
            <w:tcW w:w="1311" w:type="dxa"/>
            <w:tcBorders>
              <w:top w:val="nil"/>
              <w:left w:val="single" w:sz="4" w:space="0" w:color="auto"/>
              <w:bottom w:val="nil"/>
              <w:right w:val="single" w:sz="4" w:space="0" w:color="auto"/>
            </w:tcBorders>
            <w:shd w:val="clear" w:color="auto" w:fill="auto"/>
            <w:noWrap/>
            <w:vAlign w:val="bottom"/>
            <w:hideMark/>
          </w:tcPr>
          <w:p w14:paraId="3FFDE7A1"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0AABE21C"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7F0DFEBF"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56F2D687" w14:textId="77777777" w:rsidR="00D215BD" w:rsidRPr="001314CA" w:rsidRDefault="00D215BD" w:rsidP="00D215BD">
            <w:pPr>
              <w:spacing w:before="0"/>
              <w:rPr>
                <w:rFonts w:ascii="Times New Roman" w:hAnsi="Times New Roman"/>
                <w:sz w:val="22"/>
                <w:szCs w:val="22"/>
              </w:rPr>
            </w:pPr>
          </w:p>
        </w:tc>
      </w:tr>
      <w:tr w:rsidR="00D215BD" w:rsidRPr="001314CA" w14:paraId="7211568E" w14:textId="77777777" w:rsidTr="00D215BD">
        <w:trPr>
          <w:trHeight w:val="600"/>
          <w:jc w:val="center"/>
        </w:trPr>
        <w:tc>
          <w:tcPr>
            <w:tcW w:w="4729" w:type="dxa"/>
            <w:tcBorders>
              <w:top w:val="nil"/>
              <w:left w:val="single" w:sz="4" w:space="0" w:color="auto"/>
              <w:bottom w:val="nil"/>
              <w:right w:val="single" w:sz="4" w:space="0" w:color="auto"/>
            </w:tcBorders>
            <w:shd w:val="clear" w:color="auto" w:fill="auto"/>
            <w:vAlign w:val="bottom"/>
            <w:hideMark/>
          </w:tcPr>
          <w:p w14:paraId="1770E727"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Université de </w:t>
            </w:r>
            <w:proofErr w:type="spellStart"/>
            <w:r w:rsidRPr="001314CA">
              <w:rPr>
                <w:rFonts w:cs="Calibri"/>
                <w:sz w:val="22"/>
                <w:szCs w:val="22"/>
              </w:rPr>
              <w:t>Chulalongkorn</w:t>
            </w:r>
            <w:proofErr w:type="spellEnd"/>
            <w:r w:rsidRPr="001314CA">
              <w:rPr>
                <w:rFonts w:cs="Calibri"/>
                <w:sz w:val="22"/>
                <w:szCs w:val="22"/>
              </w:rPr>
              <w:t>, Faculté d'ingénierie, Bangkok</w:t>
            </w:r>
          </w:p>
        </w:tc>
        <w:tc>
          <w:tcPr>
            <w:tcW w:w="1311" w:type="dxa"/>
            <w:tcBorders>
              <w:top w:val="nil"/>
              <w:left w:val="single" w:sz="4" w:space="0" w:color="auto"/>
              <w:bottom w:val="nil"/>
              <w:right w:val="single" w:sz="4" w:space="0" w:color="auto"/>
            </w:tcBorders>
            <w:shd w:val="clear" w:color="auto" w:fill="auto"/>
            <w:noWrap/>
            <w:vAlign w:val="bottom"/>
            <w:hideMark/>
          </w:tcPr>
          <w:p w14:paraId="61608A93"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4FB10736"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c>
          <w:tcPr>
            <w:tcW w:w="1418" w:type="dxa"/>
            <w:tcBorders>
              <w:top w:val="nil"/>
              <w:left w:val="single" w:sz="4" w:space="0" w:color="auto"/>
              <w:bottom w:val="nil"/>
              <w:right w:val="single" w:sz="4" w:space="0" w:color="auto"/>
            </w:tcBorders>
            <w:shd w:val="clear" w:color="auto" w:fill="auto"/>
            <w:noWrap/>
            <w:vAlign w:val="bottom"/>
            <w:hideMark/>
          </w:tcPr>
          <w:p w14:paraId="556E8C57"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0D0ACAC3"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r>
      <w:tr w:rsidR="00D215BD" w:rsidRPr="001314CA" w14:paraId="7E250F24"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1E327CE0"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Tunisie</w:t>
            </w:r>
          </w:p>
        </w:tc>
        <w:tc>
          <w:tcPr>
            <w:tcW w:w="1311" w:type="dxa"/>
            <w:tcBorders>
              <w:top w:val="nil"/>
              <w:left w:val="single" w:sz="4" w:space="0" w:color="auto"/>
              <w:bottom w:val="nil"/>
              <w:right w:val="single" w:sz="4" w:space="0" w:color="auto"/>
            </w:tcBorders>
            <w:shd w:val="clear" w:color="auto" w:fill="auto"/>
            <w:noWrap/>
            <w:vAlign w:val="bottom"/>
            <w:hideMark/>
          </w:tcPr>
          <w:p w14:paraId="11ED5773"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5940817C"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1AB4606B"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14E3B1B4" w14:textId="77777777" w:rsidR="00D215BD" w:rsidRPr="001314CA" w:rsidRDefault="00D215BD" w:rsidP="00D215BD">
            <w:pPr>
              <w:spacing w:before="0"/>
              <w:rPr>
                <w:rFonts w:ascii="Times New Roman" w:hAnsi="Times New Roman"/>
                <w:sz w:val="22"/>
                <w:szCs w:val="22"/>
              </w:rPr>
            </w:pPr>
          </w:p>
        </w:tc>
      </w:tr>
      <w:tr w:rsidR="00D215BD" w:rsidRPr="001314CA" w14:paraId="5C5CF9BB"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6EC2E697"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Agence Tunisienne d'Internet (ATI), Tunis</w:t>
            </w:r>
          </w:p>
        </w:tc>
        <w:tc>
          <w:tcPr>
            <w:tcW w:w="1311" w:type="dxa"/>
            <w:tcBorders>
              <w:top w:val="nil"/>
              <w:left w:val="single" w:sz="4" w:space="0" w:color="auto"/>
              <w:bottom w:val="nil"/>
              <w:right w:val="single" w:sz="4" w:space="0" w:color="auto"/>
            </w:tcBorders>
            <w:shd w:val="clear" w:color="auto" w:fill="auto"/>
            <w:noWrap/>
            <w:vAlign w:val="bottom"/>
            <w:hideMark/>
          </w:tcPr>
          <w:p w14:paraId="46151B47" w14:textId="77777777" w:rsidR="00D215BD" w:rsidRPr="001314CA" w:rsidRDefault="00D215BD" w:rsidP="00D215BD">
            <w:pPr>
              <w:spacing w:before="0"/>
              <w:jc w:val="center"/>
              <w:rPr>
                <w:rFonts w:cs="Calibri"/>
                <w:sz w:val="22"/>
                <w:szCs w:val="22"/>
              </w:rPr>
            </w:pPr>
            <w:r w:rsidRPr="001314CA">
              <w:rPr>
                <w:rFonts w:cs="Calibri"/>
                <w:sz w:val="22"/>
                <w:szCs w:val="22"/>
              </w:rPr>
              <w:t>2018-2019</w:t>
            </w:r>
          </w:p>
        </w:tc>
        <w:tc>
          <w:tcPr>
            <w:tcW w:w="1468" w:type="dxa"/>
            <w:tcBorders>
              <w:top w:val="nil"/>
              <w:left w:val="single" w:sz="4" w:space="0" w:color="auto"/>
              <w:bottom w:val="nil"/>
              <w:right w:val="single" w:sz="4" w:space="0" w:color="auto"/>
            </w:tcBorders>
            <w:shd w:val="clear" w:color="auto" w:fill="auto"/>
            <w:noWrap/>
            <w:vAlign w:val="bottom"/>
            <w:hideMark/>
          </w:tcPr>
          <w:p w14:paraId="32C44657" w14:textId="77777777" w:rsidR="00D215BD" w:rsidRPr="001314CA" w:rsidRDefault="00D215BD" w:rsidP="00D215BD">
            <w:pPr>
              <w:spacing w:before="0"/>
              <w:jc w:val="right"/>
              <w:rPr>
                <w:rFonts w:cs="Calibri"/>
                <w:sz w:val="22"/>
                <w:szCs w:val="22"/>
              </w:rPr>
            </w:pPr>
            <w:r w:rsidRPr="001314CA">
              <w:rPr>
                <w:rFonts w:cs="Calibri"/>
                <w:sz w:val="22"/>
                <w:szCs w:val="22"/>
              </w:rPr>
              <w:t>14 392,25</w:t>
            </w:r>
          </w:p>
        </w:tc>
        <w:tc>
          <w:tcPr>
            <w:tcW w:w="1418" w:type="dxa"/>
            <w:tcBorders>
              <w:top w:val="nil"/>
              <w:left w:val="single" w:sz="4" w:space="0" w:color="auto"/>
              <w:bottom w:val="nil"/>
              <w:right w:val="single" w:sz="4" w:space="0" w:color="auto"/>
            </w:tcBorders>
            <w:shd w:val="clear" w:color="auto" w:fill="auto"/>
            <w:noWrap/>
            <w:vAlign w:val="bottom"/>
            <w:hideMark/>
          </w:tcPr>
          <w:p w14:paraId="2ECB3F63"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464B9341" w14:textId="77777777" w:rsidR="00D215BD" w:rsidRPr="001314CA" w:rsidRDefault="00D215BD" w:rsidP="00D215BD">
            <w:pPr>
              <w:spacing w:before="0"/>
              <w:jc w:val="right"/>
              <w:rPr>
                <w:rFonts w:cs="Calibri"/>
                <w:sz w:val="22"/>
                <w:szCs w:val="22"/>
              </w:rPr>
            </w:pPr>
            <w:r w:rsidRPr="001314CA">
              <w:rPr>
                <w:rFonts w:cs="Calibri"/>
                <w:sz w:val="22"/>
                <w:szCs w:val="22"/>
              </w:rPr>
              <w:t>14 392,25</w:t>
            </w:r>
          </w:p>
        </w:tc>
      </w:tr>
      <w:tr w:rsidR="00D215BD" w:rsidRPr="001314CA" w14:paraId="0CADE224"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75E561F5"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École Nationale d'Ingénieurs de Tunis, Tunis</w:t>
            </w:r>
          </w:p>
        </w:tc>
        <w:tc>
          <w:tcPr>
            <w:tcW w:w="1311" w:type="dxa"/>
            <w:tcBorders>
              <w:top w:val="nil"/>
              <w:left w:val="single" w:sz="4" w:space="0" w:color="auto"/>
              <w:bottom w:val="nil"/>
              <w:right w:val="single" w:sz="4" w:space="0" w:color="auto"/>
            </w:tcBorders>
            <w:shd w:val="clear" w:color="auto" w:fill="auto"/>
            <w:noWrap/>
            <w:vAlign w:val="bottom"/>
            <w:hideMark/>
          </w:tcPr>
          <w:p w14:paraId="7BEBEAD6" w14:textId="77777777" w:rsidR="00D215BD" w:rsidRPr="001314CA" w:rsidRDefault="00D215BD" w:rsidP="00D215BD">
            <w:pPr>
              <w:spacing w:before="0"/>
              <w:jc w:val="center"/>
              <w:rPr>
                <w:rFonts w:cs="Calibri"/>
                <w:sz w:val="22"/>
                <w:szCs w:val="22"/>
              </w:rPr>
            </w:pPr>
            <w:r w:rsidRPr="001314CA">
              <w:rPr>
                <w:rFonts w:cs="Calibri"/>
                <w:sz w:val="22"/>
                <w:szCs w:val="22"/>
              </w:rPr>
              <w:t>2011-2012</w:t>
            </w:r>
          </w:p>
        </w:tc>
        <w:tc>
          <w:tcPr>
            <w:tcW w:w="1468" w:type="dxa"/>
            <w:tcBorders>
              <w:top w:val="nil"/>
              <w:left w:val="single" w:sz="4" w:space="0" w:color="auto"/>
              <w:bottom w:val="nil"/>
              <w:right w:val="single" w:sz="4" w:space="0" w:color="auto"/>
            </w:tcBorders>
            <w:shd w:val="clear" w:color="auto" w:fill="auto"/>
            <w:noWrap/>
            <w:vAlign w:val="bottom"/>
            <w:hideMark/>
          </w:tcPr>
          <w:p w14:paraId="249D173E" w14:textId="77777777" w:rsidR="00D215BD" w:rsidRPr="001314CA" w:rsidRDefault="00D215BD" w:rsidP="00D215BD">
            <w:pPr>
              <w:spacing w:before="0"/>
              <w:jc w:val="right"/>
              <w:rPr>
                <w:rFonts w:cs="Calibri"/>
                <w:sz w:val="22"/>
                <w:szCs w:val="22"/>
              </w:rPr>
            </w:pPr>
            <w:r w:rsidRPr="001314CA">
              <w:rPr>
                <w:rFonts w:cs="Calibri"/>
                <w:sz w:val="22"/>
                <w:szCs w:val="22"/>
              </w:rPr>
              <w:t>12 540,94</w:t>
            </w:r>
          </w:p>
        </w:tc>
        <w:tc>
          <w:tcPr>
            <w:tcW w:w="1418" w:type="dxa"/>
            <w:tcBorders>
              <w:top w:val="nil"/>
              <w:left w:val="single" w:sz="4" w:space="0" w:color="auto"/>
              <w:bottom w:val="nil"/>
              <w:right w:val="single" w:sz="4" w:space="0" w:color="auto"/>
            </w:tcBorders>
            <w:shd w:val="clear" w:color="auto" w:fill="auto"/>
            <w:noWrap/>
            <w:vAlign w:val="bottom"/>
            <w:hideMark/>
          </w:tcPr>
          <w:p w14:paraId="399176F9"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C8DF2F2" w14:textId="77777777" w:rsidR="00D215BD" w:rsidRPr="001314CA" w:rsidRDefault="00D215BD" w:rsidP="00D215BD">
            <w:pPr>
              <w:spacing w:before="0"/>
              <w:jc w:val="right"/>
              <w:rPr>
                <w:rFonts w:cs="Calibri"/>
                <w:sz w:val="22"/>
                <w:szCs w:val="22"/>
              </w:rPr>
            </w:pPr>
            <w:r w:rsidRPr="001314CA">
              <w:rPr>
                <w:rFonts w:cs="Calibri"/>
                <w:sz w:val="22"/>
                <w:szCs w:val="22"/>
              </w:rPr>
              <w:t>12 540,94</w:t>
            </w:r>
          </w:p>
        </w:tc>
      </w:tr>
      <w:tr w:rsidR="00D215BD" w:rsidRPr="001314CA" w14:paraId="47B2CC8E" w14:textId="77777777" w:rsidTr="00D215BD">
        <w:trPr>
          <w:trHeight w:val="600"/>
          <w:jc w:val="center"/>
        </w:trPr>
        <w:tc>
          <w:tcPr>
            <w:tcW w:w="4729" w:type="dxa"/>
            <w:tcBorders>
              <w:top w:val="nil"/>
              <w:left w:val="single" w:sz="4" w:space="0" w:color="auto"/>
              <w:bottom w:val="nil"/>
              <w:right w:val="single" w:sz="4" w:space="0" w:color="auto"/>
            </w:tcBorders>
            <w:shd w:val="clear" w:color="auto" w:fill="auto"/>
            <w:vAlign w:val="bottom"/>
            <w:hideMark/>
          </w:tcPr>
          <w:p w14:paraId="05C949B6"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École Supérieure des Communications de Tunis (</w:t>
            </w:r>
            <w:proofErr w:type="spellStart"/>
            <w:r w:rsidRPr="001314CA">
              <w:rPr>
                <w:rFonts w:cs="Calibri"/>
                <w:sz w:val="22"/>
                <w:szCs w:val="22"/>
              </w:rPr>
              <w:t>Sup'Com</w:t>
            </w:r>
            <w:proofErr w:type="spellEnd"/>
            <w:r w:rsidRPr="001314CA">
              <w:rPr>
                <w:rFonts w:cs="Calibri"/>
                <w:sz w:val="22"/>
                <w:szCs w:val="22"/>
              </w:rPr>
              <w:t>), Tunis</w:t>
            </w:r>
          </w:p>
        </w:tc>
        <w:tc>
          <w:tcPr>
            <w:tcW w:w="1311" w:type="dxa"/>
            <w:tcBorders>
              <w:top w:val="nil"/>
              <w:left w:val="single" w:sz="4" w:space="0" w:color="auto"/>
              <w:bottom w:val="nil"/>
              <w:right w:val="single" w:sz="4" w:space="0" w:color="auto"/>
            </w:tcBorders>
            <w:shd w:val="clear" w:color="auto" w:fill="auto"/>
            <w:noWrap/>
            <w:vAlign w:val="bottom"/>
            <w:hideMark/>
          </w:tcPr>
          <w:p w14:paraId="161D7B4D" w14:textId="77777777" w:rsidR="00D215BD" w:rsidRPr="001314CA" w:rsidRDefault="00D215BD" w:rsidP="00D215BD">
            <w:pPr>
              <w:spacing w:before="0"/>
              <w:jc w:val="center"/>
              <w:rPr>
                <w:rFonts w:cs="Calibri"/>
                <w:sz w:val="22"/>
                <w:szCs w:val="22"/>
              </w:rPr>
            </w:pPr>
            <w:r w:rsidRPr="001314CA">
              <w:rPr>
                <w:rFonts w:cs="Calibri"/>
                <w:sz w:val="22"/>
                <w:szCs w:val="22"/>
              </w:rPr>
              <w:t>2017-2018</w:t>
            </w:r>
          </w:p>
        </w:tc>
        <w:tc>
          <w:tcPr>
            <w:tcW w:w="1468" w:type="dxa"/>
            <w:tcBorders>
              <w:top w:val="nil"/>
              <w:left w:val="single" w:sz="4" w:space="0" w:color="auto"/>
              <w:bottom w:val="nil"/>
              <w:right w:val="single" w:sz="4" w:space="0" w:color="auto"/>
            </w:tcBorders>
            <w:shd w:val="clear" w:color="auto" w:fill="auto"/>
            <w:noWrap/>
            <w:vAlign w:val="bottom"/>
            <w:hideMark/>
          </w:tcPr>
          <w:p w14:paraId="040FE496" w14:textId="77777777" w:rsidR="00D215BD" w:rsidRPr="001314CA" w:rsidRDefault="00D215BD" w:rsidP="00D215BD">
            <w:pPr>
              <w:spacing w:before="0"/>
              <w:jc w:val="right"/>
              <w:rPr>
                <w:rFonts w:cs="Calibri"/>
                <w:sz w:val="22"/>
                <w:szCs w:val="22"/>
              </w:rPr>
            </w:pPr>
            <w:r w:rsidRPr="001314CA">
              <w:rPr>
                <w:rFonts w:cs="Calibri"/>
                <w:sz w:val="22"/>
                <w:szCs w:val="22"/>
              </w:rPr>
              <w:t>2 391,10</w:t>
            </w:r>
          </w:p>
        </w:tc>
        <w:tc>
          <w:tcPr>
            <w:tcW w:w="1418" w:type="dxa"/>
            <w:tcBorders>
              <w:top w:val="nil"/>
              <w:left w:val="single" w:sz="4" w:space="0" w:color="auto"/>
              <w:bottom w:val="nil"/>
              <w:right w:val="single" w:sz="4" w:space="0" w:color="auto"/>
            </w:tcBorders>
            <w:shd w:val="clear" w:color="auto" w:fill="auto"/>
            <w:noWrap/>
            <w:vAlign w:val="bottom"/>
            <w:hideMark/>
          </w:tcPr>
          <w:p w14:paraId="70C0F707"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35D1ABA6" w14:textId="77777777" w:rsidR="00D215BD" w:rsidRPr="001314CA" w:rsidRDefault="00D215BD" w:rsidP="00D215BD">
            <w:pPr>
              <w:spacing w:before="0"/>
              <w:jc w:val="right"/>
              <w:rPr>
                <w:rFonts w:cs="Calibri"/>
                <w:sz w:val="22"/>
                <w:szCs w:val="22"/>
              </w:rPr>
            </w:pPr>
            <w:r w:rsidRPr="001314CA">
              <w:rPr>
                <w:rFonts w:cs="Calibri"/>
                <w:sz w:val="22"/>
                <w:szCs w:val="22"/>
              </w:rPr>
              <w:t>2 391,10</w:t>
            </w:r>
          </w:p>
        </w:tc>
      </w:tr>
      <w:tr w:rsidR="00D215BD" w:rsidRPr="001314CA" w14:paraId="035349FE"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315E47D7"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Orascom</w:t>
            </w:r>
            <w:proofErr w:type="spellEnd"/>
            <w:r w:rsidRPr="001314CA">
              <w:rPr>
                <w:rFonts w:cs="Calibri"/>
                <w:sz w:val="22"/>
                <w:szCs w:val="22"/>
              </w:rPr>
              <w:t xml:space="preserve"> Telecom Tunisie, Tunis</w:t>
            </w:r>
          </w:p>
        </w:tc>
        <w:tc>
          <w:tcPr>
            <w:tcW w:w="1311" w:type="dxa"/>
            <w:tcBorders>
              <w:top w:val="nil"/>
              <w:left w:val="single" w:sz="4" w:space="0" w:color="auto"/>
              <w:bottom w:val="nil"/>
              <w:right w:val="single" w:sz="4" w:space="0" w:color="auto"/>
            </w:tcBorders>
            <w:shd w:val="clear" w:color="auto" w:fill="auto"/>
            <w:noWrap/>
            <w:vAlign w:val="bottom"/>
            <w:hideMark/>
          </w:tcPr>
          <w:p w14:paraId="08F6DE4C" w14:textId="77777777" w:rsidR="00D215BD" w:rsidRPr="001314CA" w:rsidRDefault="00D215BD" w:rsidP="00D215BD">
            <w:pPr>
              <w:spacing w:before="0"/>
              <w:jc w:val="center"/>
              <w:rPr>
                <w:rFonts w:cs="Calibri"/>
                <w:sz w:val="22"/>
                <w:szCs w:val="22"/>
              </w:rPr>
            </w:pPr>
            <w:r w:rsidRPr="001314CA">
              <w:rPr>
                <w:rFonts w:cs="Calibri"/>
                <w:sz w:val="22"/>
                <w:szCs w:val="22"/>
              </w:rPr>
              <w:t>2013</w:t>
            </w:r>
          </w:p>
        </w:tc>
        <w:tc>
          <w:tcPr>
            <w:tcW w:w="1468" w:type="dxa"/>
            <w:tcBorders>
              <w:top w:val="nil"/>
              <w:left w:val="single" w:sz="4" w:space="0" w:color="auto"/>
              <w:bottom w:val="nil"/>
              <w:right w:val="single" w:sz="4" w:space="0" w:color="auto"/>
            </w:tcBorders>
            <w:shd w:val="clear" w:color="auto" w:fill="auto"/>
            <w:noWrap/>
            <w:vAlign w:val="bottom"/>
            <w:hideMark/>
          </w:tcPr>
          <w:p w14:paraId="01BABF43" w14:textId="77777777" w:rsidR="00D215BD" w:rsidRPr="001314CA" w:rsidRDefault="00D215BD" w:rsidP="00D215BD">
            <w:pPr>
              <w:spacing w:before="0"/>
              <w:jc w:val="right"/>
              <w:rPr>
                <w:rFonts w:cs="Calibri"/>
                <w:sz w:val="22"/>
                <w:szCs w:val="22"/>
              </w:rPr>
            </w:pPr>
            <w:r w:rsidRPr="001314CA">
              <w:rPr>
                <w:rFonts w:cs="Calibri"/>
                <w:sz w:val="22"/>
                <w:szCs w:val="22"/>
              </w:rPr>
              <w:t>6 201,10</w:t>
            </w:r>
          </w:p>
        </w:tc>
        <w:tc>
          <w:tcPr>
            <w:tcW w:w="1418" w:type="dxa"/>
            <w:tcBorders>
              <w:top w:val="nil"/>
              <w:left w:val="single" w:sz="4" w:space="0" w:color="auto"/>
              <w:bottom w:val="nil"/>
              <w:right w:val="single" w:sz="4" w:space="0" w:color="auto"/>
            </w:tcBorders>
            <w:shd w:val="clear" w:color="auto" w:fill="auto"/>
            <w:noWrap/>
            <w:vAlign w:val="bottom"/>
            <w:hideMark/>
          </w:tcPr>
          <w:p w14:paraId="744822E9"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0E703FFB" w14:textId="77777777" w:rsidR="00D215BD" w:rsidRPr="001314CA" w:rsidRDefault="00D215BD" w:rsidP="00D215BD">
            <w:pPr>
              <w:spacing w:before="0"/>
              <w:jc w:val="right"/>
              <w:rPr>
                <w:rFonts w:cs="Calibri"/>
                <w:sz w:val="22"/>
                <w:szCs w:val="22"/>
              </w:rPr>
            </w:pPr>
            <w:r w:rsidRPr="001314CA">
              <w:rPr>
                <w:rFonts w:cs="Calibri"/>
                <w:sz w:val="22"/>
                <w:szCs w:val="22"/>
              </w:rPr>
              <w:t>6 201,10</w:t>
            </w:r>
          </w:p>
        </w:tc>
      </w:tr>
      <w:tr w:rsidR="00D215BD" w:rsidRPr="001314CA" w14:paraId="56654007"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2D4A4587"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Prisma, Tunis</w:t>
            </w:r>
          </w:p>
        </w:tc>
        <w:tc>
          <w:tcPr>
            <w:tcW w:w="1311" w:type="dxa"/>
            <w:tcBorders>
              <w:top w:val="nil"/>
              <w:left w:val="single" w:sz="4" w:space="0" w:color="auto"/>
              <w:bottom w:val="nil"/>
              <w:right w:val="single" w:sz="4" w:space="0" w:color="auto"/>
            </w:tcBorders>
            <w:shd w:val="clear" w:color="auto" w:fill="auto"/>
            <w:noWrap/>
            <w:vAlign w:val="bottom"/>
            <w:hideMark/>
          </w:tcPr>
          <w:p w14:paraId="155A24FD" w14:textId="77777777" w:rsidR="00D215BD" w:rsidRPr="001314CA" w:rsidRDefault="00D215BD" w:rsidP="00D215BD">
            <w:pPr>
              <w:spacing w:before="0"/>
              <w:jc w:val="center"/>
              <w:rPr>
                <w:rFonts w:cs="Calibri"/>
                <w:sz w:val="22"/>
                <w:szCs w:val="22"/>
              </w:rPr>
            </w:pPr>
            <w:r w:rsidRPr="001314CA">
              <w:rPr>
                <w:rFonts w:cs="Calibri"/>
                <w:sz w:val="22"/>
                <w:szCs w:val="22"/>
              </w:rPr>
              <w:t>2015-2018</w:t>
            </w:r>
          </w:p>
        </w:tc>
        <w:tc>
          <w:tcPr>
            <w:tcW w:w="1468" w:type="dxa"/>
            <w:tcBorders>
              <w:top w:val="nil"/>
              <w:left w:val="single" w:sz="4" w:space="0" w:color="auto"/>
              <w:bottom w:val="nil"/>
              <w:right w:val="single" w:sz="4" w:space="0" w:color="auto"/>
            </w:tcBorders>
            <w:shd w:val="clear" w:color="auto" w:fill="auto"/>
            <w:noWrap/>
            <w:vAlign w:val="bottom"/>
            <w:hideMark/>
          </w:tcPr>
          <w:p w14:paraId="3E49B954" w14:textId="77777777" w:rsidR="00D215BD" w:rsidRPr="001314CA" w:rsidRDefault="00D215BD" w:rsidP="00D215BD">
            <w:pPr>
              <w:spacing w:before="0"/>
              <w:jc w:val="right"/>
              <w:rPr>
                <w:rFonts w:cs="Calibri"/>
                <w:sz w:val="22"/>
                <w:szCs w:val="22"/>
              </w:rPr>
            </w:pPr>
            <w:r w:rsidRPr="001314CA">
              <w:rPr>
                <w:rFonts w:cs="Calibri"/>
                <w:sz w:val="22"/>
                <w:szCs w:val="22"/>
              </w:rPr>
              <w:t>12 706,60</w:t>
            </w:r>
          </w:p>
        </w:tc>
        <w:tc>
          <w:tcPr>
            <w:tcW w:w="1418" w:type="dxa"/>
            <w:tcBorders>
              <w:top w:val="nil"/>
              <w:left w:val="single" w:sz="4" w:space="0" w:color="auto"/>
              <w:bottom w:val="nil"/>
              <w:right w:val="single" w:sz="4" w:space="0" w:color="auto"/>
            </w:tcBorders>
            <w:shd w:val="clear" w:color="auto" w:fill="auto"/>
            <w:noWrap/>
            <w:vAlign w:val="bottom"/>
            <w:hideMark/>
          </w:tcPr>
          <w:p w14:paraId="2D57A6EE"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6ABC304" w14:textId="77777777" w:rsidR="00D215BD" w:rsidRPr="001314CA" w:rsidRDefault="00D215BD" w:rsidP="00D215BD">
            <w:pPr>
              <w:spacing w:before="0"/>
              <w:jc w:val="right"/>
              <w:rPr>
                <w:rFonts w:cs="Calibri"/>
                <w:sz w:val="22"/>
                <w:szCs w:val="22"/>
              </w:rPr>
            </w:pPr>
            <w:r w:rsidRPr="001314CA">
              <w:rPr>
                <w:rFonts w:cs="Calibri"/>
                <w:sz w:val="22"/>
                <w:szCs w:val="22"/>
              </w:rPr>
              <w:t>12 706,60</w:t>
            </w:r>
          </w:p>
        </w:tc>
      </w:tr>
      <w:tr w:rsidR="00D215BD" w:rsidRPr="001314CA" w14:paraId="66F06468"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055622A4"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Telnet Technocentre, Tunis</w:t>
            </w:r>
          </w:p>
        </w:tc>
        <w:tc>
          <w:tcPr>
            <w:tcW w:w="1311" w:type="dxa"/>
            <w:tcBorders>
              <w:top w:val="nil"/>
              <w:left w:val="single" w:sz="4" w:space="0" w:color="auto"/>
              <w:bottom w:val="nil"/>
              <w:right w:val="single" w:sz="4" w:space="0" w:color="auto"/>
            </w:tcBorders>
            <w:shd w:val="clear" w:color="auto" w:fill="auto"/>
            <w:noWrap/>
            <w:vAlign w:val="bottom"/>
            <w:hideMark/>
          </w:tcPr>
          <w:p w14:paraId="547B95BD" w14:textId="77777777" w:rsidR="00D215BD" w:rsidRPr="001314CA" w:rsidRDefault="00D215BD" w:rsidP="00D215BD">
            <w:pPr>
              <w:spacing w:before="0"/>
              <w:jc w:val="center"/>
              <w:rPr>
                <w:rFonts w:cs="Calibri"/>
                <w:sz w:val="22"/>
                <w:szCs w:val="22"/>
              </w:rPr>
            </w:pPr>
            <w:r w:rsidRPr="001314CA">
              <w:rPr>
                <w:rFonts w:cs="Calibri"/>
                <w:sz w:val="22"/>
                <w:szCs w:val="22"/>
              </w:rPr>
              <w:t>2012-2017</w:t>
            </w:r>
          </w:p>
        </w:tc>
        <w:tc>
          <w:tcPr>
            <w:tcW w:w="1468" w:type="dxa"/>
            <w:tcBorders>
              <w:top w:val="nil"/>
              <w:left w:val="single" w:sz="4" w:space="0" w:color="auto"/>
              <w:bottom w:val="nil"/>
              <w:right w:val="single" w:sz="4" w:space="0" w:color="auto"/>
            </w:tcBorders>
            <w:shd w:val="clear" w:color="auto" w:fill="auto"/>
            <w:noWrap/>
            <w:vAlign w:val="bottom"/>
            <w:hideMark/>
          </w:tcPr>
          <w:p w14:paraId="242C5B4A" w14:textId="77777777" w:rsidR="00D215BD" w:rsidRPr="001314CA" w:rsidRDefault="00D215BD" w:rsidP="00D215BD">
            <w:pPr>
              <w:spacing w:before="0"/>
              <w:jc w:val="right"/>
              <w:rPr>
                <w:rFonts w:cs="Calibri"/>
                <w:sz w:val="22"/>
                <w:szCs w:val="22"/>
              </w:rPr>
            </w:pPr>
            <w:r w:rsidRPr="001314CA">
              <w:rPr>
                <w:rFonts w:cs="Calibri"/>
                <w:sz w:val="22"/>
                <w:szCs w:val="22"/>
              </w:rPr>
              <w:t>13 973,55</w:t>
            </w:r>
          </w:p>
        </w:tc>
        <w:tc>
          <w:tcPr>
            <w:tcW w:w="1418" w:type="dxa"/>
            <w:tcBorders>
              <w:top w:val="nil"/>
              <w:left w:val="single" w:sz="4" w:space="0" w:color="auto"/>
              <w:bottom w:val="nil"/>
              <w:right w:val="single" w:sz="4" w:space="0" w:color="auto"/>
            </w:tcBorders>
            <w:shd w:val="clear" w:color="auto" w:fill="auto"/>
            <w:noWrap/>
            <w:vAlign w:val="bottom"/>
            <w:hideMark/>
          </w:tcPr>
          <w:p w14:paraId="54B6E160"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06F10242" w14:textId="77777777" w:rsidR="00D215BD" w:rsidRPr="001314CA" w:rsidRDefault="00D215BD" w:rsidP="00D215BD">
            <w:pPr>
              <w:spacing w:before="0"/>
              <w:jc w:val="right"/>
              <w:rPr>
                <w:rFonts w:cs="Calibri"/>
                <w:sz w:val="22"/>
                <w:szCs w:val="22"/>
              </w:rPr>
            </w:pPr>
            <w:r w:rsidRPr="001314CA">
              <w:rPr>
                <w:rFonts w:cs="Calibri"/>
                <w:sz w:val="22"/>
                <w:szCs w:val="22"/>
              </w:rPr>
              <w:t>13 973,55</w:t>
            </w:r>
          </w:p>
        </w:tc>
      </w:tr>
      <w:tr w:rsidR="00D215BD" w:rsidRPr="001314CA" w14:paraId="603F23A6" w14:textId="77777777" w:rsidTr="00D215BD">
        <w:trPr>
          <w:trHeight w:val="300"/>
          <w:jc w:val="center"/>
        </w:trPr>
        <w:tc>
          <w:tcPr>
            <w:tcW w:w="4729" w:type="dxa"/>
            <w:tcBorders>
              <w:top w:val="nil"/>
              <w:left w:val="single" w:sz="4" w:space="0" w:color="auto"/>
              <w:right w:val="single" w:sz="4" w:space="0" w:color="auto"/>
            </w:tcBorders>
            <w:shd w:val="clear" w:color="auto" w:fill="auto"/>
            <w:vAlign w:val="bottom"/>
            <w:hideMark/>
          </w:tcPr>
          <w:p w14:paraId="2F48E018"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Ukraine</w:t>
            </w:r>
          </w:p>
        </w:tc>
        <w:tc>
          <w:tcPr>
            <w:tcW w:w="1311" w:type="dxa"/>
            <w:tcBorders>
              <w:top w:val="nil"/>
              <w:left w:val="single" w:sz="4" w:space="0" w:color="auto"/>
              <w:right w:val="single" w:sz="4" w:space="0" w:color="auto"/>
            </w:tcBorders>
            <w:shd w:val="clear" w:color="auto" w:fill="auto"/>
            <w:noWrap/>
            <w:vAlign w:val="bottom"/>
            <w:hideMark/>
          </w:tcPr>
          <w:p w14:paraId="19C9CB4B"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right w:val="single" w:sz="4" w:space="0" w:color="auto"/>
            </w:tcBorders>
            <w:shd w:val="clear" w:color="auto" w:fill="auto"/>
            <w:noWrap/>
            <w:vAlign w:val="bottom"/>
            <w:hideMark/>
          </w:tcPr>
          <w:p w14:paraId="6D88B62A"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right w:val="single" w:sz="4" w:space="0" w:color="auto"/>
            </w:tcBorders>
            <w:shd w:val="clear" w:color="auto" w:fill="auto"/>
            <w:noWrap/>
            <w:vAlign w:val="bottom"/>
            <w:hideMark/>
          </w:tcPr>
          <w:p w14:paraId="30C152C2" w14:textId="77777777" w:rsidR="00D215BD" w:rsidRPr="001314CA" w:rsidRDefault="00D215BD" w:rsidP="00D215BD">
            <w:pPr>
              <w:spacing w:before="0"/>
              <w:rPr>
                <w:rFonts w:ascii="Times New Roman" w:hAnsi="Times New Roman"/>
                <w:sz w:val="22"/>
                <w:szCs w:val="22"/>
              </w:rPr>
            </w:pPr>
          </w:p>
        </w:tc>
        <w:tc>
          <w:tcPr>
            <w:tcW w:w="1417" w:type="dxa"/>
            <w:tcBorders>
              <w:top w:val="nil"/>
              <w:left w:val="single" w:sz="4" w:space="0" w:color="auto"/>
              <w:right w:val="single" w:sz="4" w:space="0" w:color="auto"/>
            </w:tcBorders>
            <w:shd w:val="clear" w:color="auto" w:fill="auto"/>
            <w:noWrap/>
            <w:vAlign w:val="bottom"/>
            <w:hideMark/>
          </w:tcPr>
          <w:p w14:paraId="0390ACBB" w14:textId="77777777" w:rsidR="00D215BD" w:rsidRPr="001314CA" w:rsidRDefault="00D215BD" w:rsidP="00D215BD">
            <w:pPr>
              <w:spacing w:before="0"/>
              <w:rPr>
                <w:rFonts w:ascii="Times New Roman" w:hAnsi="Times New Roman"/>
                <w:sz w:val="22"/>
                <w:szCs w:val="22"/>
              </w:rPr>
            </w:pPr>
          </w:p>
        </w:tc>
      </w:tr>
      <w:tr w:rsidR="00D215BD" w:rsidRPr="001314CA" w14:paraId="66C16AA2" w14:textId="77777777" w:rsidTr="00D215BD">
        <w:trPr>
          <w:trHeight w:val="300"/>
          <w:jc w:val="center"/>
        </w:trPr>
        <w:tc>
          <w:tcPr>
            <w:tcW w:w="4729" w:type="dxa"/>
            <w:tcBorders>
              <w:top w:val="nil"/>
              <w:left w:val="single" w:sz="4" w:space="0" w:color="auto"/>
              <w:bottom w:val="single" w:sz="4" w:space="0" w:color="auto"/>
              <w:right w:val="single" w:sz="4" w:space="0" w:color="auto"/>
            </w:tcBorders>
            <w:shd w:val="clear" w:color="auto" w:fill="auto"/>
            <w:vAlign w:val="bottom"/>
            <w:hideMark/>
          </w:tcPr>
          <w:p w14:paraId="71478D77"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Ukrainian National Information Systems, Kiev</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610AF93A" w14:textId="77777777" w:rsidR="00D215BD" w:rsidRPr="001314CA" w:rsidRDefault="00D215BD" w:rsidP="00D215BD">
            <w:pPr>
              <w:spacing w:before="0"/>
              <w:jc w:val="center"/>
              <w:rPr>
                <w:rFonts w:cs="Calibri"/>
                <w:sz w:val="22"/>
                <w:szCs w:val="22"/>
              </w:rPr>
            </w:pPr>
            <w:r w:rsidRPr="001314CA">
              <w:rPr>
                <w:rFonts w:cs="Calibri"/>
                <w:sz w:val="22"/>
                <w:szCs w:val="22"/>
              </w:rPr>
              <w:t>2014-2015</w:t>
            </w:r>
          </w:p>
        </w:tc>
        <w:tc>
          <w:tcPr>
            <w:tcW w:w="1468" w:type="dxa"/>
            <w:tcBorders>
              <w:top w:val="nil"/>
              <w:left w:val="single" w:sz="4" w:space="0" w:color="auto"/>
              <w:bottom w:val="single" w:sz="4" w:space="0" w:color="auto"/>
              <w:right w:val="single" w:sz="4" w:space="0" w:color="auto"/>
            </w:tcBorders>
            <w:shd w:val="clear" w:color="auto" w:fill="auto"/>
            <w:noWrap/>
            <w:vAlign w:val="bottom"/>
            <w:hideMark/>
          </w:tcPr>
          <w:p w14:paraId="7D080E98" w14:textId="77777777" w:rsidR="00D215BD" w:rsidRPr="001314CA" w:rsidRDefault="00D215BD" w:rsidP="00D215BD">
            <w:pPr>
              <w:spacing w:before="0"/>
              <w:jc w:val="right"/>
              <w:rPr>
                <w:rFonts w:cs="Calibri"/>
                <w:sz w:val="22"/>
                <w:szCs w:val="22"/>
              </w:rPr>
            </w:pPr>
            <w:r w:rsidRPr="001314CA">
              <w:rPr>
                <w:rFonts w:cs="Calibri"/>
                <w:sz w:val="22"/>
                <w:szCs w:val="22"/>
              </w:rPr>
              <w:t>22 793,39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924C5F8"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2CB9289" w14:textId="77777777" w:rsidR="00D215BD" w:rsidRPr="001314CA" w:rsidRDefault="00D215BD" w:rsidP="00D215BD">
            <w:pPr>
              <w:spacing w:before="0"/>
              <w:jc w:val="right"/>
              <w:rPr>
                <w:rFonts w:cs="Calibri"/>
                <w:sz w:val="22"/>
                <w:szCs w:val="22"/>
              </w:rPr>
            </w:pPr>
            <w:r w:rsidRPr="001314CA">
              <w:rPr>
                <w:rFonts w:cs="Calibri"/>
                <w:sz w:val="22"/>
                <w:szCs w:val="22"/>
              </w:rPr>
              <w:t>22 793,39</w:t>
            </w:r>
          </w:p>
        </w:tc>
      </w:tr>
    </w:tbl>
    <w:p w14:paraId="2524B30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r w:rsidRPr="001314CA">
        <w:br w:type="page"/>
      </w:r>
    </w:p>
    <w:tbl>
      <w:tblPr>
        <w:tblW w:w="10485" w:type="dxa"/>
        <w:jc w:val="center"/>
        <w:tblLook w:val="04A0" w:firstRow="1" w:lastRow="0" w:firstColumn="1" w:lastColumn="0" w:noHBand="0" w:noVBand="1"/>
      </w:tblPr>
      <w:tblGrid>
        <w:gridCol w:w="4780"/>
        <w:gridCol w:w="1311"/>
        <w:gridCol w:w="1559"/>
        <w:gridCol w:w="1417"/>
        <w:gridCol w:w="1418"/>
      </w:tblGrid>
      <w:tr w:rsidR="00D215BD" w:rsidRPr="001314CA" w14:paraId="72375D33" w14:textId="77777777" w:rsidTr="00D215BD">
        <w:trPr>
          <w:trHeight w:val="300"/>
          <w:jc w:val="center"/>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0BF4D5C8" w14:textId="77777777" w:rsidR="00D215BD" w:rsidRPr="001314CA" w:rsidRDefault="00D215BD" w:rsidP="00D215BD">
            <w:pPr>
              <w:spacing w:after="120"/>
              <w:rPr>
                <w:rFonts w:cs="Calibri"/>
                <w:b/>
                <w:bCs/>
                <w:sz w:val="22"/>
                <w:szCs w:val="22"/>
              </w:rPr>
            </w:pPr>
            <w:r w:rsidRPr="001314CA">
              <w:rPr>
                <w:rFonts w:asciiTheme="minorHAnsi" w:hAnsiTheme="minorHAnsi"/>
                <w:b/>
                <w:bCs/>
                <w:sz w:val="22"/>
                <w:szCs w:val="22"/>
              </w:rPr>
              <w:lastRenderedPageBreak/>
              <w:t>B</w:t>
            </w:r>
            <w:r w:rsidRPr="001314CA">
              <w:rPr>
                <w:rFonts w:asciiTheme="minorHAnsi" w:hAnsiTheme="minorHAnsi"/>
                <w:b/>
                <w:bCs/>
                <w:sz w:val="22"/>
                <w:szCs w:val="22"/>
              </w:rPr>
              <w:tab/>
              <w:t>Membres de Secteur et autres entités</w:t>
            </w:r>
          </w:p>
        </w:tc>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ABA2303" w14:textId="77777777" w:rsidR="00D215BD" w:rsidRPr="001314CA" w:rsidRDefault="00D215BD" w:rsidP="00D215BD">
            <w:pPr>
              <w:spacing w:after="120"/>
              <w:jc w:val="center"/>
              <w:rPr>
                <w:rFonts w:cs="Calibri"/>
                <w:b/>
                <w:bCs/>
                <w:sz w:val="22"/>
                <w:szCs w:val="22"/>
              </w:rPr>
            </w:pPr>
            <w:r w:rsidRPr="001314CA">
              <w:rPr>
                <w:rFonts w:asciiTheme="minorHAnsi" w:hAnsiTheme="minorHAnsi"/>
                <w:b/>
                <w:bCs/>
                <w:sz w:val="22"/>
                <w:szCs w:val="22"/>
                <w:lang w:eastAsia="zh-CN"/>
              </w:rPr>
              <w:t>Année</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1DDFD42" w14:textId="77777777" w:rsidR="00D215BD" w:rsidRPr="001314CA" w:rsidRDefault="00D215BD" w:rsidP="00D215BD">
            <w:pPr>
              <w:spacing w:after="120"/>
              <w:jc w:val="center"/>
              <w:rPr>
                <w:rFonts w:ascii="Times New Roman" w:hAnsi="Times New Roman"/>
                <w:sz w:val="22"/>
                <w:szCs w:val="22"/>
              </w:rPr>
            </w:pPr>
            <w:r w:rsidRPr="001314CA">
              <w:rPr>
                <w:rFonts w:asciiTheme="minorHAnsi" w:hAnsiTheme="minorHAnsi"/>
                <w:b/>
                <w:bCs/>
                <w:sz w:val="22"/>
                <w:szCs w:val="22"/>
                <w:lang w:eastAsia="zh-CN"/>
              </w:rPr>
              <w:t>Contributions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C49BEA5" w14:textId="77777777" w:rsidR="00D215BD" w:rsidRPr="001314CA" w:rsidRDefault="00D215BD" w:rsidP="00D215BD">
            <w:pPr>
              <w:spacing w:after="120"/>
              <w:jc w:val="center"/>
              <w:rPr>
                <w:rFonts w:ascii="Times New Roman" w:hAnsi="Times New Roman"/>
                <w:sz w:val="22"/>
                <w:szCs w:val="22"/>
              </w:rPr>
            </w:pPr>
            <w:r w:rsidRPr="001314CA">
              <w:rPr>
                <w:rFonts w:asciiTheme="minorHAnsi" w:hAnsiTheme="minorHAnsi"/>
                <w:b/>
                <w:bCs/>
                <w:sz w:val="22"/>
                <w:szCs w:val="22"/>
                <w:lang w:eastAsia="zh-CN"/>
              </w:rPr>
              <w:t>Publications</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4238879" w14:textId="77777777" w:rsidR="00D215BD" w:rsidRPr="001314CA" w:rsidRDefault="00D215BD" w:rsidP="00D215BD">
            <w:pPr>
              <w:spacing w:after="120"/>
              <w:jc w:val="center"/>
              <w:rPr>
                <w:rFonts w:ascii="Times New Roman" w:hAnsi="Times New Roman"/>
                <w:sz w:val="22"/>
                <w:szCs w:val="22"/>
              </w:rPr>
            </w:pPr>
            <w:r w:rsidRPr="001314CA">
              <w:rPr>
                <w:rFonts w:asciiTheme="minorHAnsi" w:hAnsiTheme="minorHAnsi"/>
                <w:b/>
                <w:bCs/>
                <w:sz w:val="22"/>
                <w:szCs w:val="22"/>
                <w:lang w:eastAsia="zh-CN"/>
              </w:rPr>
              <w:t>Total</w:t>
            </w:r>
          </w:p>
        </w:tc>
      </w:tr>
      <w:tr w:rsidR="00D215BD" w:rsidRPr="001314CA" w14:paraId="57F9FC18"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50FF6629" w14:textId="77777777" w:rsidR="00D215BD" w:rsidRPr="001314CA" w:rsidRDefault="00D215BD" w:rsidP="00D215BD">
            <w:pPr>
              <w:tabs>
                <w:tab w:val="clear" w:pos="567"/>
              </w:tabs>
              <w:spacing w:before="0"/>
              <w:ind w:left="317" w:hanging="317"/>
              <w:rPr>
                <w:rFonts w:cs="Calibri"/>
                <w:b/>
                <w:bCs/>
                <w:sz w:val="22"/>
                <w:szCs w:val="22"/>
              </w:rPr>
            </w:pPr>
            <w:r w:rsidRPr="001314CA">
              <w:rPr>
                <w:b/>
                <w:bCs/>
                <w:sz w:val="22"/>
                <w:szCs w:val="22"/>
              </w:rPr>
              <w:t>Émirats arabes Unis</w:t>
            </w:r>
          </w:p>
        </w:tc>
        <w:tc>
          <w:tcPr>
            <w:tcW w:w="1311" w:type="dxa"/>
            <w:tcBorders>
              <w:top w:val="nil"/>
              <w:left w:val="single" w:sz="4" w:space="0" w:color="auto"/>
              <w:bottom w:val="nil"/>
              <w:right w:val="single" w:sz="4" w:space="0" w:color="auto"/>
            </w:tcBorders>
            <w:shd w:val="clear" w:color="auto" w:fill="auto"/>
            <w:noWrap/>
            <w:vAlign w:val="bottom"/>
            <w:hideMark/>
          </w:tcPr>
          <w:p w14:paraId="70FF1DD1"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0627BC7C" w14:textId="77777777" w:rsidR="00D215BD" w:rsidRPr="001314CA" w:rsidRDefault="00D215BD" w:rsidP="00D215BD">
            <w:pPr>
              <w:spacing w:before="0"/>
              <w:jc w:val="center"/>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3D76A7B4"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0C0C893F" w14:textId="77777777" w:rsidR="00D215BD" w:rsidRPr="001314CA" w:rsidRDefault="00D215BD" w:rsidP="00D215BD">
            <w:pPr>
              <w:spacing w:before="0"/>
              <w:rPr>
                <w:rFonts w:ascii="Times New Roman" w:hAnsi="Times New Roman"/>
                <w:sz w:val="22"/>
                <w:szCs w:val="22"/>
              </w:rPr>
            </w:pPr>
          </w:p>
        </w:tc>
      </w:tr>
      <w:tr w:rsidR="00D215BD" w:rsidRPr="001314CA" w14:paraId="5C6B08F1"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2C490621"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Teralight</w:t>
            </w:r>
            <w:proofErr w:type="spellEnd"/>
            <w:r w:rsidRPr="001314CA">
              <w:rPr>
                <w:rFonts w:cs="Calibri"/>
                <w:sz w:val="22"/>
                <w:szCs w:val="22"/>
              </w:rPr>
              <w:t xml:space="preserve"> FZ LLC, Dubaï</w:t>
            </w:r>
          </w:p>
        </w:tc>
        <w:tc>
          <w:tcPr>
            <w:tcW w:w="1311" w:type="dxa"/>
            <w:tcBorders>
              <w:top w:val="nil"/>
              <w:left w:val="single" w:sz="4" w:space="0" w:color="auto"/>
              <w:bottom w:val="nil"/>
              <w:right w:val="single" w:sz="4" w:space="0" w:color="auto"/>
            </w:tcBorders>
            <w:shd w:val="clear" w:color="auto" w:fill="auto"/>
            <w:noWrap/>
            <w:vAlign w:val="bottom"/>
            <w:hideMark/>
          </w:tcPr>
          <w:p w14:paraId="087CD890" w14:textId="77777777" w:rsidR="00D215BD" w:rsidRPr="001314CA" w:rsidRDefault="00D215BD" w:rsidP="00D215BD">
            <w:pPr>
              <w:spacing w:before="0"/>
              <w:jc w:val="center"/>
              <w:rPr>
                <w:rFonts w:cs="Calibri"/>
                <w:sz w:val="22"/>
                <w:szCs w:val="22"/>
              </w:rPr>
            </w:pPr>
            <w:r w:rsidRPr="001314CA">
              <w:rPr>
                <w:rFonts w:cs="Calibri"/>
                <w:sz w:val="22"/>
                <w:szCs w:val="22"/>
              </w:rPr>
              <w:t>2016</w:t>
            </w:r>
          </w:p>
        </w:tc>
        <w:tc>
          <w:tcPr>
            <w:tcW w:w="1559" w:type="dxa"/>
            <w:tcBorders>
              <w:top w:val="nil"/>
              <w:left w:val="single" w:sz="4" w:space="0" w:color="auto"/>
              <w:bottom w:val="nil"/>
              <w:right w:val="single" w:sz="4" w:space="0" w:color="auto"/>
            </w:tcBorders>
            <w:shd w:val="clear" w:color="auto" w:fill="auto"/>
            <w:noWrap/>
            <w:vAlign w:val="bottom"/>
            <w:hideMark/>
          </w:tcPr>
          <w:p w14:paraId="388CC51C" w14:textId="77777777" w:rsidR="00D215BD" w:rsidRPr="001314CA" w:rsidRDefault="00D215BD" w:rsidP="00D215BD">
            <w:pPr>
              <w:spacing w:before="0"/>
              <w:jc w:val="right"/>
              <w:rPr>
                <w:rFonts w:cs="Calibri"/>
                <w:sz w:val="22"/>
                <w:szCs w:val="22"/>
              </w:rPr>
            </w:pPr>
            <w:r w:rsidRPr="001314CA">
              <w:rPr>
                <w:rFonts w:cs="Calibri"/>
                <w:sz w:val="22"/>
                <w:szCs w:val="22"/>
              </w:rPr>
              <w:t>5 206,55</w:t>
            </w:r>
          </w:p>
        </w:tc>
        <w:tc>
          <w:tcPr>
            <w:tcW w:w="1417" w:type="dxa"/>
            <w:tcBorders>
              <w:top w:val="nil"/>
              <w:left w:val="single" w:sz="4" w:space="0" w:color="auto"/>
              <w:bottom w:val="nil"/>
              <w:right w:val="single" w:sz="4" w:space="0" w:color="auto"/>
            </w:tcBorders>
            <w:shd w:val="clear" w:color="auto" w:fill="auto"/>
            <w:noWrap/>
            <w:vAlign w:val="bottom"/>
            <w:hideMark/>
          </w:tcPr>
          <w:p w14:paraId="0B7290E0"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452CA2B6" w14:textId="77777777" w:rsidR="00D215BD" w:rsidRPr="001314CA" w:rsidRDefault="00D215BD" w:rsidP="00D215BD">
            <w:pPr>
              <w:spacing w:before="0"/>
              <w:jc w:val="right"/>
              <w:rPr>
                <w:rFonts w:cs="Calibri"/>
                <w:sz w:val="22"/>
                <w:szCs w:val="22"/>
              </w:rPr>
            </w:pPr>
            <w:r w:rsidRPr="001314CA">
              <w:rPr>
                <w:rFonts w:cs="Calibri"/>
                <w:sz w:val="22"/>
                <w:szCs w:val="22"/>
              </w:rPr>
              <w:t>5 206,55</w:t>
            </w:r>
          </w:p>
        </w:tc>
      </w:tr>
      <w:tr w:rsidR="00D215BD" w:rsidRPr="001314CA" w14:paraId="5DDBA036" w14:textId="77777777" w:rsidTr="00D215BD">
        <w:trPr>
          <w:trHeight w:val="600"/>
          <w:jc w:val="center"/>
        </w:trPr>
        <w:tc>
          <w:tcPr>
            <w:tcW w:w="4780" w:type="dxa"/>
            <w:tcBorders>
              <w:top w:val="nil"/>
              <w:left w:val="single" w:sz="4" w:space="0" w:color="auto"/>
              <w:bottom w:val="nil"/>
              <w:right w:val="single" w:sz="4" w:space="0" w:color="auto"/>
            </w:tcBorders>
            <w:shd w:val="clear" w:color="auto" w:fill="auto"/>
            <w:vAlign w:val="bottom"/>
            <w:hideMark/>
          </w:tcPr>
          <w:p w14:paraId="1142E3D0" w14:textId="77777777" w:rsidR="00D215BD" w:rsidRPr="001314CA" w:rsidRDefault="00D215BD" w:rsidP="00D215BD">
            <w:pPr>
              <w:tabs>
                <w:tab w:val="clear" w:pos="567"/>
              </w:tabs>
              <w:spacing w:before="0"/>
              <w:rPr>
                <w:rFonts w:cs="Calibri"/>
                <w:b/>
                <w:bCs/>
                <w:sz w:val="22"/>
                <w:szCs w:val="22"/>
              </w:rPr>
            </w:pPr>
            <w:r w:rsidRPr="001314CA">
              <w:rPr>
                <w:b/>
                <w:sz w:val="22"/>
                <w:szCs w:val="22"/>
              </w:rPr>
              <w:t>Royaume-Uni de Grande-Bretagne et d'Irlande du Nord</w:t>
            </w:r>
          </w:p>
        </w:tc>
        <w:tc>
          <w:tcPr>
            <w:tcW w:w="1311" w:type="dxa"/>
            <w:tcBorders>
              <w:top w:val="nil"/>
              <w:left w:val="single" w:sz="4" w:space="0" w:color="auto"/>
              <w:bottom w:val="nil"/>
              <w:right w:val="single" w:sz="4" w:space="0" w:color="auto"/>
            </w:tcBorders>
            <w:shd w:val="clear" w:color="auto" w:fill="auto"/>
            <w:noWrap/>
            <w:vAlign w:val="bottom"/>
            <w:hideMark/>
          </w:tcPr>
          <w:p w14:paraId="4E2A695F" w14:textId="77777777" w:rsidR="00D215BD" w:rsidRPr="001314CA" w:rsidRDefault="00D215BD" w:rsidP="00D215BD">
            <w:pPr>
              <w:spacing w:before="0"/>
              <w:rPr>
                <w:rFonts w:cs="Calibri"/>
                <w:b/>
                <w:bCs/>
                <w:sz w:val="22"/>
                <w:szCs w:val="22"/>
              </w:rPr>
            </w:pPr>
          </w:p>
        </w:tc>
        <w:tc>
          <w:tcPr>
            <w:tcW w:w="1559" w:type="dxa"/>
            <w:tcBorders>
              <w:top w:val="nil"/>
              <w:left w:val="single" w:sz="4" w:space="0" w:color="auto"/>
              <w:bottom w:val="nil"/>
              <w:right w:val="single" w:sz="4" w:space="0" w:color="auto"/>
            </w:tcBorders>
            <w:shd w:val="clear" w:color="auto" w:fill="auto"/>
            <w:noWrap/>
            <w:vAlign w:val="bottom"/>
            <w:hideMark/>
          </w:tcPr>
          <w:p w14:paraId="4C192DF0" w14:textId="77777777" w:rsidR="00D215BD" w:rsidRPr="001314CA" w:rsidRDefault="00D215BD" w:rsidP="00D215BD">
            <w:pPr>
              <w:spacing w:before="0"/>
              <w:jc w:val="center"/>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7D043483" w14:textId="77777777" w:rsidR="00D215BD" w:rsidRPr="001314CA" w:rsidRDefault="00D215BD" w:rsidP="00D215BD">
            <w:pPr>
              <w:spacing w:before="0"/>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255F8E1C" w14:textId="77777777" w:rsidR="00D215BD" w:rsidRPr="001314CA" w:rsidRDefault="00D215BD" w:rsidP="00D215BD">
            <w:pPr>
              <w:spacing w:before="0"/>
              <w:rPr>
                <w:rFonts w:ascii="Times New Roman" w:hAnsi="Times New Roman"/>
                <w:sz w:val="22"/>
                <w:szCs w:val="22"/>
              </w:rPr>
            </w:pPr>
          </w:p>
        </w:tc>
      </w:tr>
      <w:tr w:rsidR="00D215BD" w:rsidRPr="001314CA" w14:paraId="4F8546D5" w14:textId="77777777" w:rsidTr="00D215BD">
        <w:trPr>
          <w:trHeight w:val="600"/>
          <w:jc w:val="center"/>
        </w:trPr>
        <w:tc>
          <w:tcPr>
            <w:tcW w:w="4780" w:type="dxa"/>
            <w:tcBorders>
              <w:top w:val="nil"/>
              <w:left w:val="single" w:sz="4" w:space="0" w:color="auto"/>
              <w:bottom w:val="nil"/>
              <w:right w:val="single" w:sz="4" w:space="0" w:color="auto"/>
            </w:tcBorders>
            <w:shd w:val="clear" w:color="auto" w:fill="auto"/>
            <w:vAlign w:val="bottom"/>
            <w:hideMark/>
          </w:tcPr>
          <w:p w14:paraId="4D9E21DD" w14:textId="77777777" w:rsidR="00D215BD" w:rsidRPr="001314CA" w:rsidRDefault="00D215BD" w:rsidP="00D215BD">
            <w:pPr>
              <w:tabs>
                <w:tab w:val="clear" w:pos="567"/>
              </w:tabs>
              <w:spacing w:before="0"/>
              <w:ind w:left="317" w:hanging="317"/>
              <w:rPr>
                <w:rFonts w:cs="Calibri"/>
                <w:sz w:val="22"/>
                <w:szCs w:val="22"/>
              </w:rPr>
            </w:pPr>
            <w:r w:rsidRPr="00513163">
              <w:rPr>
                <w:rFonts w:cs="Calibri"/>
                <w:sz w:val="22"/>
                <w:szCs w:val="22"/>
                <w:lang w:val="en-US"/>
              </w:rPr>
              <w:t>–</w:t>
            </w:r>
            <w:r w:rsidRPr="00513163">
              <w:rPr>
                <w:rFonts w:cs="Calibri"/>
                <w:sz w:val="22"/>
                <w:szCs w:val="22"/>
                <w:lang w:val="en-US"/>
              </w:rPr>
              <w:tab/>
              <w:t xml:space="preserve">KRE Corporate Recovery LLP (Ex. </w:t>
            </w:r>
            <w:r w:rsidRPr="001314CA">
              <w:rPr>
                <w:rFonts w:cs="Calibri"/>
                <w:sz w:val="22"/>
                <w:szCs w:val="22"/>
              </w:rPr>
              <w:t xml:space="preserve">ICO Satellite Limited), </w:t>
            </w:r>
            <w:proofErr w:type="spellStart"/>
            <w:r w:rsidRPr="001314CA">
              <w:rPr>
                <w:rFonts w:cs="Calibri"/>
                <w:sz w:val="22"/>
                <w:szCs w:val="22"/>
              </w:rPr>
              <w:t>Berks</w:t>
            </w:r>
            <w:proofErr w:type="spellEnd"/>
          </w:p>
        </w:tc>
        <w:tc>
          <w:tcPr>
            <w:tcW w:w="1311" w:type="dxa"/>
            <w:tcBorders>
              <w:top w:val="nil"/>
              <w:left w:val="single" w:sz="4" w:space="0" w:color="auto"/>
              <w:bottom w:val="nil"/>
              <w:right w:val="single" w:sz="4" w:space="0" w:color="auto"/>
            </w:tcBorders>
            <w:shd w:val="clear" w:color="auto" w:fill="auto"/>
            <w:noWrap/>
            <w:vAlign w:val="bottom"/>
            <w:hideMark/>
          </w:tcPr>
          <w:p w14:paraId="46860ADA" w14:textId="77777777" w:rsidR="00D215BD" w:rsidRPr="001314CA" w:rsidRDefault="00D215BD" w:rsidP="00D215BD">
            <w:pPr>
              <w:spacing w:before="0"/>
              <w:jc w:val="center"/>
              <w:rPr>
                <w:rFonts w:cs="Calibri"/>
                <w:sz w:val="22"/>
                <w:szCs w:val="22"/>
              </w:rPr>
            </w:pPr>
            <w:r w:rsidRPr="001314CA">
              <w:rPr>
                <w:rFonts w:cs="Calibri"/>
                <w:sz w:val="22"/>
                <w:szCs w:val="22"/>
              </w:rPr>
              <w:t>2012-2013</w:t>
            </w:r>
          </w:p>
        </w:tc>
        <w:tc>
          <w:tcPr>
            <w:tcW w:w="1559" w:type="dxa"/>
            <w:tcBorders>
              <w:top w:val="nil"/>
              <w:left w:val="single" w:sz="4" w:space="0" w:color="auto"/>
              <w:bottom w:val="nil"/>
              <w:right w:val="single" w:sz="4" w:space="0" w:color="auto"/>
            </w:tcBorders>
            <w:shd w:val="clear" w:color="auto" w:fill="auto"/>
            <w:noWrap/>
            <w:vAlign w:val="bottom"/>
            <w:hideMark/>
          </w:tcPr>
          <w:p w14:paraId="1F5B38CB" w14:textId="77777777" w:rsidR="00D215BD" w:rsidRPr="001314CA" w:rsidRDefault="00D215BD" w:rsidP="00D215BD">
            <w:pPr>
              <w:spacing w:before="0"/>
              <w:jc w:val="right"/>
              <w:rPr>
                <w:rFonts w:cs="Calibri"/>
                <w:sz w:val="22"/>
                <w:szCs w:val="22"/>
              </w:rPr>
            </w:pPr>
            <w:r w:rsidRPr="001314CA">
              <w:rPr>
                <w:rFonts w:cs="Calibri"/>
                <w:sz w:val="22"/>
                <w:szCs w:val="22"/>
              </w:rPr>
              <w:t>26 815,50</w:t>
            </w:r>
          </w:p>
        </w:tc>
        <w:tc>
          <w:tcPr>
            <w:tcW w:w="1417" w:type="dxa"/>
            <w:tcBorders>
              <w:top w:val="nil"/>
              <w:left w:val="single" w:sz="4" w:space="0" w:color="auto"/>
              <w:bottom w:val="nil"/>
              <w:right w:val="single" w:sz="4" w:space="0" w:color="auto"/>
            </w:tcBorders>
            <w:shd w:val="clear" w:color="auto" w:fill="auto"/>
            <w:noWrap/>
            <w:vAlign w:val="bottom"/>
            <w:hideMark/>
          </w:tcPr>
          <w:p w14:paraId="099E974B"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241EE008" w14:textId="77777777" w:rsidR="00D215BD" w:rsidRPr="001314CA" w:rsidRDefault="00D215BD" w:rsidP="00D215BD">
            <w:pPr>
              <w:spacing w:before="0"/>
              <w:jc w:val="right"/>
              <w:rPr>
                <w:rFonts w:cs="Calibri"/>
                <w:sz w:val="22"/>
                <w:szCs w:val="22"/>
              </w:rPr>
            </w:pPr>
            <w:r w:rsidRPr="001314CA">
              <w:rPr>
                <w:rFonts w:cs="Calibri"/>
                <w:sz w:val="22"/>
                <w:szCs w:val="22"/>
              </w:rPr>
              <w:t>26 815,50</w:t>
            </w:r>
          </w:p>
        </w:tc>
      </w:tr>
      <w:tr w:rsidR="00D215BD" w:rsidRPr="001314CA" w14:paraId="446D08BE"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46FB2E7F"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Malden Electronics, </w:t>
            </w:r>
            <w:proofErr w:type="spellStart"/>
            <w:r w:rsidRPr="001314CA">
              <w:rPr>
                <w:rFonts w:cs="Calibri"/>
                <w:sz w:val="22"/>
                <w:szCs w:val="22"/>
              </w:rPr>
              <w:t>Ewell</w:t>
            </w:r>
            <w:proofErr w:type="spellEnd"/>
          </w:p>
        </w:tc>
        <w:tc>
          <w:tcPr>
            <w:tcW w:w="1311" w:type="dxa"/>
            <w:tcBorders>
              <w:top w:val="nil"/>
              <w:left w:val="single" w:sz="4" w:space="0" w:color="auto"/>
              <w:bottom w:val="nil"/>
              <w:right w:val="single" w:sz="4" w:space="0" w:color="auto"/>
            </w:tcBorders>
            <w:shd w:val="clear" w:color="auto" w:fill="auto"/>
            <w:noWrap/>
            <w:vAlign w:val="bottom"/>
            <w:hideMark/>
          </w:tcPr>
          <w:p w14:paraId="2D33A52A" w14:textId="77777777" w:rsidR="00D215BD" w:rsidRPr="001314CA" w:rsidRDefault="00D215BD" w:rsidP="00D215BD">
            <w:pPr>
              <w:spacing w:before="0"/>
              <w:jc w:val="center"/>
              <w:rPr>
                <w:rFonts w:cs="Calibri"/>
                <w:sz w:val="22"/>
                <w:szCs w:val="22"/>
              </w:rPr>
            </w:pPr>
            <w:r w:rsidRPr="001314CA">
              <w:rPr>
                <w:rFonts w:cs="Calibri"/>
                <w:sz w:val="22"/>
                <w:szCs w:val="22"/>
              </w:rPr>
              <w:t>2016</w:t>
            </w:r>
          </w:p>
        </w:tc>
        <w:tc>
          <w:tcPr>
            <w:tcW w:w="1559" w:type="dxa"/>
            <w:tcBorders>
              <w:top w:val="nil"/>
              <w:left w:val="single" w:sz="4" w:space="0" w:color="auto"/>
              <w:bottom w:val="nil"/>
              <w:right w:val="single" w:sz="4" w:space="0" w:color="auto"/>
            </w:tcBorders>
            <w:shd w:val="clear" w:color="auto" w:fill="auto"/>
            <w:noWrap/>
            <w:vAlign w:val="bottom"/>
            <w:hideMark/>
          </w:tcPr>
          <w:p w14:paraId="31540CBB" w14:textId="77777777" w:rsidR="00D215BD" w:rsidRPr="001314CA" w:rsidRDefault="00D215BD" w:rsidP="00D215BD">
            <w:pPr>
              <w:spacing w:before="0"/>
              <w:jc w:val="right"/>
              <w:rPr>
                <w:rFonts w:cs="Calibri"/>
                <w:sz w:val="22"/>
                <w:szCs w:val="22"/>
              </w:rPr>
            </w:pPr>
            <w:r w:rsidRPr="001314CA">
              <w:rPr>
                <w:rFonts w:cs="Calibri"/>
                <w:sz w:val="22"/>
                <w:szCs w:val="22"/>
              </w:rPr>
              <w:t>13 884,10</w:t>
            </w:r>
          </w:p>
        </w:tc>
        <w:tc>
          <w:tcPr>
            <w:tcW w:w="1417" w:type="dxa"/>
            <w:tcBorders>
              <w:top w:val="nil"/>
              <w:left w:val="single" w:sz="4" w:space="0" w:color="auto"/>
              <w:bottom w:val="nil"/>
              <w:right w:val="single" w:sz="4" w:space="0" w:color="auto"/>
            </w:tcBorders>
            <w:shd w:val="clear" w:color="auto" w:fill="auto"/>
            <w:noWrap/>
            <w:vAlign w:val="bottom"/>
            <w:hideMark/>
          </w:tcPr>
          <w:p w14:paraId="00793EEC"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466FA72B" w14:textId="77777777" w:rsidR="00D215BD" w:rsidRPr="001314CA" w:rsidRDefault="00D215BD" w:rsidP="00D215BD">
            <w:pPr>
              <w:spacing w:before="0"/>
              <w:jc w:val="right"/>
              <w:rPr>
                <w:rFonts w:cs="Calibri"/>
                <w:sz w:val="22"/>
                <w:szCs w:val="22"/>
              </w:rPr>
            </w:pPr>
            <w:r w:rsidRPr="001314CA">
              <w:rPr>
                <w:rFonts w:cs="Calibri"/>
                <w:sz w:val="22"/>
                <w:szCs w:val="22"/>
              </w:rPr>
              <w:t>13 884,10</w:t>
            </w:r>
          </w:p>
        </w:tc>
      </w:tr>
      <w:tr w:rsidR="00D215BD" w:rsidRPr="001314CA" w14:paraId="0AEA1C25"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25F54A73"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Tinklabs</w:t>
            </w:r>
            <w:proofErr w:type="spellEnd"/>
            <w:r w:rsidRPr="001314CA">
              <w:rPr>
                <w:rFonts w:cs="Calibri"/>
                <w:sz w:val="22"/>
                <w:szCs w:val="22"/>
              </w:rPr>
              <w:t xml:space="preserve"> Limited, Londres</w:t>
            </w:r>
          </w:p>
        </w:tc>
        <w:tc>
          <w:tcPr>
            <w:tcW w:w="1311" w:type="dxa"/>
            <w:tcBorders>
              <w:top w:val="nil"/>
              <w:left w:val="single" w:sz="4" w:space="0" w:color="auto"/>
              <w:bottom w:val="nil"/>
              <w:right w:val="single" w:sz="4" w:space="0" w:color="auto"/>
            </w:tcBorders>
            <w:shd w:val="clear" w:color="auto" w:fill="auto"/>
            <w:noWrap/>
            <w:vAlign w:val="bottom"/>
            <w:hideMark/>
          </w:tcPr>
          <w:p w14:paraId="4E35E70F" w14:textId="77777777" w:rsidR="00D215BD" w:rsidRPr="001314CA" w:rsidRDefault="00D215BD" w:rsidP="00D215BD">
            <w:pPr>
              <w:spacing w:before="0"/>
              <w:jc w:val="center"/>
              <w:rPr>
                <w:rFonts w:cs="Calibri"/>
                <w:sz w:val="22"/>
                <w:szCs w:val="22"/>
              </w:rPr>
            </w:pPr>
            <w:r w:rsidRPr="001314CA">
              <w:rPr>
                <w:rFonts w:cs="Calibri"/>
                <w:sz w:val="22"/>
                <w:szCs w:val="22"/>
              </w:rPr>
              <w:t>2018</w:t>
            </w:r>
          </w:p>
        </w:tc>
        <w:tc>
          <w:tcPr>
            <w:tcW w:w="1559" w:type="dxa"/>
            <w:tcBorders>
              <w:top w:val="nil"/>
              <w:left w:val="single" w:sz="4" w:space="0" w:color="auto"/>
              <w:bottom w:val="nil"/>
              <w:right w:val="single" w:sz="4" w:space="0" w:color="auto"/>
            </w:tcBorders>
            <w:shd w:val="clear" w:color="auto" w:fill="auto"/>
            <w:noWrap/>
            <w:vAlign w:val="bottom"/>
            <w:hideMark/>
          </w:tcPr>
          <w:p w14:paraId="04EDF6A8" w14:textId="77777777" w:rsidR="00D215BD" w:rsidRPr="001314CA" w:rsidRDefault="00D215BD" w:rsidP="00D215BD">
            <w:pPr>
              <w:spacing w:before="0"/>
              <w:jc w:val="right"/>
              <w:rPr>
                <w:rFonts w:cs="Calibri"/>
                <w:sz w:val="22"/>
                <w:szCs w:val="22"/>
              </w:rPr>
            </w:pPr>
            <w:r w:rsidRPr="001314CA">
              <w:rPr>
                <w:rFonts w:cs="Calibri"/>
                <w:sz w:val="22"/>
                <w:szCs w:val="22"/>
              </w:rPr>
              <w:t>10 685,92</w:t>
            </w:r>
          </w:p>
        </w:tc>
        <w:tc>
          <w:tcPr>
            <w:tcW w:w="1417" w:type="dxa"/>
            <w:tcBorders>
              <w:top w:val="nil"/>
              <w:left w:val="single" w:sz="4" w:space="0" w:color="auto"/>
              <w:bottom w:val="nil"/>
              <w:right w:val="single" w:sz="4" w:space="0" w:color="auto"/>
            </w:tcBorders>
            <w:shd w:val="clear" w:color="auto" w:fill="auto"/>
            <w:noWrap/>
            <w:vAlign w:val="bottom"/>
            <w:hideMark/>
          </w:tcPr>
          <w:p w14:paraId="381C3418"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2D0744E0" w14:textId="77777777" w:rsidR="00D215BD" w:rsidRPr="001314CA" w:rsidRDefault="00D215BD" w:rsidP="00D215BD">
            <w:pPr>
              <w:spacing w:before="0"/>
              <w:jc w:val="right"/>
              <w:rPr>
                <w:rFonts w:cs="Calibri"/>
                <w:sz w:val="22"/>
                <w:szCs w:val="22"/>
              </w:rPr>
            </w:pPr>
            <w:r w:rsidRPr="001314CA">
              <w:rPr>
                <w:rFonts w:cs="Calibri"/>
                <w:sz w:val="22"/>
                <w:szCs w:val="22"/>
              </w:rPr>
              <w:t>10 685,92</w:t>
            </w:r>
          </w:p>
        </w:tc>
      </w:tr>
      <w:tr w:rsidR="00D215BD" w:rsidRPr="001314CA" w14:paraId="3993682D"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524677F4" w14:textId="77777777" w:rsidR="00D215BD" w:rsidRPr="001314CA" w:rsidRDefault="00D215BD" w:rsidP="00D215BD">
            <w:pPr>
              <w:tabs>
                <w:tab w:val="clear" w:pos="567"/>
              </w:tabs>
              <w:spacing w:before="0"/>
              <w:ind w:left="317" w:hanging="317"/>
              <w:rPr>
                <w:rFonts w:cs="Calibri"/>
                <w:b/>
                <w:bCs/>
                <w:sz w:val="22"/>
                <w:szCs w:val="22"/>
              </w:rPr>
            </w:pPr>
            <w:r w:rsidRPr="001314CA">
              <w:rPr>
                <w:b/>
                <w:sz w:val="22"/>
                <w:szCs w:val="22"/>
              </w:rPr>
              <w:t>États-Unis d'Amérique</w:t>
            </w:r>
          </w:p>
        </w:tc>
        <w:tc>
          <w:tcPr>
            <w:tcW w:w="1311" w:type="dxa"/>
            <w:tcBorders>
              <w:top w:val="nil"/>
              <w:left w:val="single" w:sz="4" w:space="0" w:color="auto"/>
              <w:bottom w:val="nil"/>
              <w:right w:val="single" w:sz="4" w:space="0" w:color="auto"/>
            </w:tcBorders>
            <w:shd w:val="clear" w:color="auto" w:fill="auto"/>
            <w:noWrap/>
            <w:vAlign w:val="bottom"/>
            <w:hideMark/>
          </w:tcPr>
          <w:p w14:paraId="7474B48A" w14:textId="77777777" w:rsidR="00D215BD" w:rsidRPr="001314CA" w:rsidRDefault="00D215BD" w:rsidP="00D215BD">
            <w:pPr>
              <w:spacing w:before="0"/>
              <w:jc w:val="center"/>
              <w:rPr>
                <w:rFonts w:cs="Calibri"/>
                <w:sz w:val="22"/>
                <w:szCs w:val="22"/>
              </w:rPr>
            </w:pPr>
            <w:r w:rsidRPr="001314CA">
              <w:rPr>
                <w:rFonts w:cs="Calibri"/>
                <w:sz w:val="22"/>
                <w:szCs w:val="22"/>
              </w:rPr>
              <w:t xml:space="preserve"> </w:t>
            </w:r>
          </w:p>
        </w:tc>
        <w:tc>
          <w:tcPr>
            <w:tcW w:w="1559" w:type="dxa"/>
            <w:tcBorders>
              <w:top w:val="nil"/>
              <w:left w:val="single" w:sz="4" w:space="0" w:color="auto"/>
              <w:bottom w:val="nil"/>
              <w:right w:val="single" w:sz="4" w:space="0" w:color="auto"/>
            </w:tcBorders>
            <w:shd w:val="clear" w:color="auto" w:fill="auto"/>
            <w:noWrap/>
            <w:vAlign w:val="bottom"/>
            <w:hideMark/>
          </w:tcPr>
          <w:p w14:paraId="3C3EF75D" w14:textId="77777777" w:rsidR="00D215BD" w:rsidRPr="001314CA" w:rsidRDefault="00D215BD" w:rsidP="00D215BD">
            <w:pPr>
              <w:spacing w:before="0"/>
              <w:rPr>
                <w:rFonts w:cs="Calibri"/>
                <w:sz w:val="22"/>
                <w:szCs w:val="22"/>
              </w:rPr>
            </w:pPr>
            <w:r w:rsidRPr="001314CA">
              <w:rPr>
                <w:rFonts w:cs="Calibri"/>
                <w:sz w:val="22"/>
                <w:szCs w:val="22"/>
              </w:rPr>
              <w:t xml:space="preserve"> </w:t>
            </w:r>
          </w:p>
        </w:tc>
        <w:tc>
          <w:tcPr>
            <w:tcW w:w="1417" w:type="dxa"/>
            <w:tcBorders>
              <w:top w:val="nil"/>
              <w:left w:val="single" w:sz="4" w:space="0" w:color="auto"/>
              <w:bottom w:val="nil"/>
              <w:right w:val="single" w:sz="4" w:space="0" w:color="auto"/>
            </w:tcBorders>
            <w:shd w:val="clear" w:color="auto" w:fill="auto"/>
            <w:noWrap/>
            <w:vAlign w:val="bottom"/>
            <w:hideMark/>
          </w:tcPr>
          <w:p w14:paraId="56A46D8C" w14:textId="77777777" w:rsidR="00D215BD" w:rsidRPr="001314CA" w:rsidRDefault="00D215BD" w:rsidP="00D215BD">
            <w:pPr>
              <w:spacing w:before="0"/>
              <w:rPr>
                <w:rFonts w:cs="Calibri"/>
                <w:sz w:val="22"/>
                <w:szCs w:val="22"/>
              </w:rPr>
            </w:pPr>
            <w:r w:rsidRPr="001314CA">
              <w:rPr>
                <w:rFonts w:cs="Calibri"/>
                <w:sz w:val="22"/>
                <w:szCs w:val="22"/>
              </w:rPr>
              <w:t xml:space="preserve"> </w:t>
            </w:r>
          </w:p>
        </w:tc>
        <w:tc>
          <w:tcPr>
            <w:tcW w:w="1418" w:type="dxa"/>
            <w:tcBorders>
              <w:top w:val="nil"/>
              <w:left w:val="single" w:sz="4" w:space="0" w:color="auto"/>
              <w:bottom w:val="nil"/>
              <w:right w:val="single" w:sz="4" w:space="0" w:color="auto"/>
            </w:tcBorders>
            <w:shd w:val="clear" w:color="auto" w:fill="auto"/>
            <w:noWrap/>
            <w:vAlign w:val="bottom"/>
            <w:hideMark/>
          </w:tcPr>
          <w:p w14:paraId="7D0B67A0" w14:textId="77777777" w:rsidR="00D215BD" w:rsidRPr="001314CA" w:rsidRDefault="00D215BD" w:rsidP="00D215BD">
            <w:pPr>
              <w:spacing w:before="0"/>
              <w:rPr>
                <w:rFonts w:cs="Calibri"/>
                <w:sz w:val="22"/>
                <w:szCs w:val="22"/>
              </w:rPr>
            </w:pPr>
            <w:r w:rsidRPr="001314CA">
              <w:rPr>
                <w:rFonts w:cs="Calibri"/>
                <w:sz w:val="22"/>
                <w:szCs w:val="22"/>
              </w:rPr>
              <w:t xml:space="preserve"> </w:t>
            </w:r>
          </w:p>
        </w:tc>
      </w:tr>
      <w:tr w:rsidR="00D215BD" w:rsidRPr="001314CA" w14:paraId="1DF43FFD"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67105459"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Actiontec</w:t>
            </w:r>
            <w:proofErr w:type="spellEnd"/>
            <w:r w:rsidRPr="001314CA">
              <w:rPr>
                <w:rFonts w:cs="Calibri"/>
                <w:sz w:val="22"/>
                <w:szCs w:val="22"/>
              </w:rPr>
              <w:t xml:space="preserve"> Electronics, Inc., Sunnyvale</w:t>
            </w:r>
          </w:p>
        </w:tc>
        <w:tc>
          <w:tcPr>
            <w:tcW w:w="1311" w:type="dxa"/>
            <w:tcBorders>
              <w:top w:val="nil"/>
              <w:left w:val="single" w:sz="4" w:space="0" w:color="auto"/>
              <w:bottom w:val="nil"/>
              <w:right w:val="single" w:sz="4" w:space="0" w:color="auto"/>
            </w:tcBorders>
            <w:shd w:val="clear" w:color="auto" w:fill="auto"/>
            <w:noWrap/>
            <w:vAlign w:val="bottom"/>
            <w:hideMark/>
          </w:tcPr>
          <w:p w14:paraId="7880B78A" w14:textId="77777777" w:rsidR="00D215BD" w:rsidRPr="001314CA" w:rsidRDefault="00D215BD" w:rsidP="00D215BD">
            <w:pPr>
              <w:spacing w:before="0"/>
              <w:jc w:val="center"/>
              <w:rPr>
                <w:rFonts w:cs="Calibri"/>
                <w:sz w:val="22"/>
                <w:szCs w:val="22"/>
              </w:rPr>
            </w:pPr>
            <w:r w:rsidRPr="001314CA">
              <w:rPr>
                <w:rFonts w:cs="Calibri"/>
                <w:sz w:val="22"/>
                <w:szCs w:val="22"/>
              </w:rPr>
              <w:t>2008</w:t>
            </w:r>
          </w:p>
        </w:tc>
        <w:tc>
          <w:tcPr>
            <w:tcW w:w="1559" w:type="dxa"/>
            <w:tcBorders>
              <w:top w:val="nil"/>
              <w:left w:val="single" w:sz="4" w:space="0" w:color="auto"/>
              <w:bottom w:val="nil"/>
              <w:right w:val="single" w:sz="4" w:space="0" w:color="auto"/>
            </w:tcBorders>
            <w:shd w:val="clear" w:color="auto" w:fill="auto"/>
            <w:noWrap/>
            <w:vAlign w:val="bottom"/>
            <w:hideMark/>
          </w:tcPr>
          <w:p w14:paraId="7D0E27D5" w14:textId="77777777" w:rsidR="00D215BD" w:rsidRPr="001314CA" w:rsidRDefault="00D215BD" w:rsidP="00D215BD">
            <w:pPr>
              <w:spacing w:before="0"/>
              <w:jc w:val="right"/>
              <w:rPr>
                <w:rFonts w:cs="Calibri"/>
                <w:sz w:val="22"/>
                <w:szCs w:val="22"/>
              </w:rPr>
            </w:pPr>
            <w:r w:rsidRPr="001314CA">
              <w:rPr>
                <w:rFonts w:cs="Calibri"/>
                <w:sz w:val="22"/>
                <w:szCs w:val="22"/>
              </w:rPr>
              <w:t>22 129,15</w:t>
            </w:r>
          </w:p>
        </w:tc>
        <w:tc>
          <w:tcPr>
            <w:tcW w:w="1417" w:type="dxa"/>
            <w:tcBorders>
              <w:top w:val="nil"/>
              <w:left w:val="single" w:sz="4" w:space="0" w:color="auto"/>
              <w:bottom w:val="nil"/>
              <w:right w:val="single" w:sz="4" w:space="0" w:color="auto"/>
            </w:tcBorders>
            <w:shd w:val="clear" w:color="auto" w:fill="auto"/>
            <w:noWrap/>
            <w:vAlign w:val="bottom"/>
            <w:hideMark/>
          </w:tcPr>
          <w:p w14:paraId="231B1C94"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62241987" w14:textId="77777777" w:rsidR="00D215BD" w:rsidRPr="001314CA" w:rsidRDefault="00D215BD" w:rsidP="00D215BD">
            <w:pPr>
              <w:spacing w:before="0"/>
              <w:jc w:val="right"/>
              <w:rPr>
                <w:rFonts w:cs="Calibri"/>
                <w:sz w:val="22"/>
                <w:szCs w:val="22"/>
              </w:rPr>
            </w:pPr>
            <w:r w:rsidRPr="001314CA">
              <w:rPr>
                <w:rFonts w:cs="Calibri"/>
                <w:sz w:val="22"/>
                <w:szCs w:val="22"/>
              </w:rPr>
              <w:t>22 129,15</w:t>
            </w:r>
          </w:p>
        </w:tc>
      </w:tr>
      <w:tr w:rsidR="00D215BD" w:rsidRPr="001314CA" w14:paraId="2A062CE2"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3E478E9F"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Animatele</w:t>
            </w:r>
            <w:proofErr w:type="spellEnd"/>
            <w:r w:rsidRPr="001314CA">
              <w:rPr>
                <w:rFonts w:cs="Calibri"/>
                <w:sz w:val="22"/>
                <w:szCs w:val="22"/>
              </w:rPr>
              <w:t xml:space="preserve"> Inc., New York</w:t>
            </w:r>
          </w:p>
        </w:tc>
        <w:tc>
          <w:tcPr>
            <w:tcW w:w="1311" w:type="dxa"/>
            <w:tcBorders>
              <w:top w:val="nil"/>
              <w:left w:val="single" w:sz="4" w:space="0" w:color="auto"/>
              <w:bottom w:val="nil"/>
              <w:right w:val="single" w:sz="4" w:space="0" w:color="auto"/>
            </w:tcBorders>
            <w:shd w:val="clear" w:color="auto" w:fill="auto"/>
            <w:noWrap/>
            <w:vAlign w:val="bottom"/>
            <w:hideMark/>
          </w:tcPr>
          <w:p w14:paraId="5A374F10" w14:textId="77777777" w:rsidR="00D215BD" w:rsidRPr="001314CA" w:rsidRDefault="00D215BD" w:rsidP="00D215BD">
            <w:pPr>
              <w:spacing w:before="0"/>
              <w:jc w:val="center"/>
              <w:rPr>
                <w:rFonts w:cs="Calibri"/>
                <w:sz w:val="22"/>
                <w:szCs w:val="22"/>
              </w:rPr>
            </w:pPr>
            <w:r w:rsidRPr="001314CA">
              <w:rPr>
                <w:rFonts w:cs="Calibri"/>
                <w:sz w:val="22"/>
                <w:szCs w:val="22"/>
              </w:rPr>
              <w:t>2011</w:t>
            </w:r>
          </w:p>
        </w:tc>
        <w:tc>
          <w:tcPr>
            <w:tcW w:w="1559" w:type="dxa"/>
            <w:tcBorders>
              <w:top w:val="nil"/>
              <w:left w:val="single" w:sz="4" w:space="0" w:color="auto"/>
              <w:bottom w:val="nil"/>
              <w:right w:val="single" w:sz="4" w:space="0" w:color="auto"/>
            </w:tcBorders>
            <w:shd w:val="clear" w:color="auto" w:fill="auto"/>
            <w:noWrap/>
            <w:vAlign w:val="bottom"/>
            <w:hideMark/>
          </w:tcPr>
          <w:p w14:paraId="16E108D5" w14:textId="77777777" w:rsidR="00D215BD" w:rsidRPr="001314CA" w:rsidRDefault="00D215BD" w:rsidP="00D215BD">
            <w:pPr>
              <w:spacing w:before="0"/>
              <w:jc w:val="right"/>
              <w:rPr>
                <w:rFonts w:cs="Calibri"/>
                <w:sz w:val="22"/>
                <w:szCs w:val="22"/>
              </w:rPr>
            </w:pPr>
            <w:r w:rsidRPr="001314CA">
              <w:rPr>
                <w:rFonts w:cs="Calibri"/>
                <w:sz w:val="22"/>
                <w:szCs w:val="22"/>
              </w:rPr>
              <w:t>18 580,05</w:t>
            </w:r>
          </w:p>
        </w:tc>
        <w:tc>
          <w:tcPr>
            <w:tcW w:w="1417" w:type="dxa"/>
            <w:tcBorders>
              <w:top w:val="nil"/>
              <w:left w:val="single" w:sz="4" w:space="0" w:color="auto"/>
              <w:bottom w:val="nil"/>
              <w:right w:val="single" w:sz="4" w:space="0" w:color="auto"/>
            </w:tcBorders>
            <w:shd w:val="clear" w:color="auto" w:fill="auto"/>
            <w:noWrap/>
            <w:vAlign w:val="bottom"/>
            <w:hideMark/>
          </w:tcPr>
          <w:p w14:paraId="521C9C0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2E9BCCA2" w14:textId="77777777" w:rsidR="00D215BD" w:rsidRPr="001314CA" w:rsidRDefault="00D215BD" w:rsidP="00D215BD">
            <w:pPr>
              <w:spacing w:before="0"/>
              <w:jc w:val="right"/>
              <w:rPr>
                <w:rFonts w:cs="Calibri"/>
                <w:sz w:val="22"/>
                <w:szCs w:val="22"/>
              </w:rPr>
            </w:pPr>
            <w:r w:rsidRPr="001314CA">
              <w:rPr>
                <w:rFonts w:cs="Calibri"/>
                <w:sz w:val="22"/>
                <w:szCs w:val="22"/>
              </w:rPr>
              <w:t>18 580,05</w:t>
            </w:r>
          </w:p>
        </w:tc>
      </w:tr>
      <w:tr w:rsidR="00D215BD" w:rsidRPr="001314CA" w14:paraId="799964F0"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49F49F43"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AOL, New York</w:t>
            </w:r>
          </w:p>
        </w:tc>
        <w:tc>
          <w:tcPr>
            <w:tcW w:w="1311" w:type="dxa"/>
            <w:tcBorders>
              <w:top w:val="nil"/>
              <w:left w:val="single" w:sz="4" w:space="0" w:color="auto"/>
              <w:bottom w:val="nil"/>
              <w:right w:val="single" w:sz="4" w:space="0" w:color="auto"/>
            </w:tcBorders>
            <w:shd w:val="clear" w:color="auto" w:fill="auto"/>
            <w:noWrap/>
            <w:vAlign w:val="bottom"/>
            <w:hideMark/>
          </w:tcPr>
          <w:p w14:paraId="488E99EB" w14:textId="77777777" w:rsidR="00D215BD" w:rsidRPr="001314CA" w:rsidRDefault="00D215BD" w:rsidP="00D215BD">
            <w:pPr>
              <w:spacing w:before="0"/>
              <w:jc w:val="center"/>
              <w:rPr>
                <w:rFonts w:cs="Calibri"/>
                <w:sz w:val="22"/>
                <w:szCs w:val="22"/>
              </w:rPr>
            </w:pPr>
            <w:r w:rsidRPr="001314CA">
              <w:rPr>
                <w:rFonts w:cs="Calibri"/>
                <w:sz w:val="22"/>
                <w:szCs w:val="22"/>
              </w:rPr>
              <w:t>2002-2003</w:t>
            </w:r>
          </w:p>
        </w:tc>
        <w:tc>
          <w:tcPr>
            <w:tcW w:w="1559" w:type="dxa"/>
            <w:tcBorders>
              <w:top w:val="nil"/>
              <w:left w:val="single" w:sz="4" w:space="0" w:color="auto"/>
              <w:bottom w:val="nil"/>
              <w:right w:val="single" w:sz="4" w:space="0" w:color="auto"/>
            </w:tcBorders>
            <w:shd w:val="clear" w:color="auto" w:fill="auto"/>
            <w:noWrap/>
            <w:vAlign w:val="bottom"/>
            <w:hideMark/>
          </w:tcPr>
          <w:p w14:paraId="21B39847" w14:textId="77777777" w:rsidR="00D215BD" w:rsidRPr="001314CA" w:rsidRDefault="00D215BD" w:rsidP="00D215BD">
            <w:pPr>
              <w:spacing w:before="0"/>
              <w:jc w:val="right"/>
              <w:rPr>
                <w:rFonts w:cs="Calibri"/>
                <w:sz w:val="22"/>
                <w:szCs w:val="22"/>
              </w:rPr>
            </w:pPr>
            <w:r w:rsidRPr="001314CA">
              <w:rPr>
                <w:rFonts w:cs="Calibri"/>
                <w:sz w:val="22"/>
                <w:szCs w:val="22"/>
              </w:rPr>
              <w:t>226 220,50</w:t>
            </w:r>
          </w:p>
        </w:tc>
        <w:tc>
          <w:tcPr>
            <w:tcW w:w="1417" w:type="dxa"/>
            <w:tcBorders>
              <w:top w:val="nil"/>
              <w:left w:val="single" w:sz="4" w:space="0" w:color="auto"/>
              <w:bottom w:val="nil"/>
              <w:right w:val="single" w:sz="4" w:space="0" w:color="auto"/>
            </w:tcBorders>
            <w:shd w:val="clear" w:color="auto" w:fill="auto"/>
            <w:noWrap/>
            <w:vAlign w:val="bottom"/>
            <w:hideMark/>
          </w:tcPr>
          <w:p w14:paraId="01E58F59"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5EB8FB9B" w14:textId="77777777" w:rsidR="00D215BD" w:rsidRPr="001314CA" w:rsidRDefault="00D215BD" w:rsidP="00D215BD">
            <w:pPr>
              <w:spacing w:before="0"/>
              <w:jc w:val="right"/>
              <w:rPr>
                <w:rFonts w:cs="Calibri"/>
                <w:sz w:val="22"/>
                <w:szCs w:val="22"/>
              </w:rPr>
            </w:pPr>
            <w:r w:rsidRPr="001314CA">
              <w:rPr>
                <w:rFonts w:cs="Calibri"/>
                <w:sz w:val="22"/>
                <w:szCs w:val="22"/>
              </w:rPr>
              <w:t>226 220,50</w:t>
            </w:r>
          </w:p>
        </w:tc>
      </w:tr>
      <w:tr w:rsidR="00D215BD" w:rsidRPr="001314CA" w14:paraId="654838E4"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0CC25728"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Applied Micro Circuits Corporation, Andover</w:t>
            </w:r>
          </w:p>
        </w:tc>
        <w:tc>
          <w:tcPr>
            <w:tcW w:w="1311" w:type="dxa"/>
            <w:tcBorders>
              <w:top w:val="nil"/>
              <w:left w:val="single" w:sz="4" w:space="0" w:color="auto"/>
              <w:bottom w:val="nil"/>
              <w:right w:val="single" w:sz="4" w:space="0" w:color="auto"/>
            </w:tcBorders>
            <w:shd w:val="clear" w:color="auto" w:fill="auto"/>
            <w:noWrap/>
            <w:vAlign w:val="bottom"/>
            <w:hideMark/>
          </w:tcPr>
          <w:p w14:paraId="169658B3" w14:textId="77777777" w:rsidR="00D215BD" w:rsidRPr="001314CA" w:rsidRDefault="00D215BD" w:rsidP="00D215BD">
            <w:pPr>
              <w:spacing w:before="0"/>
              <w:jc w:val="center"/>
              <w:rPr>
                <w:rFonts w:cs="Calibri"/>
                <w:sz w:val="22"/>
                <w:szCs w:val="22"/>
              </w:rPr>
            </w:pPr>
            <w:r w:rsidRPr="001314CA">
              <w:rPr>
                <w:rFonts w:cs="Calibri"/>
                <w:sz w:val="22"/>
                <w:szCs w:val="22"/>
              </w:rPr>
              <w:t>2017</w:t>
            </w:r>
          </w:p>
        </w:tc>
        <w:tc>
          <w:tcPr>
            <w:tcW w:w="1559" w:type="dxa"/>
            <w:tcBorders>
              <w:top w:val="nil"/>
              <w:left w:val="single" w:sz="4" w:space="0" w:color="auto"/>
              <w:bottom w:val="nil"/>
              <w:right w:val="single" w:sz="4" w:space="0" w:color="auto"/>
            </w:tcBorders>
            <w:shd w:val="clear" w:color="auto" w:fill="auto"/>
            <w:noWrap/>
            <w:vAlign w:val="bottom"/>
            <w:hideMark/>
          </w:tcPr>
          <w:p w14:paraId="20D5833A" w14:textId="77777777" w:rsidR="00D215BD" w:rsidRPr="001314CA" w:rsidRDefault="00D215BD" w:rsidP="00D215BD">
            <w:pPr>
              <w:spacing w:before="0"/>
              <w:jc w:val="right"/>
              <w:rPr>
                <w:rFonts w:cs="Calibri"/>
                <w:sz w:val="22"/>
                <w:szCs w:val="22"/>
              </w:rPr>
            </w:pPr>
            <w:r w:rsidRPr="001314CA">
              <w:rPr>
                <w:rFonts w:cs="Calibri"/>
                <w:sz w:val="22"/>
                <w:szCs w:val="22"/>
              </w:rPr>
              <w:t>39 294,55</w:t>
            </w:r>
          </w:p>
        </w:tc>
        <w:tc>
          <w:tcPr>
            <w:tcW w:w="1417" w:type="dxa"/>
            <w:tcBorders>
              <w:top w:val="nil"/>
              <w:left w:val="single" w:sz="4" w:space="0" w:color="auto"/>
              <w:bottom w:val="nil"/>
              <w:right w:val="single" w:sz="4" w:space="0" w:color="auto"/>
            </w:tcBorders>
            <w:shd w:val="clear" w:color="auto" w:fill="auto"/>
            <w:noWrap/>
            <w:vAlign w:val="bottom"/>
            <w:hideMark/>
          </w:tcPr>
          <w:p w14:paraId="3A180463"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466D2C45" w14:textId="77777777" w:rsidR="00D215BD" w:rsidRPr="001314CA" w:rsidRDefault="00D215BD" w:rsidP="00D215BD">
            <w:pPr>
              <w:spacing w:before="0"/>
              <w:jc w:val="right"/>
              <w:rPr>
                <w:rFonts w:cs="Calibri"/>
                <w:sz w:val="22"/>
                <w:szCs w:val="22"/>
              </w:rPr>
            </w:pPr>
            <w:r w:rsidRPr="001314CA">
              <w:rPr>
                <w:rFonts w:cs="Calibri"/>
                <w:sz w:val="22"/>
                <w:szCs w:val="22"/>
              </w:rPr>
              <w:t>39 294,55</w:t>
            </w:r>
          </w:p>
        </w:tc>
      </w:tr>
      <w:tr w:rsidR="00D215BD" w:rsidRPr="001314CA" w14:paraId="55DC039D"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1EBB7D43"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Compuware</w:t>
            </w:r>
            <w:proofErr w:type="spellEnd"/>
            <w:r w:rsidRPr="001314CA">
              <w:rPr>
                <w:rFonts w:cs="Calibri"/>
                <w:sz w:val="22"/>
                <w:szCs w:val="22"/>
              </w:rPr>
              <w:t xml:space="preserve"> Corporation, Detroit</w:t>
            </w:r>
          </w:p>
        </w:tc>
        <w:tc>
          <w:tcPr>
            <w:tcW w:w="1311" w:type="dxa"/>
            <w:tcBorders>
              <w:top w:val="nil"/>
              <w:left w:val="single" w:sz="4" w:space="0" w:color="auto"/>
              <w:bottom w:val="nil"/>
              <w:right w:val="single" w:sz="4" w:space="0" w:color="auto"/>
            </w:tcBorders>
            <w:shd w:val="clear" w:color="auto" w:fill="auto"/>
            <w:noWrap/>
            <w:vAlign w:val="bottom"/>
            <w:hideMark/>
          </w:tcPr>
          <w:p w14:paraId="19C1458A" w14:textId="77777777" w:rsidR="00D215BD" w:rsidRPr="001314CA" w:rsidRDefault="00D215BD" w:rsidP="00D215BD">
            <w:pPr>
              <w:spacing w:before="0"/>
              <w:jc w:val="center"/>
              <w:rPr>
                <w:rFonts w:cs="Calibri"/>
                <w:sz w:val="22"/>
                <w:szCs w:val="22"/>
              </w:rPr>
            </w:pPr>
            <w:r w:rsidRPr="001314CA">
              <w:rPr>
                <w:rFonts w:cs="Calibri"/>
                <w:sz w:val="22"/>
                <w:szCs w:val="22"/>
              </w:rPr>
              <w:t>2009-2010</w:t>
            </w:r>
          </w:p>
        </w:tc>
        <w:tc>
          <w:tcPr>
            <w:tcW w:w="1559" w:type="dxa"/>
            <w:tcBorders>
              <w:top w:val="nil"/>
              <w:left w:val="single" w:sz="4" w:space="0" w:color="auto"/>
              <w:bottom w:val="nil"/>
              <w:right w:val="single" w:sz="4" w:space="0" w:color="auto"/>
            </w:tcBorders>
            <w:shd w:val="clear" w:color="auto" w:fill="auto"/>
            <w:noWrap/>
            <w:vAlign w:val="bottom"/>
            <w:hideMark/>
          </w:tcPr>
          <w:p w14:paraId="26957C93" w14:textId="77777777" w:rsidR="00D215BD" w:rsidRPr="001314CA" w:rsidRDefault="00D215BD" w:rsidP="00D215BD">
            <w:pPr>
              <w:spacing w:before="0"/>
              <w:jc w:val="right"/>
              <w:rPr>
                <w:rFonts w:cs="Calibri"/>
                <w:sz w:val="22"/>
                <w:szCs w:val="22"/>
              </w:rPr>
            </w:pPr>
            <w:r w:rsidRPr="001314CA">
              <w:rPr>
                <w:rFonts w:cs="Calibri"/>
                <w:sz w:val="22"/>
                <w:szCs w:val="22"/>
              </w:rPr>
              <w:t>14 950,15</w:t>
            </w:r>
          </w:p>
        </w:tc>
        <w:tc>
          <w:tcPr>
            <w:tcW w:w="1417" w:type="dxa"/>
            <w:tcBorders>
              <w:top w:val="nil"/>
              <w:left w:val="single" w:sz="4" w:space="0" w:color="auto"/>
              <w:bottom w:val="nil"/>
              <w:right w:val="single" w:sz="4" w:space="0" w:color="auto"/>
            </w:tcBorders>
            <w:shd w:val="clear" w:color="auto" w:fill="auto"/>
            <w:noWrap/>
            <w:vAlign w:val="bottom"/>
            <w:hideMark/>
          </w:tcPr>
          <w:p w14:paraId="4FD8EB25"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4FC1B8D1" w14:textId="77777777" w:rsidR="00D215BD" w:rsidRPr="001314CA" w:rsidRDefault="00D215BD" w:rsidP="00D215BD">
            <w:pPr>
              <w:spacing w:before="0"/>
              <w:jc w:val="right"/>
              <w:rPr>
                <w:rFonts w:cs="Calibri"/>
                <w:sz w:val="22"/>
                <w:szCs w:val="22"/>
              </w:rPr>
            </w:pPr>
            <w:r w:rsidRPr="001314CA">
              <w:rPr>
                <w:rFonts w:cs="Calibri"/>
                <w:sz w:val="22"/>
                <w:szCs w:val="22"/>
              </w:rPr>
              <w:t>14 950,15</w:t>
            </w:r>
          </w:p>
        </w:tc>
      </w:tr>
      <w:tr w:rsidR="00D215BD" w:rsidRPr="001314CA" w14:paraId="719BE051"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74838821"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ConceroConnect</w:t>
            </w:r>
            <w:proofErr w:type="spellEnd"/>
            <w:r w:rsidRPr="001314CA">
              <w:rPr>
                <w:rFonts w:cs="Calibri"/>
                <w:sz w:val="22"/>
                <w:szCs w:val="22"/>
              </w:rPr>
              <w:t xml:space="preserve">, L3C, Park City </w:t>
            </w:r>
          </w:p>
        </w:tc>
        <w:tc>
          <w:tcPr>
            <w:tcW w:w="1311" w:type="dxa"/>
            <w:tcBorders>
              <w:top w:val="nil"/>
              <w:left w:val="single" w:sz="4" w:space="0" w:color="auto"/>
              <w:bottom w:val="nil"/>
              <w:right w:val="single" w:sz="4" w:space="0" w:color="auto"/>
            </w:tcBorders>
            <w:shd w:val="clear" w:color="auto" w:fill="auto"/>
            <w:noWrap/>
            <w:vAlign w:val="bottom"/>
            <w:hideMark/>
          </w:tcPr>
          <w:p w14:paraId="750A61FB" w14:textId="77777777" w:rsidR="00D215BD" w:rsidRPr="001314CA" w:rsidRDefault="00D215BD" w:rsidP="00D215BD">
            <w:pPr>
              <w:spacing w:before="0"/>
              <w:jc w:val="center"/>
              <w:rPr>
                <w:rFonts w:cs="Calibri"/>
                <w:sz w:val="22"/>
                <w:szCs w:val="22"/>
              </w:rPr>
            </w:pPr>
            <w:r w:rsidRPr="001314CA">
              <w:rPr>
                <w:rFonts w:cs="Calibri"/>
                <w:sz w:val="22"/>
                <w:szCs w:val="22"/>
              </w:rPr>
              <w:t>2015</w:t>
            </w:r>
          </w:p>
        </w:tc>
        <w:tc>
          <w:tcPr>
            <w:tcW w:w="1559" w:type="dxa"/>
            <w:tcBorders>
              <w:top w:val="nil"/>
              <w:left w:val="single" w:sz="4" w:space="0" w:color="auto"/>
              <w:bottom w:val="nil"/>
              <w:right w:val="single" w:sz="4" w:space="0" w:color="auto"/>
            </w:tcBorders>
            <w:shd w:val="clear" w:color="auto" w:fill="auto"/>
            <w:noWrap/>
            <w:vAlign w:val="bottom"/>
            <w:hideMark/>
          </w:tcPr>
          <w:p w14:paraId="2A5DCE19" w14:textId="77777777" w:rsidR="00D215BD" w:rsidRPr="001314CA" w:rsidRDefault="00D215BD" w:rsidP="00D215BD">
            <w:pPr>
              <w:spacing w:before="0"/>
              <w:jc w:val="right"/>
              <w:rPr>
                <w:rFonts w:cs="Calibri"/>
                <w:sz w:val="22"/>
                <w:szCs w:val="22"/>
              </w:rPr>
            </w:pPr>
            <w:r w:rsidRPr="001314CA">
              <w:rPr>
                <w:rFonts w:cs="Calibri"/>
                <w:sz w:val="22"/>
                <w:szCs w:val="22"/>
              </w:rPr>
              <w:t>11 037,90</w:t>
            </w:r>
          </w:p>
        </w:tc>
        <w:tc>
          <w:tcPr>
            <w:tcW w:w="1417" w:type="dxa"/>
            <w:tcBorders>
              <w:top w:val="nil"/>
              <w:left w:val="single" w:sz="4" w:space="0" w:color="auto"/>
              <w:bottom w:val="nil"/>
              <w:right w:val="single" w:sz="4" w:space="0" w:color="auto"/>
            </w:tcBorders>
            <w:shd w:val="clear" w:color="auto" w:fill="auto"/>
            <w:noWrap/>
            <w:vAlign w:val="bottom"/>
            <w:hideMark/>
          </w:tcPr>
          <w:p w14:paraId="6BB86EEB"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1D842569" w14:textId="77777777" w:rsidR="00D215BD" w:rsidRPr="001314CA" w:rsidRDefault="00D215BD" w:rsidP="00D215BD">
            <w:pPr>
              <w:spacing w:before="0"/>
              <w:jc w:val="right"/>
              <w:rPr>
                <w:rFonts w:cs="Calibri"/>
                <w:sz w:val="22"/>
                <w:szCs w:val="22"/>
              </w:rPr>
            </w:pPr>
            <w:r w:rsidRPr="001314CA">
              <w:rPr>
                <w:rFonts w:cs="Calibri"/>
                <w:sz w:val="22"/>
                <w:szCs w:val="22"/>
              </w:rPr>
              <w:t>11 037,90</w:t>
            </w:r>
          </w:p>
        </w:tc>
      </w:tr>
      <w:tr w:rsidR="00D215BD" w:rsidRPr="001314CA" w14:paraId="7216D5E4"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03F985F4"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Conversay</w:t>
            </w:r>
            <w:proofErr w:type="spellEnd"/>
            <w:r w:rsidRPr="001314CA">
              <w:rPr>
                <w:rFonts w:cs="Calibri"/>
                <w:sz w:val="22"/>
                <w:szCs w:val="22"/>
              </w:rPr>
              <w:t>, Redmond</w:t>
            </w:r>
          </w:p>
        </w:tc>
        <w:tc>
          <w:tcPr>
            <w:tcW w:w="1311" w:type="dxa"/>
            <w:tcBorders>
              <w:top w:val="nil"/>
              <w:left w:val="single" w:sz="4" w:space="0" w:color="auto"/>
              <w:bottom w:val="nil"/>
              <w:right w:val="single" w:sz="4" w:space="0" w:color="auto"/>
            </w:tcBorders>
            <w:shd w:val="clear" w:color="auto" w:fill="auto"/>
            <w:noWrap/>
            <w:vAlign w:val="bottom"/>
            <w:hideMark/>
          </w:tcPr>
          <w:p w14:paraId="1694A54E" w14:textId="77777777" w:rsidR="00D215BD" w:rsidRPr="001314CA" w:rsidRDefault="00D215BD" w:rsidP="00D215BD">
            <w:pPr>
              <w:spacing w:before="0"/>
              <w:jc w:val="center"/>
              <w:rPr>
                <w:rFonts w:cs="Calibri"/>
                <w:sz w:val="22"/>
                <w:szCs w:val="22"/>
              </w:rPr>
            </w:pPr>
            <w:r w:rsidRPr="001314CA">
              <w:rPr>
                <w:rFonts w:cs="Calibri"/>
                <w:sz w:val="22"/>
                <w:szCs w:val="22"/>
              </w:rPr>
              <w:t>2007-2008</w:t>
            </w:r>
          </w:p>
        </w:tc>
        <w:tc>
          <w:tcPr>
            <w:tcW w:w="1559" w:type="dxa"/>
            <w:tcBorders>
              <w:top w:val="nil"/>
              <w:left w:val="single" w:sz="4" w:space="0" w:color="auto"/>
              <w:bottom w:val="nil"/>
              <w:right w:val="single" w:sz="4" w:space="0" w:color="auto"/>
            </w:tcBorders>
            <w:shd w:val="clear" w:color="auto" w:fill="auto"/>
            <w:noWrap/>
            <w:vAlign w:val="bottom"/>
            <w:hideMark/>
          </w:tcPr>
          <w:p w14:paraId="5F9655A2" w14:textId="77777777" w:rsidR="00D215BD" w:rsidRPr="001314CA" w:rsidRDefault="00D215BD" w:rsidP="00D215BD">
            <w:pPr>
              <w:spacing w:before="0"/>
              <w:jc w:val="right"/>
              <w:rPr>
                <w:rFonts w:cs="Calibri"/>
                <w:sz w:val="22"/>
                <w:szCs w:val="22"/>
              </w:rPr>
            </w:pPr>
            <w:r w:rsidRPr="001314CA">
              <w:rPr>
                <w:rFonts w:cs="Calibri"/>
                <w:sz w:val="22"/>
                <w:szCs w:val="22"/>
              </w:rPr>
              <w:t>89 180,35</w:t>
            </w:r>
          </w:p>
        </w:tc>
        <w:tc>
          <w:tcPr>
            <w:tcW w:w="1417" w:type="dxa"/>
            <w:tcBorders>
              <w:top w:val="nil"/>
              <w:left w:val="single" w:sz="4" w:space="0" w:color="auto"/>
              <w:bottom w:val="nil"/>
              <w:right w:val="single" w:sz="4" w:space="0" w:color="auto"/>
            </w:tcBorders>
            <w:shd w:val="clear" w:color="auto" w:fill="auto"/>
            <w:noWrap/>
            <w:vAlign w:val="bottom"/>
            <w:hideMark/>
          </w:tcPr>
          <w:p w14:paraId="25601FD0"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73B140FB" w14:textId="77777777" w:rsidR="00D215BD" w:rsidRPr="001314CA" w:rsidRDefault="00D215BD" w:rsidP="00D215BD">
            <w:pPr>
              <w:spacing w:before="0"/>
              <w:jc w:val="right"/>
              <w:rPr>
                <w:rFonts w:cs="Calibri"/>
                <w:sz w:val="22"/>
                <w:szCs w:val="22"/>
              </w:rPr>
            </w:pPr>
            <w:r w:rsidRPr="001314CA">
              <w:rPr>
                <w:rFonts w:cs="Calibri"/>
                <w:sz w:val="22"/>
                <w:szCs w:val="22"/>
              </w:rPr>
              <w:t>89 180,35</w:t>
            </w:r>
          </w:p>
        </w:tc>
      </w:tr>
      <w:tr w:rsidR="00D215BD" w:rsidRPr="001314CA" w14:paraId="0A967206"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71187DA4"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r>
            <w:proofErr w:type="spellStart"/>
            <w:r w:rsidRPr="00513163">
              <w:rPr>
                <w:rFonts w:cs="Calibri"/>
                <w:sz w:val="22"/>
                <w:szCs w:val="22"/>
                <w:lang w:val="en-US"/>
              </w:rPr>
              <w:t>Covad</w:t>
            </w:r>
            <w:proofErr w:type="spellEnd"/>
            <w:r w:rsidRPr="00513163">
              <w:rPr>
                <w:rFonts w:cs="Calibri"/>
                <w:sz w:val="22"/>
                <w:szCs w:val="22"/>
                <w:lang w:val="en-US"/>
              </w:rPr>
              <w:t xml:space="preserve"> Communications Company, San José</w:t>
            </w:r>
          </w:p>
        </w:tc>
        <w:tc>
          <w:tcPr>
            <w:tcW w:w="1311" w:type="dxa"/>
            <w:tcBorders>
              <w:top w:val="nil"/>
              <w:left w:val="single" w:sz="4" w:space="0" w:color="auto"/>
              <w:bottom w:val="nil"/>
              <w:right w:val="single" w:sz="4" w:space="0" w:color="auto"/>
            </w:tcBorders>
            <w:shd w:val="clear" w:color="auto" w:fill="auto"/>
            <w:noWrap/>
            <w:vAlign w:val="bottom"/>
            <w:hideMark/>
          </w:tcPr>
          <w:p w14:paraId="5398F97C" w14:textId="77777777" w:rsidR="00D215BD" w:rsidRPr="001314CA" w:rsidRDefault="00D215BD" w:rsidP="00D215BD">
            <w:pPr>
              <w:spacing w:before="0"/>
              <w:jc w:val="center"/>
              <w:rPr>
                <w:rFonts w:cs="Calibri"/>
                <w:sz w:val="22"/>
                <w:szCs w:val="22"/>
              </w:rPr>
            </w:pPr>
            <w:r w:rsidRPr="001314CA">
              <w:rPr>
                <w:rFonts w:cs="Calibri"/>
                <w:sz w:val="22"/>
                <w:szCs w:val="22"/>
              </w:rPr>
              <w:t>2001-2002</w:t>
            </w:r>
          </w:p>
        </w:tc>
        <w:tc>
          <w:tcPr>
            <w:tcW w:w="1559" w:type="dxa"/>
            <w:tcBorders>
              <w:top w:val="nil"/>
              <w:left w:val="single" w:sz="4" w:space="0" w:color="auto"/>
              <w:bottom w:val="nil"/>
              <w:right w:val="single" w:sz="4" w:space="0" w:color="auto"/>
            </w:tcBorders>
            <w:shd w:val="clear" w:color="auto" w:fill="auto"/>
            <w:noWrap/>
            <w:vAlign w:val="bottom"/>
            <w:hideMark/>
          </w:tcPr>
          <w:p w14:paraId="2EA7DC18" w14:textId="77777777" w:rsidR="00D215BD" w:rsidRPr="001314CA" w:rsidRDefault="00D215BD" w:rsidP="00D215BD">
            <w:pPr>
              <w:spacing w:before="0"/>
              <w:jc w:val="right"/>
              <w:rPr>
                <w:rFonts w:cs="Calibri"/>
                <w:sz w:val="22"/>
                <w:szCs w:val="22"/>
              </w:rPr>
            </w:pPr>
            <w:r w:rsidRPr="001314CA">
              <w:rPr>
                <w:rFonts w:cs="Calibri"/>
                <w:sz w:val="22"/>
                <w:szCs w:val="22"/>
              </w:rPr>
              <w:t>141 672,25</w:t>
            </w:r>
          </w:p>
        </w:tc>
        <w:tc>
          <w:tcPr>
            <w:tcW w:w="1417" w:type="dxa"/>
            <w:tcBorders>
              <w:top w:val="nil"/>
              <w:left w:val="single" w:sz="4" w:space="0" w:color="auto"/>
              <w:bottom w:val="nil"/>
              <w:right w:val="single" w:sz="4" w:space="0" w:color="auto"/>
            </w:tcBorders>
            <w:shd w:val="clear" w:color="auto" w:fill="auto"/>
            <w:noWrap/>
            <w:vAlign w:val="bottom"/>
            <w:hideMark/>
          </w:tcPr>
          <w:p w14:paraId="78B35A95"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13A70C7A" w14:textId="77777777" w:rsidR="00D215BD" w:rsidRPr="001314CA" w:rsidRDefault="00D215BD" w:rsidP="00D215BD">
            <w:pPr>
              <w:spacing w:before="0"/>
              <w:jc w:val="right"/>
              <w:rPr>
                <w:rFonts w:cs="Calibri"/>
                <w:sz w:val="22"/>
                <w:szCs w:val="22"/>
              </w:rPr>
            </w:pPr>
            <w:r w:rsidRPr="001314CA">
              <w:rPr>
                <w:rFonts w:cs="Calibri"/>
                <w:sz w:val="22"/>
                <w:szCs w:val="22"/>
              </w:rPr>
              <w:t>141 672,25</w:t>
            </w:r>
          </w:p>
        </w:tc>
      </w:tr>
      <w:tr w:rsidR="00D215BD" w:rsidRPr="001314CA" w14:paraId="4F34F119"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48A11184"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Cypress Semiconductor Corp., San José</w:t>
            </w:r>
          </w:p>
        </w:tc>
        <w:tc>
          <w:tcPr>
            <w:tcW w:w="1311" w:type="dxa"/>
            <w:tcBorders>
              <w:top w:val="nil"/>
              <w:left w:val="single" w:sz="4" w:space="0" w:color="auto"/>
              <w:bottom w:val="nil"/>
              <w:right w:val="single" w:sz="4" w:space="0" w:color="auto"/>
            </w:tcBorders>
            <w:shd w:val="clear" w:color="auto" w:fill="auto"/>
            <w:noWrap/>
            <w:vAlign w:val="bottom"/>
            <w:hideMark/>
          </w:tcPr>
          <w:p w14:paraId="6629DDC7" w14:textId="77777777" w:rsidR="00D215BD" w:rsidRPr="001314CA" w:rsidRDefault="00D215BD" w:rsidP="00D215BD">
            <w:pPr>
              <w:spacing w:before="0"/>
              <w:jc w:val="center"/>
              <w:rPr>
                <w:rFonts w:cs="Calibri"/>
                <w:sz w:val="22"/>
                <w:szCs w:val="22"/>
              </w:rPr>
            </w:pPr>
            <w:r w:rsidRPr="001314CA">
              <w:rPr>
                <w:rFonts w:cs="Calibri"/>
                <w:sz w:val="22"/>
                <w:szCs w:val="22"/>
              </w:rPr>
              <w:t>2004-2005</w:t>
            </w:r>
          </w:p>
        </w:tc>
        <w:tc>
          <w:tcPr>
            <w:tcW w:w="1559" w:type="dxa"/>
            <w:tcBorders>
              <w:top w:val="nil"/>
              <w:left w:val="single" w:sz="4" w:space="0" w:color="auto"/>
              <w:bottom w:val="nil"/>
              <w:right w:val="single" w:sz="4" w:space="0" w:color="auto"/>
            </w:tcBorders>
            <w:shd w:val="clear" w:color="auto" w:fill="auto"/>
            <w:noWrap/>
            <w:vAlign w:val="bottom"/>
            <w:hideMark/>
          </w:tcPr>
          <w:p w14:paraId="6F2DF98D" w14:textId="77777777" w:rsidR="00D215BD" w:rsidRPr="001314CA" w:rsidRDefault="00D215BD" w:rsidP="00D215BD">
            <w:pPr>
              <w:spacing w:before="0"/>
              <w:jc w:val="right"/>
              <w:rPr>
                <w:rFonts w:cs="Calibri"/>
                <w:sz w:val="22"/>
                <w:szCs w:val="22"/>
              </w:rPr>
            </w:pPr>
            <w:r w:rsidRPr="001314CA">
              <w:rPr>
                <w:rFonts w:cs="Calibri"/>
                <w:sz w:val="22"/>
                <w:szCs w:val="22"/>
              </w:rPr>
              <w:t>42 458,25</w:t>
            </w:r>
          </w:p>
        </w:tc>
        <w:tc>
          <w:tcPr>
            <w:tcW w:w="1417" w:type="dxa"/>
            <w:tcBorders>
              <w:top w:val="nil"/>
              <w:left w:val="single" w:sz="4" w:space="0" w:color="auto"/>
              <w:bottom w:val="nil"/>
              <w:right w:val="single" w:sz="4" w:space="0" w:color="auto"/>
            </w:tcBorders>
            <w:shd w:val="clear" w:color="auto" w:fill="auto"/>
            <w:noWrap/>
            <w:vAlign w:val="bottom"/>
            <w:hideMark/>
          </w:tcPr>
          <w:p w14:paraId="51CB8364"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077C8632" w14:textId="77777777" w:rsidR="00D215BD" w:rsidRPr="001314CA" w:rsidRDefault="00D215BD" w:rsidP="00D215BD">
            <w:pPr>
              <w:spacing w:before="0"/>
              <w:jc w:val="right"/>
              <w:rPr>
                <w:rFonts w:cs="Calibri"/>
                <w:sz w:val="22"/>
                <w:szCs w:val="22"/>
              </w:rPr>
            </w:pPr>
            <w:r w:rsidRPr="001314CA">
              <w:rPr>
                <w:rFonts w:cs="Calibri"/>
                <w:sz w:val="22"/>
                <w:szCs w:val="22"/>
              </w:rPr>
              <w:t>42 458,25</w:t>
            </w:r>
          </w:p>
        </w:tc>
      </w:tr>
      <w:tr w:rsidR="00D215BD" w:rsidRPr="001314CA" w14:paraId="320F6D24"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3D122A1E"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E-MAC Corporation, Arlington</w:t>
            </w:r>
          </w:p>
        </w:tc>
        <w:tc>
          <w:tcPr>
            <w:tcW w:w="1311" w:type="dxa"/>
            <w:tcBorders>
              <w:top w:val="nil"/>
              <w:left w:val="single" w:sz="4" w:space="0" w:color="auto"/>
              <w:bottom w:val="nil"/>
              <w:right w:val="single" w:sz="4" w:space="0" w:color="auto"/>
            </w:tcBorders>
            <w:shd w:val="clear" w:color="auto" w:fill="auto"/>
            <w:noWrap/>
            <w:vAlign w:val="bottom"/>
            <w:hideMark/>
          </w:tcPr>
          <w:p w14:paraId="7CE69929" w14:textId="77777777" w:rsidR="00D215BD" w:rsidRPr="001314CA" w:rsidRDefault="00D215BD" w:rsidP="00D215BD">
            <w:pPr>
              <w:spacing w:before="0"/>
              <w:jc w:val="center"/>
              <w:rPr>
                <w:rFonts w:cs="Calibri"/>
                <w:sz w:val="22"/>
                <w:szCs w:val="22"/>
              </w:rPr>
            </w:pPr>
            <w:r w:rsidRPr="001314CA">
              <w:rPr>
                <w:rFonts w:cs="Calibri"/>
                <w:sz w:val="22"/>
                <w:szCs w:val="22"/>
              </w:rPr>
              <w:t>2005-2007</w:t>
            </w:r>
          </w:p>
        </w:tc>
        <w:tc>
          <w:tcPr>
            <w:tcW w:w="1559" w:type="dxa"/>
            <w:tcBorders>
              <w:top w:val="nil"/>
              <w:left w:val="single" w:sz="4" w:space="0" w:color="auto"/>
              <w:bottom w:val="nil"/>
              <w:right w:val="single" w:sz="4" w:space="0" w:color="auto"/>
            </w:tcBorders>
            <w:shd w:val="clear" w:color="auto" w:fill="auto"/>
            <w:noWrap/>
            <w:vAlign w:val="bottom"/>
            <w:hideMark/>
          </w:tcPr>
          <w:p w14:paraId="358EB90C" w14:textId="77777777" w:rsidR="00D215BD" w:rsidRPr="001314CA" w:rsidRDefault="00D215BD" w:rsidP="00D215BD">
            <w:pPr>
              <w:spacing w:before="0"/>
              <w:jc w:val="right"/>
              <w:rPr>
                <w:rFonts w:cs="Calibri"/>
                <w:sz w:val="22"/>
                <w:szCs w:val="22"/>
              </w:rPr>
            </w:pPr>
            <w:r w:rsidRPr="001314CA">
              <w:rPr>
                <w:rFonts w:cs="Calibri"/>
                <w:sz w:val="22"/>
                <w:szCs w:val="22"/>
              </w:rPr>
              <w:t>53 930,30</w:t>
            </w:r>
          </w:p>
        </w:tc>
        <w:tc>
          <w:tcPr>
            <w:tcW w:w="1417" w:type="dxa"/>
            <w:tcBorders>
              <w:top w:val="nil"/>
              <w:left w:val="single" w:sz="4" w:space="0" w:color="auto"/>
              <w:bottom w:val="nil"/>
              <w:right w:val="single" w:sz="4" w:space="0" w:color="auto"/>
            </w:tcBorders>
            <w:shd w:val="clear" w:color="auto" w:fill="auto"/>
            <w:noWrap/>
            <w:vAlign w:val="bottom"/>
            <w:hideMark/>
          </w:tcPr>
          <w:p w14:paraId="3F5DE4A4"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101934E8" w14:textId="77777777" w:rsidR="00D215BD" w:rsidRPr="001314CA" w:rsidRDefault="00D215BD" w:rsidP="00D215BD">
            <w:pPr>
              <w:spacing w:before="0"/>
              <w:jc w:val="right"/>
              <w:rPr>
                <w:rFonts w:cs="Calibri"/>
                <w:sz w:val="22"/>
                <w:szCs w:val="22"/>
              </w:rPr>
            </w:pPr>
            <w:r w:rsidRPr="001314CA">
              <w:rPr>
                <w:rFonts w:cs="Calibri"/>
                <w:sz w:val="22"/>
                <w:szCs w:val="22"/>
              </w:rPr>
              <w:t>53 930,30</w:t>
            </w:r>
          </w:p>
        </w:tc>
      </w:tr>
      <w:tr w:rsidR="00D215BD" w:rsidRPr="001314CA" w14:paraId="5878C206"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14DAD526"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eCurrency</w:t>
            </w:r>
            <w:proofErr w:type="spellEnd"/>
            <w:r w:rsidRPr="001314CA">
              <w:rPr>
                <w:rFonts w:cs="Calibri"/>
                <w:sz w:val="22"/>
                <w:szCs w:val="22"/>
              </w:rPr>
              <w:t>, Oakland</w:t>
            </w:r>
          </w:p>
        </w:tc>
        <w:tc>
          <w:tcPr>
            <w:tcW w:w="1311" w:type="dxa"/>
            <w:tcBorders>
              <w:top w:val="nil"/>
              <w:left w:val="single" w:sz="4" w:space="0" w:color="auto"/>
              <w:bottom w:val="nil"/>
              <w:right w:val="single" w:sz="4" w:space="0" w:color="auto"/>
            </w:tcBorders>
            <w:shd w:val="clear" w:color="auto" w:fill="auto"/>
            <w:noWrap/>
            <w:vAlign w:val="bottom"/>
            <w:hideMark/>
          </w:tcPr>
          <w:p w14:paraId="2A2FC8D4" w14:textId="77777777" w:rsidR="00D215BD" w:rsidRPr="001314CA" w:rsidRDefault="00D215BD" w:rsidP="00D215BD">
            <w:pPr>
              <w:spacing w:before="0"/>
              <w:jc w:val="center"/>
              <w:rPr>
                <w:rFonts w:cs="Calibri"/>
                <w:sz w:val="22"/>
                <w:szCs w:val="22"/>
              </w:rPr>
            </w:pPr>
            <w:r w:rsidRPr="001314CA">
              <w:rPr>
                <w:rFonts w:cs="Calibri"/>
                <w:sz w:val="22"/>
                <w:szCs w:val="22"/>
              </w:rPr>
              <w:t>2018-2019</w:t>
            </w:r>
          </w:p>
        </w:tc>
        <w:tc>
          <w:tcPr>
            <w:tcW w:w="1559" w:type="dxa"/>
            <w:tcBorders>
              <w:top w:val="nil"/>
              <w:left w:val="single" w:sz="4" w:space="0" w:color="auto"/>
              <w:bottom w:val="nil"/>
              <w:right w:val="single" w:sz="4" w:space="0" w:color="auto"/>
            </w:tcBorders>
            <w:shd w:val="clear" w:color="auto" w:fill="auto"/>
            <w:noWrap/>
            <w:vAlign w:val="bottom"/>
            <w:hideMark/>
          </w:tcPr>
          <w:p w14:paraId="0638456F" w14:textId="77777777" w:rsidR="00D215BD" w:rsidRPr="001314CA" w:rsidRDefault="00D215BD" w:rsidP="00D215BD">
            <w:pPr>
              <w:spacing w:before="0"/>
              <w:jc w:val="right"/>
              <w:rPr>
                <w:rFonts w:cs="Calibri"/>
                <w:sz w:val="22"/>
                <w:szCs w:val="22"/>
              </w:rPr>
            </w:pPr>
            <w:r w:rsidRPr="001314CA">
              <w:rPr>
                <w:rFonts w:cs="Calibri"/>
                <w:sz w:val="22"/>
                <w:szCs w:val="22"/>
              </w:rPr>
              <w:t>35 059,50</w:t>
            </w:r>
          </w:p>
        </w:tc>
        <w:tc>
          <w:tcPr>
            <w:tcW w:w="1417" w:type="dxa"/>
            <w:tcBorders>
              <w:top w:val="nil"/>
              <w:left w:val="single" w:sz="4" w:space="0" w:color="auto"/>
              <w:bottom w:val="nil"/>
              <w:right w:val="single" w:sz="4" w:space="0" w:color="auto"/>
            </w:tcBorders>
            <w:shd w:val="clear" w:color="auto" w:fill="auto"/>
            <w:noWrap/>
            <w:vAlign w:val="bottom"/>
            <w:hideMark/>
          </w:tcPr>
          <w:p w14:paraId="37CC73B0"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397F01E7" w14:textId="77777777" w:rsidR="00D215BD" w:rsidRPr="001314CA" w:rsidRDefault="00D215BD" w:rsidP="00D215BD">
            <w:pPr>
              <w:spacing w:before="0"/>
              <w:jc w:val="right"/>
              <w:rPr>
                <w:rFonts w:cs="Calibri"/>
                <w:sz w:val="22"/>
                <w:szCs w:val="22"/>
              </w:rPr>
            </w:pPr>
            <w:r w:rsidRPr="001314CA">
              <w:rPr>
                <w:rFonts w:cs="Calibri"/>
                <w:sz w:val="22"/>
                <w:szCs w:val="22"/>
              </w:rPr>
              <w:t>35 059,50</w:t>
            </w:r>
          </w:p>
        </w:tc>
      </w:tr>
      <w:tr w:rsidR="00D215BD" w:rsidRPr="001314CA" w14:paraId="6B03C893"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2BB8487B"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Ellipsat</w:t>
            </w:r>
            <w:proofErr w:type="spellEnd"/>
            <w:r w:rsidRPr="001314CA">
              <w:rPr>
                <w:rFonts w:cs="Calibri"/>
                <w:sz w:val="22"/>
                <w:szCs w:val="22"/>
              </w:rPr>
              <w:t xml:space="preserve"> Inc., Washington</w:t>
            </w:r>
          </w:p>
        </w:tc>
        <w:tc>
          <w:tcPr>
            <w:tcW w:w="1311" w:type="dxa"/>
            <w:tcBorders>
              <w:top w:val="nil"/>
              <w:left w:val="single" w:sz="4" w:space="0" w:color="auto"/>
              <w:bottom w:val="nil"/>
              <w:right w:val="single" w:sz="4" w:space="0" w:color="auto"/>
            </w:tcBorders>
            <w:shd w:val="clear" w:color="auto" w:fill="auto"/>
            <w:noWrap/>
            <w:vAlign w:val="bottom"/>
            <w:hideMark/>
          </w:tcPr>
          <w:p w14:paraId="57C16A87" w14:textId="77777777" w:rsidR="00D215BD" w:rsidRPr="001314CA" w:rsidRDefault="00D215BD" w:rsidP="00D215BD">
            <w:pPr>
              <w:spacing w:before="0"/>
              <w:jc w:val="center"/>
              <w:rPr>
                <w:rFonts w:cs="Calibri"/>
                <w:sz w:val="22"/>
                <w:szCs w:val="22"/>
              </w:rPr>
            </w:pPr>
            <w:r w:rsidRPr="001314CA">
              <w:rPr>
                <w:rFonts w:cs="Calibri"/>
                <w:sz w:val="22"/>
                <w:szCs w:val="22"/>
              </w:rPr>
              <w:t>2018</w:t>
            </w:r>
          </w:p>
        </w:tc>
        <w:tc>
          <w:tcPr>
            <w:tcW w:w="1559" w:type="dxa"/>
            <w:tcBorders>
              <w:top w:val="nil"/>
              <w:left w:val="single" w:sz="4" w:space="0" w:color="auto"/>
              <w:bottom w:val="nil"/>
              <w:right w:val="single" w:sz="4" w:space="0" w:color="auto"/>
            </w:tcBorders>
            <w:shd w:val="clear" w:color="auto" w:fill="auto"/>
            <w:noWrap/>
            <w:vAlign w:val="bottom"/>
            <w:hideMark/>
          </w:tcPr>
          <w:p w14:paraId="3220A0B3" w14:textId="77777777" w:rsidR="00D215BD" w:rsidRPr="001314CA" w:rsidRDefault="00D215BD" w:rsidP="00D215BD">
            <w:pPr>
              <w:spacing w:before="0"/>
              <w:jc w:val="right"/>
              <w:rPr>
                <w:rFonts w:cs="Calibri"/>
                <w:sz w:val="22"/>
                <w:szCs w:val="22"/>
              </w:rPr>
            </w:pPr>
            <w:r w:rsidRPr="001314CA">
              <w:rPr>
                <w:rFonts w:cs="Calibri"/>
                <w:sz w:val="22"/>
                <w:szCs w:val="22"/>
              </w:rPr>
              <w:t>9 627,30</w:t>
            </w:r>
          </w:p>
        </w:tc>
        <w:tc>
          <w:tcPr>
            <w:tcW w:w="1417" w:type="dxa"/>
            <w:tcBorders>
              <w:top w:val="nil"/>
              <w:left w:val="single" w:sz="4" w:space="0" w:color="auto"/>
              <w:bottom w:val="nil"/>
              <w:right w:val="single" w:sz="4" w:space="0" w:color="auto"/>
            </w:tcBorders>
            <w:shd w:val="clear" w:color="auto" w:fill="auto"/>
            <w:noWrap/>
            <w:vAlign w:val="bottom"/>
            <w:hideMark/>
          </w:tcPr>
          <w:p w14:paraId="28C1BCD5"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2B760DFF" w14:textId="77777777" w:rsidR="00D215BD" w:rsidRPr="001314CA" w:rsidRDefault="00D215BD" w:rsidP="00D215BD">
            <w:pPr>
              <w:spacing w:before="0"/>
              <w:jc w:val="right"/>
              <w:rPr>
                <w:rFonts w:cs="Calibri"/>
                <w:sz w:val="22"/>
                <w:szCs w:val="22"/>
              </w:rPr>
            </w:pPr>
            <w:r w:rsidRPr="001314CA">
              <w:rPr>
                <w:rFonts w:cs="Calibri"/>
                <w:sz w:val="22"/>
                <w:szCs w:val="22"/>
              </w:rPr>
              <w:t>9 627,30</w:t>
            </w:r>
          </w:p>
        </w:tc>
      </w:tr>
      <w:tr w:rsidR="00D215BD" w:rsidRPr="001314CA" w14:paraId="5F8F991F"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0B32A08C"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EnVerv</w:t>
            </w:r>
            <w:proofErr w:type="spellEnd"/>
            <w:r w:rsidRPr="001314CA">
              <w:rPr>
                <w:rFonts w:cs="Calibri"/>
                <w:sz w:val="22"/>
                <w:szCs w:val="22"/>
              </w:rPr>
              <w:t xml:space="preserve"> Inc., </w:t>
            </w:r>
            <w:proofErr w:type="spellStart"/>
            <w:r w:rsidRPr="001314CA">
              <w:rPr>
                <w:rFonts w:cs="Calibri"/>
                <w:sz w:val="22"/>
                <w:szCs w:val="22"/>
              </w:rPr>
              <w:t>Milpitas</w:t>
            </w:r>
            <w:proofErr w:type="spellEnd"/>
          </w:p>
        </w:tc>
        <w:tc>
          <w:tcPr>
            <w:tcW w:w="1311" w:type="dxa"/>
            <w:tcBorders>
              <w:top w:val="nil"/>
              <w:left w:val="single" w:sz="4" w:space="0" w:color="auto"/>
              <w:bottom w:val="nil"/>
              <w:right w:val="single" w:sz="4" w:space="0" w:color="auto"/>
            </w:tcBorders>
            <w:shd w:val="clear" w:color="auto" w:fill="auto"/>
            <w:noWrap/>
            <w:vAlign w:val="bottom"/>
            <w:hideMark/>
          </w:tcPr>
          <w:p w14:paraId="3045D920" w14:textId="77777777" w:rsidR="00D215BD" w:rsidRPr="001314CA" w:rsidRDefault="00D215BD" w:rsidP="00D215BD">
            <w:pPr>
              <w:spacing w:before="0"/>
              <w:jc w:val="center"/>
              <w:rPr>
                <w:rFonts w:cs="Calibri"/>
                <w:sz w:val="22"/>
                <w:szCs w:val="22"/>
              </w:rPr>
            </w:pPr>
            <w:r w:rsidRPr="001314CA">
              <w:rPr>
                <w:rFonts w:cs="Calibri"/>
                <w:sz w:val="22"/>
                <w:szCs w:val="22"/>
              </w:rPr>
              <w:t>2015</w:t>
            </w:r>
          </w:p>
        </w:tc>
        <w:tc>
          <w:tcPr>
            <w:tcW w:w="1559" w:type="dxa"/>
            <w:tcBorders>
              <w:top w:val="nil"/>
              <w:left w:val="single" w:sz="4" w:space="0" w:color="auto"/>
              <w:bottom w:val="nil"/>
              <w:right w:val="single" w:sz="4" w:space="0" w:color="auto"/>
            </w:tcBorders>
            <w:shd w:val="clear" w:color="auto" w:fill="auto"/>
            <w:noWrap/>
            <w:vAlign w:val="bottom"/>
            <w:hideMark/>
          </w:tcPr>
          <w:p w14:paraId="02A7784C" w14:textId="77777777" w:rsidR="00D215BD" w:rsidRPr="001314CA" w:rsidRDefault="00D215BD" w:rsidP="00D215BD">
            <w:pPr>
              <w:spacing w:before="0"/>
              <w:jc w:val="right"/>
              <w:rPr>
                <w:rFonts w:cs="Calibri"/>
                <w:sz w:val="22"/>
                <w:szCs w:val="22"/>
              </w:rPr>
            </w:pPr>
            <w:r w:rsidRPr="001314CA">
              <w:rPr>
                <w:rFonts w:cs="Calibri"/>
                <w:sz w:val="22"/>
                <w:szCs w:val="22"/>
              </w:rPr>
              <w:t>14 717,15</w:t>
            </w:r>
          </w:p>
        </w:tc>
        <w:tc>
          <w:tcPr>
            <w:tcW w:w="1417" w:type="dxa"/>
            <w:tcBorders>
              <w:top w:val="nil"/>
              <w:left w:val="single" w:sz="4" w:space="0" w:color="auto"/>
              <w:bottom w:val="nil"/>
              <w:right w:val="single" w:sz="4" w:space="0" w:color="auto"/>
            </w:tcBorders>
            <w:shd w:val="clear" w:color="auto" w:fill="auto"/>
            <w:noWrap/>
            <w:vAlign w:val="bottom"/>
            <w:hideMark/>
          </w:tcPr>
          <w:p w14:paraId="6DBE9CA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448C907B" w14:textId="77777777" w:rsidR="00D215BD" w:rsidRPr="001314CA" w:rsidRDefault="00D215BD" w:rsidP="00D215BD">
            <w:pPr>
              <w:spacing w:before="0"/>
              <w:jc w:val="right"/>
              <w:rPr>
                <w:rFonts w:cs="Calibri"/>
                <w:sz w:val="22"/>
                <w:szCs w:val="22"/>
              </w:rPr>
            </w:pPr>
            <w:r w:rsidRPr="001314CA">
              <w:rPr>
                <w:rFonts w:cs="Calibri"/>
                <w:sz w:val="22"/>
                <w:szCs w:val="22"/>
              </w:rPr>
              <w:t>14 717,15</w:t>
            </w:r>
          </w:p>
        </w:tc>
      </w:tr>
      <w:tr w:rsidR="00D215BD" w:rsidRPr="001314CA" w14:paraId="0B0CAE71"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22F21D52"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Graphnet</w:t>
            </w:r>
            <w:proofErr w:type="spellEnd"/>
            <w:r w:rsidRPr="001314CA">
              <w:rPr>
                <w:rFonts w:cs="Calibri"/>
                <w:sz w:val="22"/>
                <w:szCs w:val="22"/>
              </w:rPr>
              <w:t xml:space="preserve"> Inc., New York</w:t>
            </w:r>
          </w:p>
        </w:tc>
        <w:tc>
          <w:tcPr>
            <w:tcW w:w="1311" w:type="dxa"/>
            <w:tcBorders>
              <w:top w:val="nil"/>
              <w:left w:val="single" w:sz="4" w:space="0" w:color="auto"/>
              <w:bottom w:val="nil"/>
              <w:right w:val="single" w:sz="4" w:space="0" w:color="auto"/>
            </w:tcBorders>
            <w:shd w:val="clear" w:color="auto" w:fill="auto"/>
            <w:noWrap/>
            <w:vAlign w:val="bottom"/>
            <w:hideMark/>
          </w:tcPr>
          <w:p w14:paraId="3D5B8B36" w14:textId="77777777" w:rsidR="00D215BD" w:rsidRPr="001314CA" w:rsidRDefault="00D215BD" w:rsidP="00D215BD">
            <w:pPr>
              <w:spacing w:before="0"/>
              <w:jc w:val="center"/>
              <w:rPr>
                <w:rFonts w:cs="Calibri"/>
                <w:sz w:val="22"/>
                <w:szCs w:val="22"/>
              </w:rPr>
            </w:pPr>
            <w:r w:rsidRPr="001314CA">
              <w:rPr>
                <w:rFonts w:cs="Calibri"/>
                <w:sz w:val="22"/>
                <w:szCs w:val="22"/>
              </w:rPr>
              <w:t>1987-2002</w:t>
            </w:r>
          </w:p>
        </w:tc>
        <w:tc>
          <w:tcPr>
            <w:tcW w:w="1559" w:type="dxa"/>
            <w:tcBorders>
              <w:top w:val="nil"/>
              <w:left w:val="single" w:sz="4" w:space="0" w:color="auto"/>
              <w:bottom w:val="nil"/>
              <w:right w:val="single" w:sz="4" w:space="0" w:color="auto"/>
            </w:tcBorders>
            <w:shd w:val="clear" w:color="auto" w:fill="auto"/>
            <w:noWrap/>
            <w:vAlign w:val="bottom"/>
            <w:hideMark/>
          </w:tcPr>
          <w:p w14:paraId="7BF867D6" w14:textId="77777777" w:rsidR="00D215BD" w:rsidRPr="001314CA" w:rsidRDefault="00D215BD" w:rsidP="00D215BD">
            <w:pPr>
              <w:spacing w:before="0"/>
              <w:jc w:val="right"/>
              <w:rPr>
                <w:rFonts w:cs="Calibri"/>
                <w:sz w:val="22"/>
                <w:szCs w:val="22"/>
              </w:rPr>
            </w:pPr>
            <w:r w:rsidRPr="001314CA">
              <w:rPr>
                <w:rFonts w:cs="Calibri"/>
                <w:sz w:val="22"/>
                <w:szCs w:val="22"/>
              </w:rPr>
              <w:t>1 640 896,05</w:t>
            </w:r>
          </w:p>
        </w:tc>
        <w:tc>
          <w:tcPr>
            <w:tcW w:w="1417" w:type="dxa"/>
            <w:tcBorders>
              <w:top w:val="nil"/>
              <w:left w:val="single" w:sz="4" w:space="0" w:color="auto"/>
              <w:bottom w:val="nil"/>
              <w:right w:val="single" w:sz="4" w:space="0" w:color="auto"/>
            </w:tcBorders>
            <w:shd w:val="clear" w:color="auto" w:fill="auto"/>
            <w:noWrap/>
            <w:vAlign w:val="bottom"/>
            <w:hideMark/>
          </w:tcPr>
          <w:p w14:paraId="03B4790D"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3D94A863" w14:textId="77777777" w:rsidR="00D215BD" w:rsidRPr="001314CA" w:rsidRDefault="00D215BD" w:rsidP="00D215BD">
            <w:pPr>
              <w:spacing w:before="0"/>
              <w:jc w:val="right"/>
              <w:rPr>
                <w:rFonts w:cs="Calibri"/>
                <w:sz w:val="22"/>
                <w:szCs w:val="22"/>
              </w:rPr>
            </w:pPr>
            <w:r w:rsidRPr="001314CA">
              <w:rPr>
                <w:rFonts w:cs="Calibri"/>
                <w:sz w:val="22"/>
                <w:szCs w:val="22"/>
              </w:rPr>
              <w:t>1 640 896,05</w:t>
            </w:r>
          </w:p>
        </w:tc>
      </w:tr>
      <w:tr w:rsidR="00D215BD" w:rsidRPr="001314CA" w14:paraId="0A61D155"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008CDBAD"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r>
            <w:proofErr w:type="spellStart"/>
            <w:r w:rsidRPr="00513163">
              <w:rPr>
                <w:rFonts w:cs="Calibri"/>
                <w:sz w:val="22"/>
                <w:szCs w:val="22"/>
                <w:lang w:val="en-US"/>
              </w:rPr>
              <w:t>Ikanos</w:t>
            </w:r>
            <w:proofErr w:type="spellEnd"/>
            <w:r w:rsidRPr="00513163">
              <w:rPr>
                <w:rFonts w:cs="Calibri"/>
                <w:sz w:val="22"/>
                <w:szCs w:val="22"/>
                <w:lang w:val="en-US"/>
              </w:rPr>
              <w:t xml:space="preserve"> Communications, Red Bank NJ</w:t>
            </w:r>
          </w:p>
        </w:tc>
        <w:tc>
          <w:tcPr>
            <w:tcW w:w="1311" w:type="dxa"/>
            <w:tcBorders>
              <w:top w:val="nil"/>
              <w:left w:val="single" w:sz="4" w:space="0" w:color="auto"/>
              <w:bottom w:val="nil"/>
              <w:right w:val="single" w:sz="4" w:space="0" w:color="auto"/>
            </w:tcBorders>
            <w:shd w:val="clear" w:color="auto" w:fill="auto"/>
            <w:noWrap/>
            <w:vAlign w:val="bottom"/>
            <w:hideMark/>
          </w:tcPr>
          <w:p w14:paraId="36D43F49" w14:textId="77777777" w:rsidR="00D215BD" w:rsidRPr="001314CA" w:rsidRDefault="00D215BD" w:rsidP="00D215BD">
            <w:pPr>
              <w:spacing w:before="0"/>
              <w:jc w:val="center"/>
              <w:rPr>
                <w:rFonts w:cs="Calibri"/>
                <w:sz w:val="22"/>
                <w:szCs w:val="22"/>
              </w:rPr>
            </w:pPr>
            <w:r w:rsidRPr="001314CA">
              <w:rPr>
                <w:rFonts w:cs="Calibri"/>
                <w:sz w:val="22"/>
                <w:szCs w:val="22"/>
              </w:rPr>
              <w:t>2016</w:t>
            </w:r>
          </w:p>
        </w:tc>
        <w:tc>
          <w:tcPr>
            <w:tcW w:w="1559" w:type="dxa"/>
            <w:tcBorders>
              <w:top w:val="nil"/>
              <w:left w:val="single" w:sz="4" w:space="0" w:color="auto"/>
              <w:bottom w:val="nil"/>
              <w:right w:val="single" w:sz="4" w:space="0" w:color="auto"/>
            </w:tcBorders>
            <w:shd w:val="clear" w:color="auto" w:fill="auto"/>
            <w:noWrap/>
            <w:vAlign w:val="bottom"/>
            <w:hideMark/>
          </w:tcPr>
          <w:p w14:paraId="078C9948" w14:textId="77777777" w:rsidR="00D215BD" w:rsidRPr="001314CA" w:rsidRDefault="00D215BD" w:rsidP="00D215BD">
            <w:pPr>
              <w:spacing w:before="0"/>
              <w:jc w:val="right"/>
              <w:rPr>
                <w:rFonts w:cs="Calibri"/>
                <w:sz w:val="22"/>
                <w:szCs w:val="22"/>
              </w:rPr>
            </w:pPr>
            <w:r w:rsidRPr="001314CA">
              <w:rPr>
                <w:rFonts w:cs="Calibri"/>
                <w:sz w:val="22"/>
                <w:szCs w:val="22"/>
              </w:rPr>
              <w:t>41 652,20</w:t>
            </w:r>
          </w:p>
        </w:tc>
        <w:tc>
          <w:tcPr>
            <w:tcW w:w="1417" w:type="dxa"/>
            <w:tcBorders>
              <w:top w:val="nil"/>
              <w:left w:val="single" w:sz="4" w:space="0" w:color="auto"/>
              <w:bottom w:val="nil"/>
              <w:right w:val="single" w:sz="4" w:space="0" w:color="auto"/>
            </w:tcBorders>
            <w:shd w:val="clear" w:color="auto" w:fill="auto"/>
            <w:noWrap/>
            <w:vAlign w:val="bottom"/>
            <w:hideMark/>
          </w:tcPr>
          <w:p w14:paraId="37E12238"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52EA879F" w14:textId="77777777" w:rsidR="00D215BD" w:rsidRPr="001314CA" w:rsidRDefault="00D215BD" w:rsidP="00D215BD">
            <w:pPr>
              <w:spacing w:before="0"/>
              <w:jc w:val="right"/>
              <w:rPr>
                <w:rFonts w:cs="Calibri"/>
                <w:sz w:val="22"/>
                <w:szCs w:val="22"/>
              </w:rPr>
            </w:pPr>
            <w:r w:rsidRPr="001314CA">
              <w:rPr>
                <w:rFonts w:cs="Calibri"/>
                <w:sz w:val="22"/>
                <w:szCs w:val="22"/>
              </w:rPr>
              <w:t>41 652,20</w:t>
            </w:r>
          </w:p>
        </w:tc>
      </w:tr>
      <w:tr w:rsidR="00D215BD" w:rsidRPr="001314CA" w14:paraId="5E1CEDB8"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65A852F0"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ITXC Corporation, Princeton</w:t>
            </w:r>
          </w:p>
        </w:tc>
        <w:tc>
          <w:tcPr>
            <w:tcW w:w="1311" w:type="dxa"/>
            <w:tcBorders>
              <w:top w:val="nil"/>
              <w:left w:val="single" w:sz="4" w:space="0" w:color="auto"/>
              <w:bottom w:val="nil"/>
              <w:right w:val="single" w:sz="4" w:space="0" w:color="auto"/>
            </w:tcBorders>
            <w:shd w:val="clear" w:color="auto" w:fill="auto"/>
            <w:noWrap/>
            <w:vAlign w:val="bottom"/>
            <w:hideMark/>
          </w:tcPr>
          <w:p w14:paraId="0582AFB6" w14:textId="77777777" w:rsidR="00D215BD" w:rsidRPr="001314CA" w:rsidRDefault="00D215BD" w:rsidP="00D215BD">
            <w:pPr>
              <w:spacing w:before="0"/>
              <w:jc w:val="center"/>
              <w:rPr>
                <w:rFonts w:cs="Calibri"/>
                <w:sz w:val="22"/>
                <w:szCs w:val="22"/>
              </w:rPr>
            </w:pPr>
            <w:r w:rsidRPr="001314CA">
              <w:rPr>
                <w:rFonts w:cs="Calibri"/>
                <w:sz w:val="22"/>
                <w:szCs w:val="22"/>
              </w:rPr>
              <w:t>2004-2007</w:t>
            </w:r>
          </w:p>
        </w:tc>
        <w:tc>
          <w:tcPr>
            <w:tcW w:w="1559" w:type="dxa"/>
            <w:tcBorders>
              <w:top w:val="nil"/>
              <w:left w:val="single" w:sz="4" w:space="0" w:color="auto"/>
              <w:bottom w:val="nil"/>
              <w:right w:val="single" w:sz="4" w:space="0" w:color="auto"/>
            </w:tcBorders>
            <w:shd w:val="clear" w:color="auto" w:fill="auto"/>
            <w:noWrap/>
            <w:vAlign w:val="bottom"/>
            <w:hideMark/>
          </w:tcPr>
          <w:p w14:paraId="019B8986" w14:textId="77777777" w:rsidR="00D215BD" w:rsidRPr="001314CA" w:rsidRDefault="00D215BD" w:rsidP="00D215BD">
            <w:pPr>
              <w:spacing w:before="0"/>
              <w:jc w:val="right"/>
              <w:rPr>
                <w:rFonts w:cs="Calibri"/>
                <w:sz w:val="22"/>
                <w:szCs w:val="22"/>
              </w:rPr>
            </w:pPr>
            <w:r w:rsidRPr="001314CA">
              <w:rPr>
                <w:rFonts w:cs="Calibri"/>
                <w:sz w:val="22"/>
                <w:szCs w:val="22"/>
              </w:rPr>
              <w:t>76 566,40</w:t>
            </w:r>
          </w:p>
        </w:tc>
        <w:tc>
          <w:tcPr>
            <w:tcW w:w="1417" w:type="dxa"/>
            <w:tcBorders>
              <w:top w:val="nil"/>
              <w:left w:val="single" w:sz="4" w:space="0" w:color="auto"/>
              <w:bottom w:val="nil"/>
              <w:right w:val="single" w:sz="4" w:space="0" w:color="auto"/>
            </w:tcBorders>
            <w:shd w:val="clear" w:color="auto" w:fill="auto"/>
            <w:noWrap/>
            <w:vAlign w:val="bottom"/>
            <w:hideMark/>
          </w:tcPr>
          <w:p w14:paraId="46F79A31"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23E332B4" w14:textId="77777777" w:rsidR="00D215BD" w:rsidRPr="001314CA" w:rsidRDefault="00D215BD" w:rsidP="00D215BD">
            <w:pPr>
              <w:spacing w:before="0"/>
              <w:jc w:val="right"/>
              <w:rPr>
                <w:rFonts w:cs="Calibri"/>
                <w:sz w:val="22"/>
                <w:szCs w:val="22"/>
              </w:rPr>
            </w:pPr>
            <w:r w:rsidRPr="001314CA">
              <w:rPr>
                <w:rFonts w:cs="Calibri"/>
                <w:sz w:val="22"/>
                <w:szCs w:val="22"/>
              </w:rPr>
              <w:t>76 566,40</w:t>
            </w:r>
          </w:p>
        </w:tc>
      </w:tr>
      <w:tr w:rsidR="00D215BD" w:rsidRPr="001314CA" w14:paraId="78475308"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16D88CE1"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Lightwaves</w:t>
            </w:r>
            <w:proofErr w:type="spellEnd"/>
            <w:r w:rsidRPr="001314CA">
              <w:rPr>
                <w:rFonts w:cs="Calibri"/>
                <w:sz w:val="22"/>
                <w:szCs w:val="22"/>
              </w:rPr>
              <w:t xml:space="preserve"> Inc., Austin</w:t>
            </w:r>
          </w:p>
        </w:tc>
        <w:tc>
          <w:tcPr>
            <w:tcW w:w="1311" w:type="dxa"/>
            <w:tcBorders>
              <w:top w:val="nil"/>
              <w:left w:val="single" w:sz="4" w:space="0" w:color="auto"/>
              <w:bottom w:val="nil"/>
              <w:right w:val="single" w:sz="4" w:space="0" w:color="auto"/>
            </w:tcBorders>
            <w:shd w:val="clear" w:color="auto" w:fill="auto"/>
            <w:noWrap/>
            <w:vAlign w:val="bottom"/>
            <w:hideMark/>
          </w:tcPr>
          <w:p w14:paraId="0CA14FD6" w14:textId="77777777" w:rsidR="00D215BD" w:rsidRPr="001314CA" w:rsidRDefault="00D215BD" w:rsidP="00D215BD">
            <w:pPr>
              <w:spacing w:before="0"/>
              <w:jc w:val="center"/>
              <w:rPr>
                <w:rFonts w:cs="Calibri"/>
                <w:sz w:val="22"/>
                <w:szCs w:val="22"/>
              </w:rPr>
            </w:pPr>
            <w:r w:rsidRPr="001314CA">
              <w:rPr>
                <w:rFonts w:cs="Calibri"/>
                <w:sz w:val="22"/>
                <w:szCs w:val="22"/>
              </w:rPr>
              <w:t>2009</w:t>
            </w:r>
          </w:p>
        </w:tc>
        <w:tc>
          <w:tcPr>
            <w:tcW w:w="1559" w:type="dxa"/>
            <w:tcBorders>
              <w:top w:val="nil"/>
              <w:left w:val="single" w:sz="4" w:space="0" w:color="auto"/>
              <w:bottom w:val="nil"/>
              <w:right w:val="single" w:sz="4" w:space="0" w:color="auto"/>
            </w:tcBorders>
            <w:shd w:val="clear" w:color="auto" w:fill="auto"/>
            <w:noWrap/>
            <w:vAlign w:val="bottom"/>
            <w:hideMark/>
          </w:tcPr>
          <w:p w14:paraId="23806BC8" w14:textId="77777777" w:rsidR="00D215BD" w:rsidRPr="001314CA" w:rsidRDefault="00D215BD" w:rsidP="00D215BD">
            <w:pPr>
              <w:spacing w:before="0"/>
              <w:jc w:val="right"/>
              <w:rPr>
                <w:rFonts w:cs="Calibri"/>
                <w:sz w:val="22"/>
                <w:szCs w:val="22"/>
              </w:rPr>
            </w:pPr>
            <w:r w:rsidRPr="001314CA">
              <w:rPr>
                <w:rFonts w:cs="Calibri"/>
                <w:sz w:val="22"/>
                <w:szCs w:val="22"/>
              </w:rPr>
              <w:t>20 876,55</w:t>
            </w:r>
          </w:p>
        </w:tc>
        <w:tc>
          <w:tcPr>
            <w:tcW w:w="1417" w:type="dxa"/>
            <w:tcBorders>
              <w:top w:val="nil"/>
              <w:left w:val="single" w:sz="4" w:space="0" w:color="auto"/>
              <w:bottom w:val="nil"/>
              <w:right w:val="single" w:sz="4" w:space="0" w:color="auto"/>
            </w:tcBorders>
            <w:shd w:val="clear" w:color="auto" w:fill="auto"/>
            <w:noWrap/>
            <w:vAlign w:val="bottom"/>
            <w:hideMark/>
          </w:tcPr>
          <w:p w14:paraId="10B3A37D"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56939EFE" w14:textId="77777777" w:rsidR="00D215BD" w:rsidRPr="001314CA" w:rsidRDefault="00D215BD" w:rsidP="00D215BD">
            <w:pPr>
              <w:spacing w:before="0"/>
              <w:jc w:val="right"/>
              <w:rPr>
                <w:rFonts w:cs="Calibri"/>
                <w:sz w:val="22"/>
                <w:szCs w:val="22"/>
              </w:rPr>
            </w:pPr>
            <w:r w:rsidRPr="001314CA">
              <w:rPr>
                <w:rFonts w:cs="Calibri"/>
                <w:sz w:val="22"/>
                <w:szCs w:val="22"/>
              </w:rPr>
              <w:t>20 876,55</w:t>
            </w:r>
          </w:p>
        </w:tc>
      </w:tr>
      <w:tr w:rsidR="00D215BD" w:rsidRPr="001314CA" w14:paraId="5DBC8878"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63495529"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r>
            <w:proofErr w:type="spellStart"/>
            <w:r w:rsidRPr="00513163">
              <w:rPr>
                <w:rFonts w:cs="Calibri"/>
                <w:sz w:val="22"/>
                <w:szCs w:val="22"/>
                <w:lang w:val="en-US"/>
              </w:rPr>
              <w:t>Nextwave</w:t>
            </w:r>
            <w:proofErr w:type="spellEnd"/>
            <w:r w:rsidRPr="00513163">
              <w:rPr>
                <w:rFonts w:cs="Calibri"/>
                <w:sz w:val="22"/>
                <w:szCs w:val="22"/>
                <w:lang w:val="en-US"/>
              </w:rPr>
              <w:t xml:space="preserve"> Wireless Inc., San Diego</w:t>
            </w:r>
          </w:p>
        </w:tc>
        <w:tc>
          <w:tcPr>
            <w:tcW w:w="1311" w:type="dxa"/>
            <w:tcBorders>
              <w:top w:val="nil"/>
              <w:left w:val="single" w:sz="4" w:space="0" w:color="auto"/>
              <w:bottom w:val="nil"/>
              <w:right w:val="single" w:sz="4" w:space="0" w:color="auto"/>
            </w:tcBorders>
            <w:shd w:val="clear" w:color="auto" w:fill="auto"/>
            <w:noWrap/>
            <w:vAlign w:val="bottom"/>
            <w:hideMark/>
          </w:tcPr>
          <w:p w14:paraId="0F54FE75" w14:textId="77777777" w:rsidR="00D215BD" w:rsidRPr="001314CA" w:rsidRDefault="00D215BD" w:rsidP="00D215BD">
            <w:pPr>
              <w:spacing w:before="0"/>
              <w:jc w:val="center"/>
              <w:rPr>
                <w:rFonts w:cs="Calibri"/>
                <w:sz w:val="22"/>
                <w:szCs w:val="22"/>
              </w:rPr>
            </w:pPr>
            <w:r w:rsidRPr="001314CA">
              <w:rPr>
                <w:rFonts w:cs="Calibri"/>
                <w:sz w:val="22"/>
                <w:szCs w:val="22"/>
              </w:rPr>
              <w:t>2009</w:t>
            </w:r>
          </w:p>
        </w:tc>
        <w:tc>
          <w:tcPr>
            <w:tcW w:w="1559" w:type="dxa"/>
            <w:tcBorders>
              <w:top w:val="nil"/>
              <w:left w:val="single" w:sz="4" w:space="0" w:color="auto"/>
              <w:bottom w:val="nil"/>
              <w:right w:val="single" w:sz="4" w:space="0" w:color="auto"/>
            </w:tcBorders>
            <w:shd w:val="clear" w:color="auto" w:fill="auto"/>
            <w:noWrap/>
            <w:vAlign w:val="bottom"/>
            <w:hideMark/>
          </w:tcPr>
          <w:p w14:paraId="4AB28BF2" w14:textId="77777777" w:rsidR="00D215BD" w:rsidRPr="001314CA" w:rsidRDefault="00D215BD" w:rsidP="00D215BD">
            <w:pPr>
              <w:spacing w:before="0"/>
              <w:jc w:val="right"/>
              <w:rPr>
                <w:rFonts w:cs="Calibri"/>
                <w:sz w:val="22"/>
                <w:szCs w:val="22"/>
              </w:rPr>
            </w:pPr>
            <w:r w:rsidRPr="001314CA">
              <w:rPr>
                <w:rFonts w:cs="Calibri"/>
                <w:sz w:val="22"/>
                <w:szCs w:val="22"/>
              </w:rPr>
              <w:t>35 213,45</w:t>
            </w:r>
          </w:p>
        </w:tc>
        <w:tc>
          <w:tcPr>
            <w:tcW w:w="1417" w:type="dxa"/>
            <w:tcBorders>
              <w:top w:val="nil"/>
              <w:left w:val="single" w:sz="4" w:space="0" w:color="auto"/>
              <w:bottom w:val="nil"/>
              <w:right w:val="single" w:sz="4" w:space="0" w:color="auto"/>
            </w:tcBorders>
            <w:shd w:val="clear" w:color="auto" w:fill="auto"/>
            <w:noWrap/>
            <w:vAlign w:val="bottom"/>
            <w:hideMark/>
          </w:tcPr>
          <w:p w14:paraId="3EAF9AA8"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71CCED67" w14:textId="77777777" w:rsidR="00D215BD" w:rsidRPr="001314CA" w:rsidRDefault="00D215BD" w:rsidP="00D215BD">
            <w:pPr>
              <w:spacing w:before="0"/>
              <w:jc w:val="right"/>
              <w:rPr>
                <w:rFonts w:cs="Calibri"/>
                <w:sz w:val="22"/>
                <w:szCs w:val="22"/>
              </w:rPr>
            </w:pPr>
            <w:r w:rsidRPr="001314CA">
              <w:rPr>
                <w:rFonts w:cs="Calibri"/>
                <w:sz w:val="22"/>
                <w:szCs w:val="22"/>
              </w:rPr>
              <w:t>35 213,45</w:t>
            </w:r>
          </w:p>
        </w:tc>
      </w:tr>
      <w:tr w:rsidR="00D215BD" w:rsidRPr="001314CA" w14:paraId="031B121E"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24CC4DC5"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NICE </w:t>
            </w:r>
            <w:proofErr w:type="spellStart"/>
            <w:r w:rsidRPr="001314CA">
              <w:rPr>
                <w:rFonts w:cs="Calibri"/>
                <w:sz w:val="22"/>
                <w:szCs w:val="22"/>
              </w:rPr>
              <w:t>InContact</w:t>
            </w:r>
            <w:proofErr w:type="spellEnd"/>
            <w:r w:rsidRPr="001314CA">
              <w:rPr>
                <w:rFonts w:cs="Calibri"/>
                <w:sz w:val="22"/>
                <w:szCs w:val="22"/>
              </w:rPr>
              <w:t>, Sandy-Utah</w:t>
            </w:r>
          </w:p>
        </w:tc>
        <w:tc>
          <w:tcPr>
            <w:tcW w:w="1311" w:type="dxa"/>
            <w:tcBorders>
              <w:top w:val="nil"/>
              <w:left w:val="single" w:sz="4" w:space="0" w:color="auto"/>
              <w:bottom w:val="nil"/>
              <w:right w:val="single" w:sz="4" w:space="0" w:color="auto"/>
            </w:tcBorders>
            <w:shd w:val="clear" w:color="auto" w:fill="auto"/>
            <w:noWrap/>
            <w:vAlign w:val="bottom"/>
            <w:hideMark/>
          </w:tcPr>
          <w:p w14:paraId="4CD040CD"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559" w:type="dxa"/>
            <w:tcBorders>
              <w:top w:val="nil"/>
              <w:left w:val="single" w:sz="4" w:space="0" w:color="auto"/>
              <w:bottom w:val="nil"/>
              <w:right w:val="single" w:sz="4" w:space="0" w:color="auto"/>
            </w:tcBorders>
            <w:shd w:val="clear" w:color="auto" w:fill="auto"/>
            <w:noWrap/>
            <w:vAlign w:val="bottom"/>
            <w:hideMark/>
          </w:tcPr>
          <w:p w14:paraId="6C52E830" w14:textId="77777777" w:rsidR="00D215BD" w:rsidRPr="001314CA" w:rsidRDefault="00D215BD" w:rsidP="00D215BD">
            <w:pPr>
              <w:spacing w:before="0"/>
              <w:jc w:val="right"/>
              <w:rPr>
                <w:rFonts w:cs="Calibri"/>
                <w:sz w:val="22"/>
                <w:szCs w:val="22"/>
              </w:rPr>
            </w:pPr>
            <w:r w:rsidRPr="001314CA">
              <w:rPr>
                <w:rFonts w:cs="Calibri"/>
                <w:sz w:val="22"/>
                <w:szCs w:val="22"/>
              </w:rPr>
              <w:t>11 794,40</w:t>
            </w:r>
          </w:p>
        </w:tc>
        <w:tc>
          <w:tcPr>
            <w:tcW w:w="1417" w:type="dxa"/>
            <w:tcBorders>
              <w:top w:val="nil"/>
              <w:left w:val="single" w:sz="4" w:space="0" w:color="auto"/>
              <w:bottom w:val="nil"/>
              <w:right w:val="single" w:sz="4" w:space="0" w:color="auto"/>
            </w:tcBorders>
            <w:shd w:val="clear" w:color="auto" w:fill="auto"/>
            <w:noWrap/>
            <w:vAlign w:val="bottom"/>
            <w:hideMark/>
          </w:tcPr>
          <w:p w14:paraId="43A272F9"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4A2185E9" w14:textId="77777777" w:rsidR="00D215BD" w:rsidRPr="001314CA" w:rsidRDefault="00D215BD" w:rsidP="00D215BD">
            <w:pPr>
              <w:spacing w:before="0"/>
              <w:jc w:val="right"/>
              <w:rPr>
                <w:rFonts w:cs="Calibri"/>
                <w:sz w:val="22"/>
                <w:szCs w:val="22"/>
              </w:rPr>
            </w:pPr>
            <w:r w:rsidRPr="001314CA">
              <w:rPr>
                <w:rFonts w:cs="Calibri"/>
                <w:sz w:val="22"/>
                <w:szCs w:val="22"/>
              </w:rPr>
              <w:t>11 794,40</w:t>
            </w:r>
          </w:p>
        </w:tc>
      </w:tr>
      <w:tr w:rsidR="00D215BD" w:rsidRPr="001314CA" w14:paraId="463A2899"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4092AD8A"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Nortel Networks USA, Richardson</w:t>
            </w:r>
          </w:p>
        </w:tc>
        <w:tc>
          <w:tcPr>
            <w:tcW w:w="1311" w:type="dxa"/>
            <w:tcBorders>
              <w:top w:val="nil"/>
              <w:left w:val="single" w:sz="4" w:space="0" w:color="auto"/>
              <w:bottom w:val="nil"/>
              <w:right w:val="single" w:sz="4" w:space="0" w:color="auto"/>
            </w:tcBorders>
            <w:shd w:val="clear" w:color="auto" w:fill="auto"/>
            <w:noWrap/>
            <w:vAlign w:val="bottom"/>
            <w:hideMark/>
          </w:tcPr>
          <w:p w14:paraId="56185A28" w14:textId="77777777" w:rsidR="00D215BD" w:rsidRPr="001314CA" w:rsidRDefault="00D215BD" w:rsidP="00D215BD">
            <w:pPr>
              <w:spacing w:before="0"/>
              <w:jc w:val="center"/>
              <w:rPr>
                <w:rFonts w:cs="Calibri"/>
                <w:sz w:val="22"/>
                <w:szCs w:val="22"/>
              </w:rPr>
            </w:pPr>
            <w:r w:rsidRPr="001314CA">
              <w:rPr>
                <w:rFonts w:cs="Calibri"/>
                <w:sz w:val="22"/>
                <w:szCs w:val="22"/>
              </w:rPr>
              <w:t>2009</w:t>
            </w:r>
          </w:p>
        </w:tc>
        <w:tc>
          <w:tcPr>
            <w:tcW w:w="1559" w:type="dxa"/>
            <w:tcBorders>
              <w:top w:val="nil"/>
              <w:left w:val="single" w:sz="4" w:space="0" w:color="auto"/>
              <w:bottom w:val="nil"/>
              <w:right w:val="single" w:sz="4" w:space="0" w:color="auto"/>
            </w:tcBorders>
            <w:shd w:val="clear" w:color="auto" w:fill="auto"/>
            <w:noWrap/>
            <w:vAlign w:val="bottom"/>
            <w:hideMark/>
          </w:tcPr>
          <w:p w14:paraId="7F4784E6" w14:textId="77777777" w:rsidR="00D215BD" w:rsidRPr="001314CA" w:rsidRDefault="00D215BD" w:rsidP="00D215BD">
            <w:pPr>
              <w:spacing w:before="0"/>
              <w:jc w:val="right"/>
              <w:rPr>
                <w:rFonts w:cs="Calibri"/>
                <w:sz w:val="22"/>
                <w:szCs w:val="22"/>
              </w:rPr>
            </w:pPr>
            <w:r w:rsidRPr="001314CA">
              <w:rPr>
                <w:rFonts w:cs="Calibri"/>
                <w:sz w:val="22"/>
                <w:szCs w:val="22"/>
              </w:rPr>
              <w:t>29 812,50</w:t>
            </w:r>
          </w:p>
        </w:tc>
        <w:tc>
          <w:tcPr>
            <w:tcW w:w="1417" w:type="dxa"/>
            <w:tcBorders>
              <w:top w:val="nil"/>
              <w:left w:val="single" w:sz="4" w:space="0" w:color="auto"/>
              <w:bottom w:val="nil"/>
              <w:right w:val="single" w:sz="4" w:space="0" w:color="auto"/>
            </w:tcBorders>
            <w:shd w:val="clear" w:color="auto" w:fill="auto"/>
            <w:noWrap/>
            <w:vAlign w:val="bottom"/>
            <w:hideMark/>
          </w:tcPr>
          <w:p w14:paraId="75C2599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3BF52285" w14:textId="77777777" w:rsidR="00D215BD" w:rsidRPr="001314CA" w:rsidRDefault="00D215BD" w:rsidP="00D215BD">
            <w:pPr>
              <w:spacing w:before="0"/>
              <w:jc w:val="right"/>
              <w:rPr>
                <w:rFonts w:cs="Calibri"/>
                <w:sz w:val="22"/>
                <w:szCs w:val="22"/>
              </w:rPr>
            </w:pPr>
            <w:r w:rsidRPr="001314CA">
              <w:rPr>
                <w:rFonts w:cs="Calibri"/>
                <w:sz w:val="22"/>
                <w:szCs w:val="22"/>
              </w:rPr>
              <w:t>29 812,50</w:t>
            </w:r>
          </w:p>
        </w:tc>
      </w:tr>
      <w:tr w:rsidR="00D215BD" w:rsidRPr="001314CA" w14:paraId="3B016B70"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40345F15"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nVent</w:t>
            </w:r>
            <w:proofErr w:type="spellEnd"/>
            <w:r w:rsidRPr="001314CA">
              <w:rPr>
                <w:rFonts w:cs="Calibri"/>
                <w:sz w:val="22"/>
                <w:szCs w:val="22"/>
              </w:rPr>
              <w:t xml:space="preserve"> Electric, Solon OH</w:t>
            </w:r>
          </w:p>
        </w:tc>
        <w:tc>
          <w:tcPr>
            <w:tcW w:w="1311" w:type="dxa"/>
            <w:tcBorders>
              <w:top w:val="nil"/>
              <w:left w:val="single" w:sz="4" w:space="0" w:color="auto"/>
              <w:bottom w:val="nil"/>
              <w:right w:val="single" w:sz="4" w:space="0" w:color="auto"/>
            </w:tcBorders>
            <w:shd w:val="clear" w:color="auto" w:fill="auto"/>
            <w:noWrap/>
            <w:vAlign w:val="bottom"/>
            <w:hideMark/>
          </w:tcPr>
          <w:p w14:paraId="343078E1" w14:textId="77777777" w:rsidR="00D215BD" w:rsidRPr="001314CA" w:rsidRDefault="00D215BD" w:rsidP="00D215BD">
            <w:pPr>
              <w:spacing w:before="0"/>
              <w:jc w:val="center"/>
              <w:rPr>
                <w:rFonts w:cs="Calibri"/>
                <w:sz w:val="22"/>
                <w:szCs w:val="22"/>
              </w:rPr>
            </w:pPr>
            <w:r w:rsidRPr="001314CA">
              <w:rPr>
                <w:rFonts w:cs="Calibri"/>
                <w:sz w:val="22"/>
                <w:szCs w:val="22"/>
              </w:rPr>
              <w:t>2018</w:t>
            </w:r>
          </w:p>
        </w:tc>
        <w:tc>
          <w:tcPr>
            <w:tcW w:w="1559" w:type="dxa"/>
            <w:tcBorders>
              <w:top w:val="nil"/>
              <w:left w:val="single" w:sz="4" w:space="0" w:color="auto"/>
              <w:bottom w:val="nil"/>
              <w:right w:val="single" w:sz="4" w:space="0" w:color="auto"/>
            </w:tcBorders>
            <w:shd w:val="clear" w:color="auto" w:fill="auto"/>
            <w:noWrap/>
            <w:vAlign w:val="bottom"/>
            <w:hideMark/>
          </w:tcPr>
          <w:p w14:paraId="429A17D2" w14:textId="77777777" w:rsidR="00D215BD" w:rsidRPr="001314CA" w:rsidRDefault="00D215BD" w:rsidP="00D215BD">
            <w:pPr>
              <w:spacing w:before="0"/>
              <w:jc w:val="right"/>
              <w:rPr>
                <w:rFonts w:cs="Calibri"/>
                <w:sz w:val="22"/>
                <w:szCs w:val="22"/>
              </w:rPr>
            </w:pPr>
            <w:r w:rsidRPr="001314CA">
              <w:rPr>
                <w:rFonts w:cs="Calibri"/>
                <w:sz w:val="22"/>
                <w:szCs w:val="22"/>
              </w:rPr>
              <w:t>12 356,80</w:t>
            </w:r>
          </w:p>
        </w:tc>
        <w:tc>
          <w:tcPr>
            <w:tcW w:w="1417" w:type="dxa"/>
            <w:tcBorders>
              <w:top w:val="nil"/>
              <w:left w:val="single" w:sz="4" w:space="0" w:color="auto"/>
              <w:bottom w:val="nil"/>
              <w:right w:val="single" w:sz="4" w:space="0" w:color="auto"/>
            </w:tcBorders>
            <w:shd w:val="clear" w:color="auto" w:fill="auto"/>
            <w:noWrap/>
            <w:vAlign w:val="bottom"/>
            <w:hideMark/>
          </w:tcPr>
          <w:p w14:paraId="2C90A317"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43CD6DFD" w14:textId="77777777" w:rsidR="00D215BD" w:rsidRPr="001314CA" w:rsidRDefault="00D215BD" w:rsidP="00D215BD">
            <w:pPr>
              <w:spacing w:before="0"/>
              <w:jc w:val="right"/>
              <w:rPr>
                <w:rFonts w:cs="Calibri"/>
                <w:sz w:val="22"/>
                <w:szCs w:val="22"/>
              </w:rPr>
            </w:pPr>
            <w:r w:rsidRPr="001314CA">
              <w:rPr>
                <w:rFonts w:cs="Calibri"/>
                <w:sz w:val="22"/>
                <w:szCs w:val="22"/>
              </w:rPr>
              <w:t>12 356,80</w:t>
            </w:r>
          </w:p>
        </w:tc>
      </w:tr>
      <w:tr w:rsidR="00D215BD" w:rsidRPr="001314CA" w14:paraId="75F43544" w14:textId="77777777" w:rsidTr="00D215BD">
        <w:trPr>
          <w:trHeight w:val="300"/>
          <w:jc w:val="center"/>
        </w:trPr>
        <w:tc>
          <w:tcPr>
            <w:tcW w:w="4780" w:type="dxa"/>
            <w:tcBorders>
              <w:top w:val="nil"/>
              <w:left w:val="single" w:sz="4" w:space="0" w:color="auto"/>
              <w:bottom w:val="nil"/>
              <w:right w:val="single" w:sz="4" w:space="0" w:color="auto"/>
            </w:tcBorders>
            <w:shd w:val="clear" w:color="auto" w:fill="auto"/>
            <w:vAlign w:val="bottom"/>
            <w:hideMark/>
          </w:tcPr>
          <w:p w14:paraId="40836A13"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Ossia</w:t>
            </w:r>
            <w:proofErr w:type="spellEnd"/>
            <w:r w:rsidRPr="001314CA">
              <w:rPr>
                <w:rFonts w:cs="Calibri"/>
                <w:sz w:val="22"/>
                <w:szCs w:val="22"/>
              </w:rPr>
              <w:t xml:space="preserve"> Inc., Bellevue WA</w:t>
            </w:r>
          </w:p>
        </w:tc>
        <w:tc>
          <w:tcPr>
            <w:tcW w:w="1311" w:type="dxa"/>
            <w:tcBorders>
              <w:top w:val="nil"/>
              <w:left w:val="single" w:sz="4" w:space="0" w:color="auto"/>
              <w:bottom w:val="nil"/>
              <w:right w:val="single" w:sz="4" w:space="0" w:color="auto"/>
            </w:tcBorders>
            <w:shd w:val="clear" w:color="auto" w:fill="auto"/>
            <w:noWrap/>
            <w:vAlign w:val="bottom"/>
            <w:hideMark/>
          </w:tcPr>
          <w:p w14:paraId="0C893233" w14:textId="77777777" w:rsidR="00D215BD" w:rsidRPr="001314CA" w:rsidRDefault="00D215BD" w:rsidP="00D215BD">
            <w:pPr>
              <w:spacing w:before="0"/>
              <w:jc w:val="center"/>
              <w:rPr>
                <w:rFonts w:cs="Calibri"/>
                <w:sz w:val="22"/>
                <w:szCs w:val="22"/>
              </w:rPr>
            </w:pPr>
            <w:r w:rsidRPr="001314CA">
              <w:rPr>
                <w:rFonts w:cs="Calibri"/>
                <w:sz w:val="22"/>
                <w:szCs w:val="22"/>
              </w:rPr>
              <w:t>2017-2018</w:t>
            </w:r>
          </w:p>
        </w:tc>
        <w:tc>
          <w:tcPr>
            <w:tcW w:w="1559" w:type="dxa"/>
            <w:tcBorders>
              <w:top w:val="nil"/>
              <w:left w:val="single" w:sz="4" w:space="0" w:color="auto"/>
              <w:bottom w:val="nil"/>
              <w:right w:val="single" w:sz="4" w:space="0" w:color="auto"/>
            </w:tcBorders>
            <w:shd w:val="clear" w:color="auto" w:fill="auto"/>
            <w:noWrap/>
            <w:vAlign w:val="bottom"/>
            <w:hideMark/>
          </w:tcPr>
          <w:p w14:paraId="06577319" w14:textId="77777777" w:rsidR="00D215BD" w:rsidRPr="001314CA" w:rsidRDefault="00D215BD" w:rsidP="00D215BD">
            <w:pPr>
              <w:spacing w:before="0"/>
              <w:jc w:val="right"/>
              <w:rPr>
                <w:rFonts w:cs="Calibri"/>
                <w:sz w:val="22"/>
                <w:szCs w:val="22"/>
              </w:rPr>
            </w:pPr>
            <w:r w:rsidRPr="001314CA">
              <w:rPr>
                <w:rFonts w:cs="Calibri"/>
                <w:sz w:val="22"/>
                <w:szCs w:val="22"/>
              </w:rPr>
              <w:t>37 372,90</w:t>
            </w:r>
          </w:p>
        </w:tc>
        <w:tc>
          <w:tcPr>
            <w:tcW w:w="1417" w:type="dxa"/>
            <w:tcBorders>
              <w:top w:val="nil"/>
              <w:left w:val="single" w:sz="4" w:space="0" w:color="auto"/>
              <w:bottom w:val="nil"/>
              <w:right w:val="single" w:sz="4" w:space="0" w:color="auto"/>
            </w:tcBorders>
            <w:shd w:val="clear" w:color="auto" w:fill="auto"/>
            <w:noWrap/>
            <w:vAlign w:val="bottom"/>
            <w:hideMark/>
          </w:tcPr>
          <w:p w14:paraId="63E72BC5"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36870C6B" w14:textId="77777777" w:rsidR="00D215BD" w:rsidRPr="001314CA" w:rsidRDefault="00D215BD" w:rsidP="00D215BD">
            <w:pPr>
              <w:spacing w:before="0"/>
              <w:jc w:val="right"/>
              <w:rPr>
                <w:rFonts w:cs="Calibri"/>
                <w:sz w:val="22"/>
                <w:szCs w:val="22"/>
              </w:rPr>
            </w:pPr>
            <w:r w:rsidRPr="001314CA">
              <w:rPr>
                <w:rFonts w:cs="Calibri"/>
                <w:sz w:val="22"/>
                <w:szCs w:val="22"/>
              </w:rPr>
              <w:t>37 372,90</w:t>
            </w:r>
          </w:p>
        </w:tc>
      </w:tr>
      <w:tr w:rsidR="00D215BD" w:rsidRPr="001314CA" w14:paraId="2BF8748F" w14:textId="77777777" w:rsidTr="00D215BD">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4AC6E16"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Range Networks, Inc., Santa Clara</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5608098C" w14:textId="77777777" w:rsidR="00D215BD" w:rsidRPr="001314CA" w:rsidRDefault="00D215BD" w:rsidP="00D215BD">
            <w:pPr>
              <w:spacing w:before="0"/>
              <w:jc w:val="center"/>
              <w:rPr>
                <w:rFonts w:cs="Calibri"/>
                <w:sz w:val="22"/>
                <w:szCs w:val="22"/>
              </w:rPr>
            </w:pPr>
            <w:r w:rsidRPr="001314CA">
              <w:rPr>
                <w:rFonts w:cs="Calibri"/>
                <w:sz w:val="22"/>
                <w:szCs w:val="22"/>
              </w:rPr>
              <w:t>2013-2014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D632B9C" w14:textId="77777777" w:rsidR="00D215BD" w:rsidRPr="001314CA" w:rsidRDefault="00D215BD" w:rsidP="00D215BD">
            <w:pPr>
              <w:spacing w:before="0"/>
              <w:jc w:val="right"/>
              <w:rPr>
                <w:rFonts w:cs="Calibri"/>
                <w:sz w:val="22"/>
                <w:szCs w:val="22"/>
              </w:rPr>
            </w:pPr>
            <w:r w:rsidRPr="001314CA">
              <w:rPr>
                <w:rFonts w:cs="Calibri"/>
                <w:sz w:val="22"/>
                <w:szCs w:val="22"/>
              </w:rPr>
              <w:t>15 646,60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08CBACB"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1E6BD4A" w14:textId="77777777" w:rsidR="00D215BD" w:rsidRPr="001314CA" w:rsidRDefault="00D215BD" w:rsidP="00D215BD">
            <w:pPr>
              <w:spacing w:before="0"/>
              <w:jc w:val="right"/>
              <w:rPr>
                <w:rFonts w:cs="Calibri"/>
                <w:sz w:val="22"/>
                <w:szCs w:val="22"/>
              </w:rPr>
            </w:pPr>
            <w:r w:rsidRPr="001314CA">
              <w:rPr>
                <w:rFonts w:cs="Calibri"/>
                <w:sz w:val="22"/>
                <w:szCs w:val="22"/>
              </w:rPr>
              <w:t>15 646,60</w:t>
            </w:r>
          </w:p>
        </w:tc>
      </w:tr>
    </w:tbl>
    <w:p w14:paraId="759C6006" w14:textId="77777777" w:rsidR="00D215BD" w:rsidRPr="001314CA" w:rsidRDefault="00D215BD" w:rsidP="00D215BD">
      <w:r w:rsidRPr="001314CA">
        <w:br w:type="page"/>
      </w:r>
    </w:p>
    <w:tbl>
      <w:tblPr>
        <w:tblW w:w="10201" w:type="dxa"/>
        <w:jc w:val="center"/>
        <w:tblLook w:val="04A0" w:firstRow="1" w:lastRow="0" w:firstColumn="1" w:lastColumn="0" w:noHBand="0" w:noVBand="1"/>
      </w:tblPr>
      <w:tblGrid>
        <w:gridCol w:w="4729"/>
        <w:gridCol w:w="1311"/>
        <w:gridCol w:w="1468"/>
        <w:gridCol w:w="1418"/>
        <w:gridCol w:w="1275"/>
      </w:tblGrid>
      <w:tr w:rsidR="00D215BD" w:rsidRPr="001314CA" w14:paraId="4286AE17" w14:textId="77777777" w:rsidTr="00D215BD">
        <w:trPr>
          <w:trHeight w:val="300"/>
          <w:jc w:val="center"/>
        </w:trPr>
        <w:tc>
          <w:tcPr>
            <w:tcW w:w="4729" w:type="dxa"/>
            <w:tcBorders>
              <w:top w:val="single" w:sz="4" w:space="0" w:color="auto"/>
              <w:left w:val="single" w:sz="4" w:space="0" w:color="auto"/>
              <w:bottom w:val="single" w:sz="4" w:space="0" w:color="auto"/>
              <w:right w:val="single" w:sz="4" w:space="0" w:color="auto"/>
            </w:tcBorders>
            <w:shd w:val="clear" w:color="auto" w:fill="auto"/>
            <w:vAlign w:val="bottom"/>
          </w:tcPr>
          <w:p w14:paraId="0B1CAA5D" w14:textId="77777777" w:rsidR="00D215BD" w:rsidRPr="001314CA" w:rsidRDefault="00D215BD" w:rsidP="00D215BD">
            <w:pPr>
              <w:spacing w:after="120"/>
              <w:rPr>
                <w:rFonts w:cs="Calibri"/>
                <w:sz w:val="22"/>
                <w:szCs w:val="22"/>
              </w:rPr>
            </w:pPr>
            <w:r w:rsidRPr="001314CA">
              <w:rPr>
                <w:rFonts w:asciiTheme="minorHAnsi" w:hAnsiTheme="minorHAnsi"/>
                <w:b/>
                <w:bCs/>
                <w:sz w:val="22"/>
                <w:szCs w:val="22"/>
              </w:rPr>
              <w:lastRenderedPageBreak/>
              <w:t>B</w:t>
            </w:r>
            <w:r w:rsidRPr="001314CA">
              <w:rPr>
                <w:rFonts w:asciiTheme="minorHAnsi" w:hAnsiTheme="minorHAnsi"/>
                <w:b/>
                <w:bCs/>
                <w:sz w:val="22"/>
                <w:szCs w:val="22"/>
              </w:rPr>
              <w:tab/>
              <w:t>Membres de Secteur et autres entités</w:t>
            </w:r>
          </w:p>
        </w:tc>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65C05FB7" w14:textId="77777777" w:rsidR="00D215BD" w:rsidRPr="001314CA" w:rsidRDefault="00D215BD" w:rsidP="00D215BD">
            <w:pPr>
              <w:jc w:val="center"/>
              <w:rPr>
                <w:rFonts w:cs="Calibri"/>
                <w:sz w:val="22"/>
                <w:szCs w:val="22"/>
              </w:rPr>
            </w:pPr>
            <w:r w:rsidRPr="001314CA">
              <w:rPr>
                <w:rFonts w:asciiTheme="minorHAnsi" w:hAnsiTheme="minorHAnsi"/>
                <w:b/>
                <w:bCs/>
                <w:sz w:val="22"/>
                <w:szCs w:val="22"/>
                <w:lang w:eastAsia="zh-CN"/>
              </w:rPr>
              <w:t>Année</w:t>
            </w:r>
          </w:p>
        </w:tc>
        <w:tc>
          <w:tcPr>
            <w:tcW w:w="1468" w:type="dxa"/>
            <w:tcBorders>
              <w:top w:val="single" w:sz="4" w:space="0" w:color="auto"/>
              <w:left w:val="single" w:sz="4" w:space="0" w:color="auto"/>
              <w:bottom w:val="single" w:sz="4" w:space="0" w:color="auto"/>
              <w:right w:val="single" w:sz="4" w:space="0" w:color="auto"/>
            </w:tcBorders>
            <w:shd w:val="clear" w:color="auto" w:fill="auto"/>
            <w:noWrap/>
          </w:tcPr>
          <w:p w14:paraId="2024D696" w14:textId="77777777" w:rsidR="00D215BD" w:rsidRPr="001314CA" w:rsidRDefault="00D215BD" w:rsidP="00D215BD">
            <w:pPr>
              <w:jc w:val="center"/>
              <w:rPr>
                <w:rFonts w:cs="Calibri"/>
                <w:sz w:val="22"/>
                <w:szCs w:val="22"/>
              </w:rPr>
            </w:pPr>
            <w:r w:rsidRPr="001314CA">
              <w:rPr>
                <w:rFonts w:asciiTheme="minorHAnsi" w:hAnsiTheme="minorHAnsi"/>
                <w:b/>
                <w:bCs/>
                <w:sz w:val="22"/>
                <w:szCs w:val="22"/>
                <w:lang w:eastAsia="zh-CN"/>
              </w:rPr>
              <w:t>Contributions</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048E992" w14:textId="77777777" w:rsidR="00D215BD" w:rsidRPr="001314CA" w:rsidRDefault="00D215BD" w:rsidP="00D215BD">
            <w:pPr>
              <w:jc w:val="center"/>
              <w:rPr>
                <w:rFonts w:cs="Calibri"/>
                <w:sz w:val="22"/>
                <w:szCs w:val="22"/>
              </w:rPr>
            </w:pPr>
            <w:r w:rsidRPr="001314CA">
              <w:rPr>
                <w:rFonts w:asciiTheme="minorHAnsi" w:hAnsiTheme="minorHAnsi"/>
                <w:b/>
                <w:bCs/>
                <w:sz w:val="22"/>
                <w:szCs w:val="22"/>
                <w:lang w:eastAsia="zh-CN"/>
              </w:rPr>
              <w:t>Publications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8355EE7" w14:textId="77777777" w:rsidR="00D215BD" w:rsidRPr="001314CA" w:rsidRDefault="00D215BD" w:rsidP="00D215BD">
            <w:pPr>
              <w:jc w:val="center"/>
              <w:rPr>
                <w:rFonts w:cs="Calibri"/>
                <w:sz w:val="22"/>
                <w:szCs w:val="22"/>
              </w:rPr>
            </w:pPr>
            <w:r w:rsidRPr="001314CA">
              <w:rPr>
                <w:rFonts w:asciiTheme="minorHAnsi" w:hAnsiTheme="minorHAnsi"/>
                <w:b/>
                <w:bCs/>
                <w:sz w:val="22"/>
                <w:szCs w:val="22"/>
                <w:lang w:eastAsia="zh-CN"/>
              </w:rPr>
              <w:t>Total</w:t>
            </w:r>
          </w:p>
        </w:tc>
      </w:tr>
      <w:tr w:rsidR="00D215BD" w:rsidRPr="001314CA" w14:paraId="689BB1DC" w14:textId="77777777" w:rsidTr="00D215BD">
        <w:trPr>
          <w:trHeight w:val="300"/>
          <w:jc w:val="center"/>
        </w:trPr>
        <w:tc>
          <w:tcPr>
            <w:tcW w:w="4729" w:type="dxa"/>
            <w:tcBorders>
              <w:top w:val="single" w:sz="4" w:space="0" w:color="auto"/>
              <w:left w:val="single" w:sz="4" w:space="0" w:color="auto"/>
              <w:bottom w:val="nil"/>
              <w:right w:val="single" w:sz="4" w:space="0" w:color="auto"/>
            </w:tcBorders>
            <w:shd w:val="clear" w:color="auto" w:fill="auto"/>
            <w:vAlign w:val="bottom"/>
          </w:tcPr>
          <w:p w14:paraId="43D190F5" w14:textId="77777777" w:rsidR="00D215BD" w:rsidRPr="001314CA" w:rsidRDefault="00D215BD" w:rsidP="00D215BD">
            <w:pPr>
              <w:spacing w:before="0"/>
              <w:rPr>
                <w:rFonts w:cs="Calibri"/>
                <w:sz w:val="22"/>
                <w:szCs w:val="22"/>
              </w:rPr>
            </w:pPr>
            <w:r w:rsidRPr="001314CA">
              <w:rPr>
                <w:b/>
                <w:sz w:val="22"/>
                <w:szCs w:val="22"/>
              </w:rPr>
              <w:t>États-Unis d'Amérique</w:t>
            </w:r>
          </w:p>
        </w:tc>
        <w:tc>
          <w:tcPr>
            <w:tcW w:w="1311" w:type="dxa"/>
            <w:tcBorders>
              <w:top w:val="single" w:sz="4" w:space="0" w:color="auto"/>
              <w:left w:val="single" w:sz="4" w:space="0" w:color="auto"/>
              <w:bottom w:val="nil"/>
              <w:right w:val="single" w:sz="4" w:space="0" w:color="auto"/>
            </w:tcBorders>
            <w:shd w:val="clear" w:color="auto" w:fill="auto"/>
            <w:noWrap/>
            <w:vAlign w:val="bottom"/>
          </w:tcPr>
          <w:p w14:paraId="59B2D05C" w14:textId="77777777" w:rsidR="00D215BD" w:rsidRPr="001314CA" w:rsidRDefault="00D215BD" w:rsidP="00D215BD">
            <w:pPr>
              <w:spacing w:before="0"/>
              <w:jc w:val="center"/>
              <w:rPr>
                <w:rFonts w:cs="Calibri"/>
                <w:sz w:val="22"/>
                <w:szCs w:val="22"/>
              </w:rPr>
            </w:pPr>
          </w:p>
        </w:tc>
        <w:tc>
          <w:tcPr>
            <w:tcW w:w="1468" w:type="dxa"/>
            <w:tcBorders>
              <w:top w:val="single" w:sz="4" w:space="0" w:color="auto"/>
              <w:left w:val="single" w:sz="4" w:space="0" w:color="auto"/>
              <w:bottom w:val="nil"/>
              <w:right w:val="single" w:sz="4" w:space="0" w:color="auto"/>
            </w:tcBorders>
            <w:shd w:val="clear" w:color="auto" w:fill="auto"/>
            <w:noWrap/>
            <w:vAlign w:val="bottom"/>
          </w:tcPr>
          <w:p w14:paraId="3BF02C98" w14:textId="77777777" w:rsidR="00D215BD" w:rsidRPr="001314CA" w:rsidRDefault="00D215BD" w:rsidP="00D215BD">
            <w:pPr>
              <w:spacing w:before="0"/>
              <w:jc w:val="right"/>
              <w:rPr>
                <w:rFonts w:cs="Calibri"/>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tcPr>
          <w:p w14:paraId="07EB8E87" w14:textId="77777777" w:rsidR="00D215BD" w:rsidRPr="001314CA" w:rsidRDefault="00D215BD" w:rsidP="00D215BD">
            <w:pPr>
              <w:spacing w:before="0"/>
              <w:jc w:val="right"/>
              <w:rPr>
                <w:rFonts w:cs="Calibri"/>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tcPr>
          <w:p w14:paraId="72C77335" w14:textId="77777777" w:rsidR="00D215BD" w:rsidRPr="001314CA" w:rsidRDefault="00D215BD" w:rsidP="00D215BD">
            <w:pPr>
              <w:spacing w:before="0"/>
              <w:jc w:val="right"/>
              <w:rPr>
                <w:rFonts w:cs="Calibri"/>
                <w:sz w:val="22"/>
                <w:szCs w:val="22"/>
              </w:rPr>
            </w:pPr>
          </w:p>
        </w:tc>
      </w:tr>
      <w:tr w:rsidR="00D215BD" w:rsidRPr="001314CA" w14:paraId="613ABAE0" w14:textId="77777777" w:rsidTr="00D215BD">
        <w:trPr>
          <w:trHeight w:val="300"/>
          <w:jc w:val="center"/>
        </w:trPr>
        <w:tc>
          <w:tcPr>
            <w:tcW w:w="4729" w:type="dxa"/>
            <w:tcBorders>
              <w:left w:val="single" w:sz="4" w:space="0" w:color="auto"/>
              <w:bottom w:val="nil"/>
              <w:right w:val="single" w:sz="4" w:space="0" w:color="auto"/>
            </w:tcBorders>
            <w:shd w:val="clear" w:color="auto" w:fill="auto"/>
            <w:vAlign w:val="bottom"/>
            <w:hideMark/>
          </w:tcPr>
          <w:p w14:paraId="38033DA2"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Razoom</w:t>
            </w:r>
            <w:proofErr w:type="spellEnd"/>
            <w:r w:rsidRPr="001314CA">
              <w:rPr>
                <w:rFonts w:cs="Calibri"/>
                <w:sz w:val="22"/>
                <w:szCs w:val="22"/>
              </w:rPr>
              <w:t xml:space="preserve"> </w:t>
            </w:r>
            <w:proofErr w:type="spellStart"/>
            <w:r w:rsidRPr="001314CA">
              <w:rPr>
                <w:rFonts w:cs="Calibri"/>
                <w:sz w:val="22"/>
                <w:szCs w:val="22"/>
              </w:rPr>
              <w:t>Inc</w:t>
            </w:r>
            <w:proofErr w:type="spellEnd"/>
            <w:r w:rsidRPr="001314CA">
              <w:rPr>
                <w:rFonts w:cs="Calibri"/>
                <w:sz w:val="22"/>
                <w:szCs w:val="22"/>
              </w:rPr>
              <w:t>, Palo Alto</w:t>
            </w:r>
          </w:p>
        </w:tc>
        <w:tc>
          <w:tcPr>
            <w:tcW w:w="1311" w:type="dxa"/>
            <w:tcBorders>
              <w:left w:val="single" w:sz="4" w:space="0" w:color="auto"/>
              <w:bottom w:val="nil"/>
              <w:right w:val="single" w:sz="4" w:space="0" w:color="auto"/>
            </w:tcBorders>
            <w:shd w:val="clear" w:color="auto" w:fill="auto"/>
            <w:noWrap/>
            <w:vAlign w:val="bottom"/>
            <w:hideMark/>
          </w:tcPr>
          <w:p w14:paraId="6F603B3A" w14:textId="77777777" w:rsidR="00D215BD" w:rsidRPr="001314CA" w:rsidRDefault="00D215BD" w:rsidP="00D215BD">
            <w:pPr>
              <w:spacing w:before="0"/>
              <w:jc w:val="center"/>
              <w:rPr>
                <w:rFonts w:cs="Calibri"/>
                <w:sz w:val="22"/>
                <w:szCs w:val="22"/>
              </w:rPr>
            </w:pPr>
            <w:r w:rsidRPr="001314CA">
              <w:rPr>
                <w:rFonts w:cs="Calibri"/>
                <w:sz w:val="22"/>
                <w:szCs w:val="22"/>
              </w:rPr>
              <w:t>2010</w:t>
            </w:r>
          </w:p>
        </w:tc>
        <w:tc>
          <w:tcPr>
            <w:tcW w:w="1468" w:type="dxa"/>
            <w:tcBorders>
              <w:left w:val="single" w:sz="4" w:space="0" w:color="auto"/>
              <w:bottom w:val="nil"/>
              <w:right w:val="single" w:sz="4" w:space="0" w:color="auto"/>
            </w:tcBorders>
            <w:shd w:val="clear" w:color="auto" w:fill="auto"/>
            <w:noWrap/>
            <w:vAlign w:val="bottom"/>
            <w:hideMark/>
          </w:tcPr>
          <w:p w14:paraId="59CD15EE" w14:textId="77777777" w:rsidR="00D215BD" w:rsidRPr="001314CA" w:rsidRDefault="00D215BD" w:rsidP="00D215BD">
            <w:pPr>
              <w:spacing w:before="0"/>
              <w:jc w:val="right"/>
              <w:rPr>
                <w:rFonts w:cs="Calibri"/>
                <w:sz w:val="22"/>
                <w:szCs w:val="22"/>
              </w:rPr>
            </w:pPr>
            <w:r w:rsidRPr="001314CA">
              <w:rPr>
                <w:rFonts w:cs="Calibri"/>
                <w:sz w:val="22"/>
                <w:szCs w:val="22"/>
              </w:rPr>
              <w:t>19 694,85</w:t>
            </w:r>
          </w:p>
        </w:tc>
        <w:tc>
          <w:tcPr>
            <w:tcW w:w="1418" w:type="dxa"/>
            <w:tcBorders>
              <w:left w:val="single" w:sz="4" w:space="0" w:color="auto"/>
              <w:bottom w:val="nil"/>
              <w:right w:val="single" w:sz="4" w:space="0" w:color="auto"/>
            </w:tcBorders>
            <w:shd w:val="clear" w:color="auto" w:fill="auto"/>
            <w:noWrap/>
            <w:vAlign w:val="bottom"/>
            <w:hideMark/>
          </w:tcPr>
          <w:p w14:paraId="2BCF410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left w:val="single" w:sz="4" w:space="0" w:color="auto"/>
              <w:bottom w:val="nil"/>
              <w:right w:val="single" w:sz="4" w:space="0" w:color="auto"/>
            </w:tcBorders>
            <w:shd w:val="clear" w:color="auto" w:fill="auto"/>
            <w:noWrap/>
            <w:vAlign w:val="bottom"/>
            <w:hideMark/>
          </w:tcPr>
          <w:p w14:paraId="48FE5CCB" w14:textId="77777777" w:rsidR="00D215BD" w:rsidRPr="001314CA" w:rsidRDefault="00D215BD" w:rsidP="00D215BD">
            <w:pPr>
              <w:spacing w:before="0"/>
              <w:jc w:val="right"/>
              <w:rPr>
                <w:rFonts w:cs="Calibri"/>
                <w:sz w:val="22"/>
                <w:szCs w:val="22"/>
              </w:rPr>
            </w:pPr>
            <w:r w:rsidRPr="001314CA">
              <w:rPr>
                <w:rFonts w:cs="Calibri"/>
                <w:sz w:val="22"/>
                <w:szCs w:val="22"/>
              </w:rPr>
              <w:t>19 694,85</w:t>
            </w:r>
          </w:p>
        </w:tc>
      </w:tr>
      <w:tr w:rsidR="00D215BD" w:rsidRPr="001314CA" w14:paraId="43D3530C"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25200921"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Space Systems Loral, Palo Alto</w:t>
            </w:r>
          </w:p>
        </w:tc>
        <w:tc>
          <w:tcPr>
            <w:tcW w:w="1311" w:type="dxa"/>
            <w:tcBorders>
              <w:top w:val="nil"/>
              <w:left w:val="single" w:sz="4" w:space="0" w:color="auto"/>
              <w:bottom w:val="nil"/>
              <w:right w:val="single" w:sz="4" w:space="0" w:color="auto"/>
            </w:tcBorders>
            <w:shd w:val="clear" w:color="auto" w:fill="auto"/>
            <w:noWrap/>
            <w:vAlign w:val="bottom"/>
            <w:hideMark/>
          </w:tcPr>
          <w:p w14:paraId="590B0417"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16A8BCAD" w14:textId="77777777" w:rsidR="00D215BD" w:rsidRPr="001314CA" w:rsidRDefault="00D215BD" w:rsidP="00D215BD">
            <w:pPr>
              <w:spacing w:before="0"/>
              <w:jc w:val="right"/>
              <w:rPr>
                <w:rFonts w:cs="Calibri"/>
                <w:sz w:val="22"/>
                <w:szCs w:val="22"/>
              </w:rPr>
            </w:pPr>
            <w:r w:rsidRPr="001314CA">
              <w:rPr>
                <w:rFonts w:cs="Calibri"/>
                <w:sz w:val="22"/>
                <w:szCs w:val="22"/>
              </w:rPr>
              <w:t>11 657,35</w:t>
            </w:r>
          </w:p>
        </w:tc>
        <w:tc>
          <w:tcPr>
            <w:tcW w:w="1418" w:type="dxa"/>
            <w:tcBorders>
              <w:top w:val="nil"/>
              <w:left w:val="single" w:sz="4" w:space="0" w:color="auto"/>
              <w:bottom w:val="nil"/>
              <w:right w:val="single" w:sz="4" w:space="0" w:color="auto"/>
            </w:tcBorders>
            <w:shd w:val="clear" w:color="auto" w:fill="auto"/>
            <w:noWrap/>
            <w:vAlign w:val="bottom"/>
            <w:hideMark/>
          </w:tcPr>
          <w:p w14:paraId="625AF5EA"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5698ED45" w14:textId="77777777" w:rsidR="00D215BD" w:rsidRPr="001314CA" w:rsidRDefault="00D215BD" w:rsidP="00D215BD">
            <w:pPr>
              <w:spacing w:before="0"/>
              <w:jc w:val="right"/>
              <w:rPr>
                <w:rFonts w:cs="Calibri"/>
                <w:sz w:val="22"/>
                <w:szCs w:val="22"/>
              </w:rPr>
            </w:pPr>
            <w:r w:rsidRPr="001314CA">
              <w:rPr>
                <w:rFonts w:cs="Calibri"/>
                <w:sz w:val="22"/>
                <w:szCs w:val="22"/>
              </w:rPr>
              <w:t>11 657,35</w:t>
            </w:r>
          </w:p>
        </w:tc>
      </w:tr>
      <w:tr w:rsidR="00D215BD" w:rsidRPr="001314CA" w14:paraId="64ED52BE"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1D25CB2E"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Tektronix</w:t>
            </w:r>
            <w:proofErr w:type="spellEnd"/>
            <w:r w:rsidRPr="001314CA">
              <w:rPr>
                <w:rFonts w:cs="Calibri"/>
                <w:sz w:val="22"/>
                <w:szCs w:val="22"/>
              </w:rPr>
              <w:t xml:space="preserve"> </w:t>
            </w:r>
            <w:proofErr w:type="spellStart"/>
            <w:r w:rsidRPr="001314CA">
              <w:rPr>
                <w:rFonts w:cs="Calibri"/>
                <w:sz w:val="22"/>
                <w:szCs w:val="22"/>
              </w:rPr>
              <w:t>Inc</w:t>
            </w:r>
            <w:proofErr w:type="spellEnd"/>
            <w:r w:rsidRPr="001314CA">
              <w:rPr>
                <w:rFonts w:cs="Calibri"/>
                <w:sz w:val="22"/>
                <w:szCs w:val="22"/>
              </w:rPr>
              <w:t>, Beaverton</w:t>
            </w:r>
          </w:p>
        </w:tc>
        <w:tc>
          <w:tcPr>
            <w:tcW w:w="1311" w:type="dxa"/>
            <w:tcBorders>
              <w:top w:val="nil"/>
              <w:left w:val="single" w:sz="4" w:space="0" w:color="auto"/>
              <w:bottom w:val="nil"/>
              <w:right w:val="single" w:sz="4" w:space="0" w:color="auto"/>
            </w:tcBorders>
            <w:shd w:val="clear" w:color="auto" w:fill="auto"/>
            <w:noWrap/>
            <w:vAlign w:val="bottom"/>
            <w:hideMark/>
          </w:tcPr>
          <w:p w14:paraId="4DF052B1" w14:textId="77777777" w:rsidR="00D215BD" w:rsidRPr="001314CA" w:rsidRDefault="00D215BD" w:rsidP="00D215BD">
            <w:pPr>
              <w:spacing w:before="0"/>
              <w:jc w:val="center"/>
              <w:rPr>
                <w:rFonts w:cs="Calibri"/>
                <w:sz w:val="22"/>
                <w:szCs w:val="22"/>
              </w:rPr>
            </w:pPr>
            <w:r w:rsidRPr="001314CA">
              <w:rPr>
                <w:rFonts w:cs="Calibri"/>
                <w:sz w:val="22"/>
                <w:szCs w:val="22"/>
              </w:rPr>
              <w:t>2017-2019</w:t>
            </w:r>
          </w:p>
        </w:tc>
        <w:tc>
          <w:tcPr>
            <w:tcW w:w="1468" w:type="dxa"/>
            <w:tcBorders>
              <w:top w:val="nil"/>
              <w:left w:val="single" w:sz="4" w:space="0" w:color="auto"/>
              <w:bottom w:val="nil"/>
              <w:right w:val="single" w:sz="4" w:space="0" w:color="auto"/>
            </w:tcBorders>
            <w:shd w:val="clear" w:color="auto" w:fill="auto"/>
            <w:noWrap/>
            <w:vAlign w:val="bottom"/>
            <w:hideMark/>
          </w:tcPr>
          <w:p w14:paraId="17A125DF" w14:textId="77777777" w:rsidR="00D215BD" w:rsidRPr="001314CA" w:rsidRDefault="00D215BD" w:rsidP="00D215BD">
            <w:pPr>
              <w:spacing w:before="0"/>
              <w:jc w:val="right"/>
              <w:rPr>
                <w:rFonts w:cs="Calibri"/>
                <w:sz w:val="22"/>
                <w:szCs w:val="22"/>
              </w:rPr>
            </w:pPr>
            <w:r w:rsidRPr="001314CA">
              <w:rPr>
                <w:rFonts w:cs="Calibri"/>
                <w:sz w:val="22"/>
                <w:szCs w:val="22"/>
              </w:rPr>
              <w:t>12 280,95</w:t>
            </w:r>
          </w:p>
        </w:tc>
        <w:tc>
          <w:tcPr>
            <w:tcW w:w="1418" w:type="dxa"/>
            <w:tcBorders>
              <w:top w:val="nil"/>
              <w:left w:val="single" w:sz="4" w:space="0" w:color="auto"/>
              <w:bottom w:val="nil"/>
              <w:right w:val="single" w:sz="4" w:space="0" w:color="auto"/>
            </w:tcBorders>
            <w:shd w:val="clear" w:color="auto" w:fill="auto"/>
            <w:noWrap/>
            <w:vAlign w:val="bottom"/>
            <w:hideMark/>
          </w:tcPr>
          <w:p w14:paraId="1C36A020"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76A9A35E" w14:textId="77777777" w:rsidR="00D215BD" w:rsidRPr="001314CA" w:rsidRDefault="00D215BD" w:rsidP="00D215BD">
            <w:pPr>
              <w:spacing w:before="0"/>
              <w:jc w:val="right"/>
              <w:rPr>
                <w:rFonts w:cs="Calibri"/>
                <w:sz w:val="22"/>
                <w:szCs w:val="22"/>
              </w:rPr>
            </w:pPr>
            <w:r w:rsidRPr="001314CA">
              <w:rPr>
                <w:rFonts w:cs="Calibri"/>
                <w:sz w:val="22"/>
                <w:szCs w:val="22"/>
              </w:rPr>
              <w:t>12 280,95</w:t>
            </w:r>
          </w:p>
        </w:tc>
      </w:tr>
      <w:tr w:rsidR="00D215BD" w:rsidRPr="001314CA" w14:paraId="2A6FA478"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7F8C3E21"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The Village Group Inc, Waltham</w:t>
            </w:r>
          </w:p>
        </w:tc>
        <w:tc>
          <w:tcPr>
            <w:tcW w:w="1311" w:type="dxa"/>
            <w:tcBorders>
              <w:top w:val="nil"/>
              <w:left w:val="single" w:sz="4" w:space="0" w:color="auto"/>
              <w:bottom w:val="nil"/>
              <w:right w:val="single" w:sz="4" w:space="0" w:color="auto"/>
            </w:tcBorders>
            <w:shd w:val="clear" w:color="auto" w:fill="auto"/>
            <w:noWrap/>
            <w:vAlign w:val="bottom"/>
            <w:hideMark/>
          </w:tcPr>
          <w:p w14:paraId="42386289" w14:textId="77777777" w:rsidR="00D215BD" w:rsidRPr="001314CA" w:rsidRDefault="00D215BD" w:rsidP="00D215BD">
            <w:pPr>
              <w:spacing w:before="0"/>
              <w:jc w:val="center"/>
              <w:rPr>
                <w:rFonts w:cs="Calibri"/>
                <w:sz w:val="22"/>
                <w:szCs w:val="22"/>
              </w:rPr>
            </w:pPr>
            <w:r w:rsidRPr="001314CA">
              <w:rPr>
                <w:rFonts w:cs="Calibri"/>
                <w:sz w:val="22"/>
                <w:szCs w:val="22"/>
              </w:rPr>
              <w:t>2007-2008</w:t>
            </w:r>
          </w:p>
        </w:tc>
        <w:tc>
          <w:tcPr>
            <w:tcW w:w="1468" w:type="dxa"/>
            <w:tcBorders>
              <w:top w:val="nil"/>
              <w:left w:val="single" w:sz="4" w:space="0" w:color="auto"/>
              <w:bottom w:val="nil"/>
              <w:right w:val="single" w:sz="4" w:space="0" w:color="auto"/>
            </w:tcBorders>
            <w:shd w:val="clear" w:color="auto" w:fill="auto"/>
            <w:noWrap/>
            <w:vAlign w:val="bottom"/>
            <w:hideMark/>
          </w:tcPr>
          <w:p w14:paraId="08290700" w14:textId="77777777" w:rsidR="00D215BD" w:rsidRPr="001314CA" w:rsidRDefault="00D215BD" w:rsidP="00D215BD">
            <w:pPr>
              <w:spacing w:before="0"/>
              <w:jc w:val="right"/>
              <w:rPr>
                <w:rFonts w:cs="Calibri"/>
                <w:sz w:val="22"/>
                <w:szCs w:val="22"/>
              </w:rPr>
            </w:pPr>
            <w:r w:rsidRPr="001314CA">
              <w:rPr>
                <w:rFonts w:cs="Calibri"/>
                <w:sz w:val="22"/>
                <w:szCs w:val="22"/>
              </w:rPr>
              <w:t>16 633,90</w:t>
            </w:r>
          </w:p>
        </w:tc>
        <w:tc>
          <w:tcPr>
            <w:tcW w:w="1418" w:type="dxa"/>
            <w:tcBorders>
              <w:top w:val="nil"/>
              <w:left w:val="single" w:sz="4" w:space="0" w:color="auto"/>
              <w:bottom w:val="nil"/>
              <w:right w:val="single" w:sz="4" w:space="0" w:color="auto"/>
            </w:tcBorders>
            <w:shd w:val="clear" w:color="auto" w:fill="auto"/>
            <w:noWrap/>
            <w:vAlign w:val="bottom"/>
            <w:hideMark/>
          </w:tcPr>
          <w:p w14:paraId="28FE4DB0"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3EF725BD" w14:textId="77777777" w:rsidR="00D215BD" w:rsidRPr="001314CA" w:rsidRDefault="00D215BD" w:rsidP="00D215BD">
            <w:pPr>
              <w:spacing w:before="0"/>
              <w:jc w:val="right"/>
              <w:rPr>
                <w:rFonts w:cs="Calibri"/>
                <w:sz w:val="22"/>
                <w:szCs w:val="22"/>
              </w:rPr>
            </w:pPr>
            <w:r w:rsidRPr="001314CA">
              <w:rPr>
                <w:rFonts w:cs="Calibri"/>
                <w:sz w:val="22"/>
                <w:szCs w:val="22"/>
              </w:rPr>
              <w:t>16 633,90</w:t>
            </w:r>
          </w:p>
        </w:tc>
      </w:tr>
      <w:tr w:rsidR="00D215BD" w:rsidRPr="001314CA" w14:paraId="0ABB381D"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18055D26"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Toda Network Corporation, San Francisco</w:t>
            </w:r>
          </w:p>
        </w:tc>
        <w:tc>
          <w:tcPr>
            <w:tcW w:w="1311" w:type="dxa"/>
            <w:tcBorders>
              <w:top w:val="nil"/>
              <w:left w:val="single" w:sz="4" w:space="0" w:color="auto"/>
              <w:bottom w:val="nil"/>
              <w:right w:val="single" w:sz="4" w:space="0" w:color="auto"/>
            </w:tcBorders>
            <w:shd w:val="clear" w:color="auto" w:fill="auto"/>
            <w:noWrap/>
            <w:vAlign w:val="bottom"/>
            <w:hideMark/>
          </w:tcPr>
          <w:p w14:paraId="20D32E35"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nil"/>
              <w:right w:val="single" w:sz="4" w:space="0" w:color="auto"/>
            </w:tcBorders>
            <w:shd w:val="clear" w:color="auto" w:fill="auto"/>
            <w:noWrap/>
            <w:vAlign w:val="bottom"/>
            <w:hideMark/>
          </w:tcPr>
          <w:p w14:paraId="60A071F5" w14:textId="77777777" w:rsidR="00D215BD" w:rsidRPr="001314CA" w:rsidRDefault="00D215BD" w:rsidP="00D215BD">
            <w:pPr>
              <w:spacing w:before="0"/>
              <w:jc w:val="right"/>
              <w:rPr>
                <w:rFonts w:cs="Calibri"/>
                <w:sz w:val="22"/>
                <w:szCs w:val="22"/>
              </w:rPr>
            </w:pPr>
            <w:r w:rsidRPr="001314CA">
              <w:rPr>
                <w:rFonts w:cs="Calibri"/>
                <w:sz w:val="22"/>
                <w:szCs w:val="22"/>
              </w:rPr>
              <w:t>5 828,70</w:t>
            </w:r>
          </w:p>
        </w:tc>
        <w:tc>
          <w:tcPr>
            <w:tcW w:w="1418" w:type="dxa"/>
            <w:tcBorders>
              <w:top w:val="nil"/>
              <w:left w:val="single" w:sz="4" w:space="0" w:color="auto"/>
              <w:bottom w:val="nil"/>
              <w:right w:val="single" w:sz="4" w:space="0" w:color="auto"/>
            </w:tcBorders>
            <w:shd w:val="clear" w:color="auto" w:fill="auto"/>
            <w:noWrap/>
            <w:vAlign w:val="bottom"/>
            <w:hideMark/>
          </w:tcPr>
          <w:p w14:paraId="0640A185"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788112CD" w14:textId="77777777" w:rsidR="00D215BD" w:rsidRPr="001314CA" w:rsidRDefault="00D215BD" w:rsidP="00D215BD">
            <w:pPr>
              <w:spacing w:before="0"/>
              <w:jc w:val="right"/>
              <w:rPr>
                <w:rFonts w:cs="Calibri"/>
                <w:sz w:val="22"/>
                <w:szCs w:val="22"/>
              </w:rPr>
            </w:pPr>
            <w:r w:rsidRPr="001314CA">
              <w:rPr>
                <w:rFonts w:cs="Calibri"/>
                <w:sz w:val="22"/>
                <w:szCs w:val="22"/>
              </w:rPr>
              <w:t>5 828,70</w:t>
            </w:r>
          </w:p>
        </w:tc>
      </w:tr>
      <w:tr w:rsidR="00D215BD" w:rsidRPr="001314CA" w14:paraId="2488CB40"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4B646AE7"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UTStarcom</w:t>
            </w:r>
            <w:proofErr w:type="spellEnd"/>
            <w:r w:rsidRPr="001314CA">
              <w:rPr>
                <w:rFonts w:cs="Calibri"/>
                <w:sz w:val="22"/>
                <w:szCs w:val="22"/>
              </w:rPr>
              <w:t xml:space="preserve"> </w:t>
            </w:r>
            <w:proofErr w:type="spellStart"/>
            <w:r w:rsidRPr="001314CA">
              <w:rPr>
                <w:rFonts w:cs="Calibri"/>
                <w:sz w:val="22"/>
                <w:szCs w:val="22"/>
              </w:rPr>
              <w:t>Inc</w:t>
            </w:r>
            <w:proofErr w:type="spellEnd"/>
            <w:r w:rsidRPr="001314CA">
              <w:rPr>
                <w:rFonts w:cs="Calibri"/>
                <w:sz w:val="22"/>
                <w:szCs w:val="22"/>
              </w:rPr>
              <w:t>, Fremont</w:t>
            </w:r>
          </w:p>
        </w:tc>
        <w:tc>
          <w:tcPr>
            <w:tcW w:w="1311" w:type="dxa"/>
            <w:tcBorders>
              <w:top w:val="nil"/>
              <w:left w:val="single" w:sz="4" w:space="0" w:color="auto"/>
              <w:bottom w:val="nil"/>
              <w:right w:val="single" w:sz="4" w:space="0" w:color="auto"/>
            </w:tcBorders>
            <w:shd w:val="clear" w:color="auto" w:fill="auto"/>
            <w:noWrap/>
            <w:vAlign w:val="bottom"/>
            <w:hideMark/>
          </w:tcPr>
          <w:p w14:paraId="66660CDD" w14:textId="77777777" w:rsidR="00D215BD" w:rsidRPr="001314CA" w:rsidRDefault="00D215BD" w:rsidP="00D215BD">
            <w:pPr>
              <w:spacing w:before="0"/>
              <w:jc w:val="center"/>
              <w:rPr>
                <w:rFonts w:cs="Calibri"/>
                <w:sz w:val="22"/>
                <w:szCs w:val="22"/>
              </w:rPr>
            </w:pPr>
            <w:r w:rsidRPr="001314CA">
              <w:rPr>
                <w:rFonts w:cs="Calibri"/>
                <w:sz w:val="22"/>
                <w:szCs w:val="22"/>
              </w:rPr>
              <w:t>2004-2010</w:t>
            </w:r>
          </w:p>
        </w:tc>
        <w:tc>
          <w:tcPr>
            <w:tcW w:w="1468" w:type="dxa"/>
            <w:tcBorders>
              <w:top w:val="nil"/>
              <w:left w:val="single" w:sz="4" w:space="0" w:color="auto"/>
              <w:bottom w:val="nil"/>
              <w:right w:val="single" w:sz="4" w:space="0" w:color="auto"/>
            </w:tcBorders>
            <w:shd w:val="clear" w:color="auto" w:fill="auto"/>
            <w:noWrap/>
            <w:vAlign w:val="bottom"/>
            <w:hideMark/>
          </w:tcPr>
          <w:p w14:paraId="7408582B" w14:textId="77777777" w:rsidR="00D215BD" w:rsidRPr="001314CA" w:rsidRDefault="00D215BD" w:rsidP="00D215BD">
            <w:pPr>
              <w:spacing w:before="0"/>
              <w:jc w:val="right"/>
              <w:rPr>
                <w:rFonts w:cs="Calibri"/>
                <w:sz w:val="22"/>
                <w:szCs w:val="22"/>
              </w:rPr>
            </w:pPr>
            <w:r w:rsidRPr="001314CA">
              <w:rPr>
                <w:rFonts w:cs="Calibri"/>
                <w:sz w:val="22"/>
                <w:szCs w:val="22"/>
              </w:rPr>
              <w:t>66 481,85</w:t>
            </w:r>
          </w:p>
        </w:tc>
        <w:tc>
          <w:tcPr>
            <w:tcW w:w="1418" w:type="dxa"/>
            <w:tcBorders>
              <w:top w:val="nil"/>
              <w:left w:val="single" w:sz="4" w:space="0" w:color="auto"/>
              <w:bottom w:val="nil"/>
              <w:right w:val="single" w:sz="4" w:space="0" w:color="auto"/>
            </w:tcBorders>
            <w:shd w:val="clear" w:color="auto" w:fill="auto"/>
            <w:noWrap/>
            <w:vAlign w:val="bottom"/>
            <w:hideMark/>
          </w:tcPr>
          <w:p w14:paraId="7F2B5A4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3D349018" w14:textId="77777777" w:rsidR="00D215BD" w:rsidRPr="001314CA" w:rsidRDefault="00D215BD" w:rsidP="00D215BD">
            <w:pPr>
              <w:spacing w:before="0"/>
              <w:jc w:val="right"/>
              <w:rPr>
                <w:rFonts w:cs="Calibri"/>
                <w:sz w:val="22"/>
                <w:szCs w:val="22"/>
              </w:rPr>
            </w:pPr>
            <w:r w:rsidRPr="001314CA">
              <w:rPr>
                <w:rFonts w:cs="Calibri"/>
                <w:sz w:val="22"/>
                <w:szCs w:val="22"/>
              </w:rPr>
              <w:t>66 481,85</w:t>
            </w:r>
          </w:p>
        </w:tc>
      </w:tr>
      <w:tr w:rsidR="00D215BD" w:rsidRPr="001314CA" w14:paraId="28F72A13"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2EEA2A9F"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Visible Energy Inc, Palo Alto</w:t>
            </w:r>
          </w:p>
        </w:tc>
        <w:tc>
          <w:tcPr>
            <w:tcW w:w="1311" w:type="dxa"/>
            <w:tcBorders>
              <w:top w:val="nil"/>
              <w:left w:val="single" w:sz="4" w:space="0" w:color="auto"/>
              <w:bottom w:val="nil"/>
              <w:right w:val="single" w:sz="4" w:space="0" w:color="auto"/>
            </w:tcBorders>
            <w:shd w:val="clear" w:color="auto" w:fill="auto"/>
            <w:noWrap/>
            <w:vAlign w:val="bottom"/>
            <w:hideMark/>
          </w:tcPr>
          <w:p w14:paraId="6871DD77" w14:textId="77777777" w:rsidR="00D215BD" w:rsidRPr="001314CA" w:rsidRDefault="00D215BD" w:rsidP="00D215BD">
            <w:pPr>
              <w:spacing w:before="0"/>
              <w:jc w:val="center"/>
              <w:rPr>
                <w:rFonts w:cs="Calibri"/>
                <w:sz w:val="22"/>
                <w:szCs w:val="22"/>
              </w:rPr>
            </w:pPr>
            <w:r w:rsidRPr="001314CA">
              <w:rPr>
                <w:rFonts w:cs="Calibri"/>
                <w:sz w:val="22"/>
                <w:szCs w:val="22"/>
              </w:rPr>
              <w:t>2010</w:t>
            </w:r>
          </w:p>
        </w:tc>
        <w:tc>
          <w:tcPr>
            <w:tcW w:w="1468" w:type="dxa"/>
            <w:tcBorders>
              <w:top w:val="nil"/>
              <w:left w:val="single" w:sz="4" w:space="0" w:color="auto"/>
              <w:bottom w:val="nil"/>
              <w:right w:val="single" w:sz="4" w:space="0" w:color="auto"/>
            </w:tcBorders>
            <w:shd w:val="clear" w:color="auto" w:fill="auto"/>
            <w:noWrap/>
            <w:vAlign w:val="bottom"/>
            <w:hideMark/>
          </w:tcPr>
          <w:p w14:paraId="734A17E9" w14:textId="77777777" w:rsidR="00D215BD" w:rsidRPr="001314CA" w:rsidRDefault="00D215BD" w:rsidP="00D215BD">
            <w:pPr>
              <w:spacing w:before="0"/>
              <w:jc w:val="right"/>
              <w:rPr>
                <w:rFonts w:cs="Calibri"/>
                <w:sz w:val="22"/>
                <w:szCs w:val="22"/>
              </w:rPr>
            </w:pPr>
            <w:r w:rsidRPr="001314CA">
              <w:rPr>
                <w:rFonts w:cs="Calibri"/>
                <w:sz w:val="22"/>
                <w:szCs w:val="22"/>
              </w:rPr>
              <w:t>18 053,00</w:t>
            </w:r>
          </w:p>
        </w:tc>
        <w:tc>
          <w:tcPr>
            <w:tcW w:w="1418" w:type="dxa"/>
            <w:tcBorders>
              <w:top w:val="nil"/>
              <w:left w:val="single" w:sz="4" w:space="0" w:color="auto"/>
              <w:bottom w:val="nil"/>
              <w:right w:val="single" w:sz="4" w:space="0" w:color="auto"/>
            </w:tcBorders>
            <w:shd w:val="clear" w:color="auto" w:fill="auto"/>
            <w:noWrap/>
            <w:vAlign w:val="bottom"/>
            <w:hideMark/>
          </w:tcPr>
          <w:p w14:paraId="7C84453E"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7961689C" w14:textId="77777777" w:rsidR="00D215BD" w:rsidRPr="001314CA" w:rsidRDefault="00D215BD" w:rsidP="00D215BD">
            <w:pPr>
              <w:spacing w:before="0"/>
              <w:jc w:val="right"/>
              <w:rPr>
                <w:rFonts w:cs="Calibri"/>
                <w:sz w:val="22"/>
                <w:szCs w:val="22"/>
              </w:rPr>
            </w:pPr>
            <w:r w:rsidRPr="001314CA">
              <w:rPr>
                <w:rFonts w:cs="Calibri"/>
                <w:sz w:val="22"/>
                <w:szCs w:val="22"/>
              </w:rPr>
              <w:t>18 053,00</w:t>
            </w:r>
          </w:p>
        </w:tc>
      </w:tr>
      <w:tr w:rsidR="00D215BD" w:rsidRPr="001314CA" w14:paraId="333E4B93"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2D15E90E"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Vocal Technologies Ltd, Amherst</w:t>
            </w:r>
          </w:p>
        </w:tc>
        <w:tc>
          <w:tcPr>
            <w:tcW w:w="1311" w:type="dxa"/>
            <w:tcBorders>
              <w:top w:val="nil"/>
              <w:left w:val="single" w:sz="4" w:space="0" w:color="auto"/>
              <w:bottom w:val="nil"/>
              <w:right w:val="single" w:sz="4" w:space="0" w:color="auto"/>
            </w:tcBorders>
            <w:shd w:val="clear" w:color="auto" w:fill="auto"/>
            <w:noWrap/>
            <w:vAlign w:val="bottom"/>
            <w:hideMark/>
          </w:tcPr>
          <w:p w14:paraId="3C9A82DF" w14:textId="77777777" w:rsidR="00D215BD" w:rsidRPr="001314CA" w:rsidRDefault="00D215BD" w:rsidP="00D215BD">
            <w:pPr>
              <w:spacing w:before="0"/>
              <w:jc w:val="center"/>
              <w:rPr>
                <w:rFonts w:cs="Calibri"/>
                <w:sz w:val="22"/>
                <w:szCs w:val="22"/>
              </w:rPr>
            </w:pPr>
            <w:r w:rsidRPr="001314CA">
              <w:rPr>
                <w:rFonts w:cs="Calibri"/>
                <w:sz w:val="22"/>
                <w:szCs w:val="22"/>
              </w:rPr>
              <w:t>1998-2002</w:t>
            </w:r>
          </w:p>
        </w:tc>
        <w:tc>
          <w:tcPr>
            <w:tcW w:w="1468" w:type="dxa"/>
            <w:tcBorders>
              <w:top w:val="nil"/>
              <w:left w:val="single" w:sz="4" w:space="0" w:color="auto"/>
              <w:bottom w:val="nil"/>
              <w:right w:val="single" w:sz="4" w:space="0" w:color="auto"/>
            </w:tcBorders>
            <w:shd w:val="clear" w:color="auto" w:fill="auto"/>
            <w:noWrap/>
            <w:vAlign w:val="bottom"/>
            <w:hideMark/>
          </w:tcPr>
          <w:p w14:paraId="0E9B751D" w14:textId="77777777" w:rsidR="00D215BD" w:rsidRPr="001314CA" w:rsidRDefault="00D215BD" w:rsidP="00D215BD">
            <w:pPr>
              <w:spacing w:before="0"/>
              <w:jc w:val="right"/>
              <w:rPr>
                <w:rFonts w:cs="Calibri"/>
                <w:sz w:val="22"/>
                <w:szCs w:val="22"/>
              </w:rPr>
            </w:pPr>
            <w:r w:rsidRPr="001314CA">
              <w:rPr>
                <w:rFonts w:cs="Calibri"/>
                <w:sz w:val="22"/>
                <w:szCs w:val="22"/>
              </w:rPr>
              <w:t>474 989,70</w:t>
            </w:r>
          </w:p>
        </w:tc>
        <w:tc>
          <w:tcPr>
            <w:tcW w:w="1418" w:type="dxa"/>
            <w:tcBorders>
              <w:top w:val="nil"/>
              <w:left w:val="single" w:sz="4" w:space="0" w:color="auto"/>
              <w:bottom w:val="nil"/>
              <w:right w:val="single" w:sz="4" w:space="0" w:color="auto"/>
            </w:tcBorders>
            <w:shd w:val="clear" w:color="auto" w:fill="auto"/>
            <w:noWrap/>
            <w:vAlign w:val="bottom"/>
            <w:hideMark/>
          </w:tcPr>
          <w:p w14:paraId="7CE893AD"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01765241" w14:textId="77777777" w:rsidR="00D215BD" w:rsidRPr="001314CA" w:rsidRDefault="00D215BD" w:rsidP="00D215BD">
            <w:pPr>
              <w:spacing w:before="0"/>
              <w:jc w:val="right"/>
              <w:rPr>
                <w:rFonts w:cs="Calibri"/>
                <w:sz w:val="22"/>
                <w:szCs w:val="22"/>
              </w:rPr>
            </w:pPr>
            <w:r w:rsidRPr="001314CA">
              <w:rPr>
                <w:rFonts w:cs="Calibri"/>
                <w:sz w:val="22"/>
                <w:szCs w:val="22"/>
              </w:rPr>
              <w:t>474 989,70</w:t>
            </w:r>
          </w:p>
        </w:tc>
      </w:tr>
      <w:tr w:rsidR="00D215BD" w:rsidRPr="001314CA" w14:paraId="48153AEB"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77E61693"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Xerox Ltd, Washington</w:t>
            </w:r>
          </w:p>
        </w:tc>
        <w:tc>
          <w:tcPr>
            <w:tcW w:w="1311" w:type="dxa"/>
            <w:tcBorders>
              <w:top w:val="nil"/>
              <w:left w:val="single" w:sz="4" w:space="0" w:color="auto"/>
              <w:bottom w:val="nil"/>
              <w:right w:val="single" w:sz="4" w:space="0" w:color="auto"/>
            </w:tcBorders>
            <w:shd w:val="clear" w:color="auto" w:fill="auto"/>
            <w:noWrap/>
            <w:vAlign w:val="bottom"/>
            <w:hideMark/>
          </w:tcPr>
          <w:p w14:paraId="50FCF861" w14:textId="77777777" w:rsidR="00D215BD" w:rsidRPr="001314CA" w:rsidRDefault="00D215BD" w:rsidP="00D215BD">
            <w:pPr>
              <w:spacing w:before="0"/>
              <w:jc w:val="center"/>
              <w:rPr>
                <w:rFonts w:cs="Calibri"/>
                <w:sz w:val="22"/>
                <w:szCs w:val="22"/>
              </w:rPr>
            </w:pPr>
            <w:r w:rsidRPr="001314CA">
              <w:rPr>
                <w:rFonts w:cs="Calibri"/>
                <w:sz w:val="22"/>
                <w:szCs w:val="22"/>
              </w:rPr>
              <w:t>2004-2007</w:t>
            </w:r>
          </w:p>
        </w:tc>
        <w:tc>
          <w:tcPr>
            <w:tcW w:w="1468" w:type="dxa"/>
            <w:tcBorders>
              <w:top w:val="nil"/>
              <w:left w:val="single" w:sz="4" w:space="0" w:color="auto"/>
              <w:bottom w:val="nil"/>
              <w:right w:val="single" w:sz="4" w:space="0" w:color="auto"/>
            </w:tcBorders>
            <w:shd w:val="clear" w:color="auto" w:fill="auto"/>
            <w:noWrap/>
            <w:vAlign w:val="bottom"/>
            <w:hideMark/>
          </w:tcPr>
          <w:p w14:paraId="13D183EC" w14:textId="77777777" w:rsidR="00D215BD" w:rsidRPr="001314CA" w:rsidRDefault="00D215BD" w:rsidP="00D215BD">
            <w:pPr>
              <w:spacing w:before="0"/>
              <w:jc w:val="right"/>
              <w:rPr>
                <w:rFonts w:cs="Calibri"/>
                <w:sz w:val="22"/>
                <w:szCs w:val="22"/>
              </w:rPr>
            </w:pPr>
            <w:r w:rsidRPr="001314CA">
              <w:rPr>
                <w:rFonts w:cs="Calibri"/>
                <w:sz w:val="22"/>
                <w:szCs w:val="22"/>
              </w:rPr>
              <w:t>90 261,10</w:t>
            </w:r>
          </w:p>
        </w:tc>
        <w:tc>
          <w:tcPr>
            <w:tcW w:w="1418" w:type="dxa"/>
            <w:tcBorders>
              <w:top w:val="nil"/>
              <w:left w:val="single" w:sz="4" w:space="0" w:color="auto"/>
              <w:bottom w:val="nil"/>
              <w:right w:val="single" w:sz="4" w:space="0" w:color="auto"/>
            </w:tcBorders>
            <w:shd w:val="clear" w:color="auto" w:fill="auto"/>
            <w:noWrap/>
            <w:vAlign w:val="bottom"/>
            <w:hideMark/>
          </w:tcPr>
          <w:p w14:paraId="67BEB0AD"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198CC2AE" w14:textId="77777777" w:rsidR="00D215BD" w:rsidRPr="001314CA" w:rsidRDefault="00D215BD" w:rsidP="00D215BD">
            <w:pPr>
              <w:spacing w:before="0"/>
              <w:jc w:val="right"/>
              <w:rPr>
                <w:rFonts w:cs="Calibri"/>
                <w:sz w:val="22"/>
                <w:szCs w:val="22"/>
              </w:rPr>
            </w:pPr>
            <w:r w:rsidRPr="001314CA">
              <w:rPr>
                <w:rFonts w:cs="Calibri"/>
                <w:sz w:val="22"/>
                <w:szCs w:val="22"/>
              </w:rPr>
              <w:t>90 261,10</w:t>
            </w:r>
          </w:p>
        </w:tc>
      </w:tr>
      <w:tr w:rsidR="00D215BD" w:rsidRPr="001314CA" w14:paraId="50AD4D5B"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71821B91"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Ouzbékistan</w:t>
            </w:r>
          </w:p>
        </w:tc>
        <w:tc>
          <w:tcPr>
            <w:tcW w:w="1311" w:type="dxa"/>
            <w:tcBorders>
              <w:top w:val="nil"/>
              <w:left w:val="single" w:sz="4" w:space="0" w:color="auto"/>
              <w:bottom w:val="nil"/>
              <w:right w:val="single" w:sz="4" w:space="0" w:color="auto"/>
            </w:tcBorders>
            <w:shd w:val="clear" w:color="auto" w:fill="auto"/>
            <w:noWrap/>
            <w:vAlign w:val="bottom"/>
            <w:hideMark/>
          </w:tcPr>
          <w:p w14:paraId="27686D7B"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6C3CDF6C"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765426F8" w14:textId="77777777" w:rsidR="00D215BD" w:rsidRPr="001314CA" w:rsidRDefault="00D215BD" w:rsidP="00D215BD">
            <w:pPr>
              <w:spacing w:before="0"/>
              <w:rPr>
                <w:rFonts w:ascii="Times New Roman" w:hAnsi="Times New Roman"/>
                <w:sz w:val="22"/>
                <w:szCs w:val="22"/>
              </w:rPr>
            </w:pPr>
          </w:p>
        </w:tc>
        <w:tc>
          <w:tcPr>
            <w:tcW w:w="1275" w:type="dxa"/>
            <w:tcBorders>
              <w:top w:val="nil"/>
              <w:left w:val="single" w:sz="4" w:space="0" w:color="auto"/>
              <w:bottom w:val="nil"/>
              <w:right w:val="single" w:sz="4" w:space="0" w:color="auto"/>
            </w:tcBorders>
            <w:shd w:val="clear" w:color="auto" w:fill="auto"/>
            <w:noWrap/>
            <w:vAlign w:val="bottom"/>
            <w:hideMark/>
          </w:tcPr>
          <w:p w14:paraId="1567F84D" w14:textId="77777777" w:rsidR="00D215BD" w:rsidRPr="001314CA" w:rsidRDefault="00D215BD" w:rsidP="00D215BD">
            <w:pPr>
              <w:spacing w:before="0"/>
              <w:rPr>
                <w:rFonts w:ascii="Times New Roman" w:hAnsi="Times New Roman"/>
                <w:sz w:val="22"/>
                <w:szCs w:val="22"/>
              </w:rPr>
            </w:pPr>
          </w:p>
        </w:tc>
      </w:tr>
      <w:tr w:rsidR="00D215BD" w:rsidRPr="001314CA" w14:paraId="7E2BBFCB" w14:textId="77777777" w:rsidTr="00D215BD">
        <w:trPr>
          <w:trHeight w:val="600"/>
          <w:jc w:val="center"/>
        </w:trPr>
        <w:tc>
          <w:tcPr>
            <w:tcW w:w="4729" w:type="dxa"/>
            <w:tcBorders>
              <w:top w:val="nil"/>
              <w:left w:val="single" w:sz="4" w:space="0" w:color="auto"/>
              <w:bottom w:val="nil"/>
              <w:right w:val="single" w:sz="4" w:space="0" w:color="auto"/>
            </w:tcBorders>
            <w:shd w:val="clear" w:color="auto" w:fill="auto"/>
            <w:vAlign w:val="bottom"/>
            <w:hideMark/>
          </w:tcPr>
          <w:p w14:paraId="237D7C6B"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Université des technologies de l'information de Tachkent, Tachkent</w:t>
            </w:r>
          </w:p>
        </w:tc>
        <w:tc>
          <w:tcPr>
            <w:tcW w:w="1311" w:type="dxa"/>
            <w:tcBorders>
              <w:top w:val="nil"/>
              <w:left w:val="single" w:sz="4" w:space="0" w:color="auto"/>
              <w:bottom w:val="nil"/>
              <w:right w:val="single" w:sz="4" w:space="0" w:color="auto"/>
            </w:tcBorders>
            <w:shd w:val="clear" w:color="auto" w:fill="auto"/>
            <w:noWrap/>
            <w:vAlign w:val="bottom"/>
            <w:hideMark/>
          </w:tcPr>
          <w:p w14:paraId="201ADEFA" w14:textId="77777777" w:rsidR="00D215BD" w:rsidRPr="001314CA" w:rsidRDefault="00D215BD" w:rsidP="00D215BD">
            <w:pPr>
              <w:spacing w:before="0"/>
              <w:jc w:val="center"/>
              <w:rPr>
                <w:rFonts w:cs="Calibri"/>
                <w:sz w:val="22"/>
                <w:szCs w:val="22"/>
              </w:rPr>
            </w:pPr>
            <w:r w:rsidRPr="001314CA">
              <w:rPr>
                <w:rFonts w:cs="Calibri"/>
                <w:sz w:val="22"/>
                <w:szCs w:val="22"/>
              </w:rPr>
              <w:t>2014</w:t>
            </w:r>
          </w:p>
        </w:tc>
        <w:tc>
          <w:tcPr>
            <w:tcW w:w="1468" w:type="dxa"/>
            <w:tcBorders>
              <w:top w:val="nil"/>
              <w:left w:val="single" w:sz="4" w:space="0" w:color="auto"/>
              <w:bottom w:val="nil"/>
              <w:right w:val="single" w:sz="4" w:space="0" w:color="auto"/>
            </w:tcBorders>
            <w:shd w:val="clear" w:color="auto" w:fill="auto"/>
            <w:noWrap/>
            <w:vAlign w:val="bottom"/>
            <w:hideMark/>
          </w:tcPr>
          <w:p w14:paraId="41E8E8F3" w14:textId="77777777" w:rsidR="00D215BD" w:rsidRPr="001314CA" w:rsidRDefault="00D215BD" w:rsidP="00D215BD">
            <w:pPr>
              <w:spacing w:before="0"/>
              <w:jc w:val="right"/>
              <w:rPr>
                <w:rFonts w:cs="Calibri"/>
                <w:sz w:val="22"/>
                <w:szCs w:val="22"/>
              </w:rPr>
            </w:pPr>
            <w:r w:rsidRPr="001314CA">
              <w:rPr>
                <w:rFonts w:cs="Calibri"/>
                <w:sz w:val="22"/>
                <w:szCs w:val="22"/>
              </w:rPr>
              <w:t>2 925,00</w:t>
            </w:r>
          </w:p>
        </w:tc>
        <w:tc>
          <w:tcPr>
            <w:tcW w:w="1418" w:type="dxa"/>
            <w:tcBorders>
              <w:top w:val="nil"/>
              <w:left w:val="single" w:sz="4" w:space="0" w:color="auto"/>
              <w:bottom w:val="nil"/>
              <w:right w:val="single" w:sz="4" w:space="0" w:color="auto"/>
            </w:tcBorders>
            <w:shd w:val="clear" w:color="auto" w:fill="auto"/>
            <w:noWrap/>
            <w:vAlign w:val="bottom"/>
            <w:hideMark/>
          </w:tcPr>
          <w:p w14:paraId="1F3D7ABC"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149A4A94" w14:textId="77777777" w:rsidR="00D215BD" w:rsidRPr="001314CA" w:rsidRDefault="00D215BD" w:rsidP="00D215BD">
            <w:pPr>
              <w:spacing w:before="0"/>
              <w:jc w:val="right"/>
              <w:rPr>
                <w:rFonts w:cs="Calibri"/>
                <w:sz w:val="22"/>
                <w:szCs w:val="22"/>
              </w:rPr>
            </w:pPr>
            <w:r w:rsidRPr="001314CA">
              <w:rPr>
                <w:rFonts w:cs="Calibri"/>
                <w:sz w:val="22"/>
                <w:szCs w:val="22"/>
              </w:rPr>
              <w:t>2 925,00</w:t>
            </w:r>
          </w:p>
        </w:tc>
      </w:tr>
      <w:tr w:rsidR="00D215BD" w:rsidRPr="001314CA" w14:paraId="49834266"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6F69B924"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Venezuela</w:t>
            </w:r>
          </w:p>
        </w:tc>
        <w:tc>
          <w:tcPr>
            <w:tcW w:w="1311" w:type="dxa"/>
            <w:tcBorders>
              <w:top w:val="nil"/>
              <w:left w:val="single" w:sz="4" w:space="0" w:color="auto"/>
              <w:bottom w:val="nil"/>
              <w:right w:val="single" w:sz="4" w:space="0" w:color="auto"/>
            </w:tcBorders>
            <w:shd w:val="clear" w:color="auto" w:fill="auto"/>
            <w:noWrap/>
            <w:vAlign w:val="bottom"/>
            <w:hideMark/>
          </w:tcPr>
          <w:p w14:paraId="45F09795"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39F4128F"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6378D336" w14:textId="77777777" w:rsidR="00D215BD" w:rsidRPr="001314CA" w:rsidRDefault="00D215BD" w:rsidP="00D215BD">
            <w:pPr>
              <w:spacing w:before="0"/>
              <w:rPr>
                <w:rFonts w:ascii="Times New Roman" w:hAnsi="Times New Roman"/>
                <w:sz w:val="22"/>
                <w:szCs w:val="22"/>
              </w:rPr>
            </w:pPr>
          </w:p>
        </w:tc>
        <w:tc>
          <w:tcPr>
            <w:tcW w:w="1275" w:type="dxa"/>
            <w:tcBorders>
              <w:top w:val="nil"/>
              <w:left w:val="single" w:sz="4" w:space="0" w:color="auto"/>
              <w:bottom w:val="nil"/>
              <w:right w:val="single" w:sz="4" w:space="0" w:color="auto"/>
            </w:tcBorders>
            <w:shd w:val="clear" w:color="auto" w:fill="auto"/>
            <w:noWrap/>
            <w:vAlign w:val="bottom"/>
            <w:hideMark/>
          </w:tcPr>
          <w:p w14:paraId="2D4BA199" w14:textId="77777777" w:rsidR="00D215BD" w:rsidRPr="001314CA" w:rsidRDefault="00D215BD" w:rsidP="00D215BD">
            <w:pPr>
              <w:spacing w:before="0"/>
              <w:rPr>
                <w:rFonts w:ascii="Times New Roman" w:hAnsi="Times New Roman"/>
                <w:sz w:val="22"/>
                <w:szCs w:val="22"/>
              </w:rPr>
            </w:pPr>
          </w:p>
        </w:tc>
      </w:tr>
      <w:tr w:rsidR="00D215BD" w:rsidRPr="001314CA" w14:paraId="10717C63"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4B971866"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CANTV, Caracas</w:t>
            </w:r>
          </w:p>
        </w:tc>
        <w:tc>
          <w:tcPr>
            <w:tcW w:w="1311" w:type="dxa"/>
            <w:tcBorders>
              <w:top w:val="nil"/>
              <w:left w:val="single" w:sz="4" w:space="0" w:color="auto"/>
              <w:bottom w:val="nil"/>
              <w:right w:val="single" w:sz="4" w:space="0" w:color="auto"/>
            </w:tcBorders>
            <w:shd w:val="clear" w:color="auto" w:fill="auto"/>
            <w:noWrap/>
            <w:vAlign w:val="bottom"/>
            <w:hideMark/>
          </w:tcPr>
          <w:p w14:paraId="7E8FD69F" w14:textId="77777777" w:rsidR="00D215BD" w:rsidRPr="001314CA" w:rsidRDefault="00D215BD" w:rsidP="00D215BD">
            <w:pPr>
              <w:spacing w:before="0"/>
              <w:jc w:val="center"/>
              <w:rPr>
                <w:rFonts w:cs="Calibri"/>
                <w:sz w:val="22"/>
                <w:szCs w:val="22"/>
              </w:rPr>
            </w:pPr>
            <w:r w:rsidRPr="001314CA">
              <w:rPr>
                <w:rFonts w:cs="Calibri"/>
                <w:sz w:val="22"/>
                <w:szCs w:val="22"/>
              </w:rPr>
              <w:t>2018-2019</w:t>
            </w:r>
          </w:p>
        </w:tc>
        <w:tc>
          <w:tcPr>
            <w:tcW w:w="1468" w:type="dxa"/>
            <w:tcBorders>
              <w:top w:val="nil"/>
              <w:left w:val="single" w:sz="4" w:space="0" w:color="auto"/>
              <w:bottom w:val="nil"/>
              <w:right w:val="single" w:sz="4" w:space="0" w:color="auto"/>
            </w:tcBorders>
            <w:shd w:val="clear" w:color="auto" w:fill="auto"/>
            <w:noWrap/>
            <w:vAlign w:val="bottom"/>
            <w:hideMark/>
          </w:tcPr>
          <w:p w14:paraId="6F297C3B" w14:textId="77777777" w:rsidR="00D215BD" w:rsidRPr="001314CA" w:rsidRDefault="00D215BD" w:rsidP="00D215BD">
            <w:pPr>
              <w:spacing w:before="0"/>
              <w:jc w:val="right"/>
              <w:rPr>
                <w:rFonts w:cs="Calibri"/>
                <w:sz w:val="22"/>
                <w:szCs w:val="22"/>
              </w:rPr>
            </w:pPr>
            <w:r w:rsidRPr="001314CA">
              <w:rPr>
                <w:rFonts w:cs="Calibri"/>
                <w:sz w:val="22"/>
                <w:szCs w:val="22"/>
              </w:rPr>
              <w:t>88 092,65</w:t>
            </w:r>
          </w:p>
        </w:tc>
        <w:tc>
          <w:tcPr>
            <w:tcW w:w="1418" w:type="dxa"/>
            <w:tcBorders>
              <w:top w:val="nil"/>
              <w:left w:val="single" w:sz="4" w:space="0" w:color="auto"/>
              <w:bottom w:val="nil"/>
              <w:right w:val="single" w:sz="4" w:space="0" w:color="auto"/>
            </w:tcBorders>
            <w:shd w:val="clear" w:color="auto" w:fill="auto"/>
            <w:noWrap/>
            <w:vAlign w:val="bottom"/>
            <w:hideMark/>
          </w:tcPr>
          <w:p w14:paraId="258FE7FC"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1CC36E77" w14:textId="77777777" w:rsidR="00D215BD" w:rsidRPr="001314CA" w:rsidRDefault="00D215BD" w:rsidP="00D215BD">
            <w:pPr>
              <w:spacing w:before="0"/>
              <w:jc w:val="right"/>
              <w:rPr>
                <w:rFonts w:cs="Calibri"/>
                <w:sz w:val="22"/>
                <w:szCs w:val="22"/>
              </w:rPr>
            </w:pPr>
            <w:r w:rsidRPr="001314CA">
              <w:rPr>
                <w:rFonts w:cs="Calibri"/>
                <w:sz w:val="22"/>
                <w:szCs w:val="22"/>
              </w:rPr>
              <w:t>88 092,65</w:t>
            </w:r>
          </w:p>
        </w:tc>
      </w:tr>
      <w:tr w:rsidR="00D215BD" w:rsidRPr="001314CA" w14:paraId="2CF9D38A"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6CBD9B6F"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Zambie</w:t>
            </w:r>
          </w:p>
        </w:tc>
        <w:tc>
          <w:tcPr>
            <w:tcW w:w="1311" w:type="dxa"/>
            <w:tcBorders>
              <w:top w:val="nil"/>
              <w:left w:val="single" w:sz="4" w:space="0" w:color="auto"/>
              <w:bottom w:val="nil"/>
              <w:right w:val="single" w:sz="4" w:space="0" w:color="auto"/>
            </w:tcBorders>
            <w:shd w:val="clear" w:color="auto" w:fill="auto"/>
            <w:noWrap/>
            <w:vAlign w:val="bottom"/>
            <w:hideMark/>
          </w:tcPr>
          <w:p w14:paraId="4100D760"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58536700"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12A33EC6" w14:textId="77777777" w:rsidR="00D215BD" w:rsidRPr="001314CA" w:rsidRDefault="00D215BD" w:rsidP="00D215BD">
            <w:pPr>
              <w:spacing w:before="0"/>
              <w:rPr>
                <w:rFonts w:ascii="Times New Roman" w:hAnsi="Times New Roman"/>
                <w:sz w:val="22"/>
                <w:szCs w:val="22"/>
              </w:rPr>
            </w:pPr>
          </w:p>
        </w:tc>
        <w:tc>
          <w:tcPr>
            <w:tcW w:w="1275" w:type="dxa"/>
            <w:tcBorders>
              <w:top w:val="nil"/>
              <w:left w:val="single" w:sz="4" w:space="0" w:color="auto"/>
              <w:bottom w:val="nil"/>
              <w:right w:val="single" w:sz="4" w:space="0" w:color="auto"/>
            </w:tcBorders>
            <w:shd w:val="clear" w:color="auto" w:fill="auto"/>
            <w:noWrap/>
            <w:vAlign w:val="bottom"/>
            <w:hideMark/>
          </w:tcPr>
          <w:p w14:paraId="1BABE841" w14:textId="77777777" w:rsidR="00D215BD" w:rsidRPr="001314CA" w:rsidRDefault="00D215BD" w:rsidP="00D215BD">
            <w:pPr>
              <w:spacing w:before="0"/>
              <w:rPr>
                <w:rFonts w:ascii="Times New Roman" w:hAnsi="Times New Roman"/>
                <w:sz w:val="22"/>
                <w:szCs w:val="22"/>
              </w:rPr>
            </w:pPr>
          </w:p>
        </w:tc>
      </w:tr>
      <w:tr w:rsidR="00D215BD" w:rsidRPr="001314CA" w14:paraId="2B28C204"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07352B61"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Airtel </w:t>
            </w:r>
            <w:proofErr w:type="spellStart"/>
            <w:r w:rsidRPr="001314CA">
              <w:rPr>
                <w:rFonts w:cs="Calibri"/>
                <w:sz w:val="22"/>
                <w:szCs w:val="22"/>
              </w:rPr>
              <w:t>Zambia</w:t>
            </w:r>
            <w:proofErr w:type="spellEnd"/>
            <w:r w:rsidRPr="001314CA">
              <w:rPr>
                <w:rFonts w:cs="Calibri"/>
                <w:sz w:val="22"/>
                <w:szCs w:val="22"/>
              </w:rPr>
              <w:t>, Lusaka</w:t>
            </w:r>
          </w:p>
        </w:tc>
        <w:tc>
          <w:tcPr>
            <w:tcW w:w="1311" w:type="dxa"/>
            <w:tcBorders>
              <w:top w:val="nil"/>
              <w:left w:val="single" w:sz="4" w:space="0" w:color="auto"/>
              <w:bottom w:val="nil"/>
              <w:right w:val="single" w:sz="4" w:space="0" w:color="auto"/>
            </w:tcBorders>
            <w:shd w:val="clear" w:color="auto" w:fill="auto"/>
            <w:noWrap/>
            <w:vAlign w:val="bottom"/>
            <w:hideMark/>
          </w:tcPr>
          <w:p w14:paraId="1DCDDE57" w14:textId="77777777" w:rsidR="00D215BD" w:rsidRPr="001314CA" w:rsidRDefault="00D215BD" w:rsidP="00D215BD">
            <w:pPr>
              <w:spacing w:before="0"/>
              <w:jc w:val="center"/>
              <w:rPr>
                <w:rFonts w:cs="Calibri"/>
                <w:sz w:val="22"/>
                <w:szCs w:val="22"/>
              </w:rPr>
            </w:pPr>
            <w:r w:rsidRPr="001314CA">
              <w:rPr>
                <w:rFonts w:cs="Calibri"/>
                <w:sz w:val="22"/>
                <w:szCs w:val="22"/>
              </w:rPr>
              <w:t>2014</w:t>
            </w:r>
          </w:p>
        </w:tc>
        <w:tc>
          <w:tcPr>
            <w:tcW w:w="1468" w:type="dxa"/>
            <w:tcBorders>
              <w:top w:val="nil"/>
              <w:left w:val="single" w:sz="4" w:space="0" w:color="auto"/>
              <w:bottom w:val="nil"/>
              <w:right w:val="single" w:sz="4" w:space="0" w:color="auto"/>
            </w:tcBorders>
            <w:shd w:val="clear" w:color="auto" w:fill="auto"/>
            <w:noWrap/>
            <w:vAlign w:val="bottom"/>
            <w:hideMark/>
          </w:tcPr>
          <w:p w14:paraId="7DD7689F" w14:textId="77777777" w:rsidR="00D215BD" w:rsidRPr="001314CA" w:rsidRDefault="00D215BD" w:rsidP="00D215BD">
            <w:pPr>
              <w:spacing w:before="0"/>
              <w:jc w:val="right"/>
              <w:rPr>
                <w:rFonts w:cs="Calibri"/>
                <w:sz w:val="22"/>
                <w:szCs w:val="22"/>
              </w:rPr>
            </w:pPr>
            <w:r w:rsidRPr="001314CA">
              <w:rPr>
                <w:rFonts w:cs="Calibri"/>
                <w:sz w:val="22"/>
                <w:szCs w:val="22"/>
              </w:rPr>
              <w:t>95 072,30</w:t>
            </w:r>
          </w:p>
        </w:tc>
        <w:tc>
          <w:tcPr>
            <w:tcW w:w="1418" w:type="dxa"/>
            <w:tcBorders>
              <w:top w:val="nil"/>
              <w:left w:val="single" w:sz="4" w:space="0" w:color="auto"/>
              <w:bottom w:val="nil"/>
              <w:right w:val="single" w:sz="4" w:space="0" w:color="auto"/>
            </w:tcBorders>
            <w:shd w:val="clear" w:color="auto" w:fill="auto"/>
            <w:noWrap/>
            <w:vAlign w:val="bottom"/>
            <w:hideMark/>
          </w:tcPr>
          <w:p w14:paraId="4BD5A4BB"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5E1D7545" w14:textId="77777777" w:rsidR="00D215BD" w:rsidRPr="001314CA" w:rsidRDefault="00D215BD" w:rsidP="00D215BD">
            <w:pPr>
              <w:spacing w:before="0"/>
              <w:jc w:val="right"/>
              <w:rPr>
                <w:rFonts w:cs="Calibri"/>
                <w:sz w:val="22"/>
                <w:szCs w:val="22"/>
              </w:rPr>
            </w:pPr>
            <w:r w:rsidRPr="001314CA">
              <w:rPr>
                <w:rFonts w:cs="Calibri"/>
                <w:sz w:val="22"/>
                <w:szCs w:val="22"/>
              </w:rPr>
              <w:t>95 072,30</w:t>
            </w:r>
          </w:p>
        </w:tc>
      </w:tr>
      <w:tr w:rsidR="00D215BD" w:rsidRPr="001314CA" w14:paraId="1F4E491D"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55A7E726" w14:textId="77777777" w:rsidR="00D215BD" w:rsidRPr="001314CA" w:rsidRDefault="00D215BD" w:rsidP="00D215BD">
            <w:pPr>
              <w:tabs>
                <w:tab w:val="clear" w:pos="567"/>
              </w:tabs>
              <w:spacing w:before="0"/>
              <w:ind w:left="317" w:hanging="317"/>
              <w:rPr>
                <w:rFonts w:cs="Calibri"/>
                <w:b/>
                <w:bCs/>
                <w:sz w:val="22"/>
                <w:szCs w:val="22"/>
              </w:rPr>
            </w:pPr>
            <w:r w:rsidRPr="001314CA">
              <w:rPr>
                <w:rFonts w:cs="Calibri"/>
                <w:b/>
                <w:bCs/>
                <w:sz w:val="22"/>
                <w:szCs w:val="22"/>
              </w:rPr>
              <w:t>Zimbabwe</w:t>
            </w:r>
          </w:p>
        </w:tc>
        <w:tc>
          <w:tcPr>
            <w:tcW w:w="1311" w:type="dxa"/>
            <w:tcBorders>
              <w:top w:val="nil"/>
              <w:left w:val="single" w:sz="4" w:space="0" w:color="auto"/>
              <w:bottom w:val="nil"/>
              <w:right w:val="single" w:sz="4" w:space="0" w:color="auto"/>
            </w:tcBorders>
            <w:shd w:val="clear" w:color="auto" w:fill="auto"/>
            <w:noWrap/>
            <w:vAlign w:val="bottom"/>
            <w:hideMark/>
          </w:tcPr>
          <w:p w14:paraId="255B7286"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404550BA"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3E36C570" w14:textId="77777777" w:rsidR="00D215BD" w:rsidRPr="001314CA" w:rsidRDefault="00D215BD" w:rsidP="00D215BD">
            <w:pPr>
              <w:spacing w:before="0"/>
              <w:rPr>
                <w:rFonts w:ascii="Times New Roman" w:hAnsi="Times New Roman"/>
                <w:sz w:val="22"/>
                <w:szCs w:val="22"/>
              </w:rPr>
            </w:pPr>
          </w:p>
        </w:tc>
        <w:tc>
          <w:tcPr>
            <w:tcW w:w="1275" w:type="dxa"/>
            <w:tcBorders>
              <w:top w:val="nil"/>
              <w:left w:val="single" w:sz="4" w:space="0" w:color="auto"/>
              <w:bottom w:val="nil"/>
              <w:right w:val="single" w:sz="4" w:space="0" w:color="auto"/>
            </w:tcBorders>
            <w:shd w:val="clear" w:color="auto" w:fill="auto"/>
            <w:noWrap/>
            <w:vAlign w:val="bottom"/>
            <w:hideMark/>
          </w:tcPr>
          <w:p w14:paraId="564139AB" w14:textId="77777777" w:rsidR="00D215BD" w:rsidRPr="001314CA" w:rsidRDefault="00D215BD" w:rsidP="00D215BD">
            <w:pPr>
              <w:spacing w:before="0"/>
              <w:rPr>
                <w:rFonts w:ascii="Times New Roman" w:hAnsi="Times New Roman"/>
                <w:sz w:val="22"/>
                <w:szCs w:val="22"/>
              </w:rPr>
            </w:pPr>
          </w:p>
        </w:tc>
      </w:tr>
      <w:tr w:rsidR="00D215BD" w:rsidRPr="001314CA" w14:paraId="79B5742C"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195797E8"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Econet Wireless (PVT) Ltd, Harare</w:t>
            </w:r>
          </w:p>
        </w:tc>
        <w:tc>
          <w:tcPr>
            <w:tcW w:w="1311" w:type="dxa"/>
            <w:tcBorders>
              <w:top w:val="nil"/>
              <w:left w:val="single" w:sz="4" w:space="0" w:color="auto"/>
              <w:bottom w:val="nil"/>
              <w:right w:val="single" w:sz="4" w:space="0" w:color="auto"/>
            </w:tcBorders>
            <w:shd w:val="clear" w:color="auto" w:fill="auto"/>
            <w:noWrap/>
            <w:vAlign w:val="bottom"/>
            <w:hideMark/>
          </w:tcPr>
          <w:p w14:paraId="506B65DD" w14:textId="77777777" w:rsidR="00D215BD" w:rsidRPr="001314CA" w:rsidRDefault="00D215BD" w:rsidP="00D215BD">
            <w:pPr>
              <w:spacing w:before="0"/>
              <w:jc w:val="center"/>
              <w:rPr>
                <w:rFonts w:cs="Calibri"/>
                <w:sz w:val="22"/>
                <w:szCs w:val="22"/>
              </w:rPr>
            </w:pPr>
            <w:r w:rsidRPr="001314CA">
              <w:rPr>
                <w:rFonts w:cs="Calibri"/>
                <w:sz w:val="22"/>
                <w:szCs w:val="22"/>
              </w:rPr>
              <w:t>2018-2019</w:t>
            </w:r>
          </w:p>
        </w:tc>
        <w:tc>
          <w:tcPr>
            <w:tcW w:w="1468" w:type="dxa"/>
            <w:tcBorders>
              <w:top w:val="nil"/>
              <w:left w:val="single" w:sz="4" w:space="0" w:color="auto"/>
              <w:bottom w:val="nil"/>
              <w:right w:val="single" w:sz="4" w:space="0" w:color="auto"/>
            </w:tcBorders>
            <w:shd w:val="clear" w:color="auto" w:fill="auto"/>
            <w:noWrap/>
            <w:vAlign w:val="bottom"/>
            <w:hideMark/>
          </w:tcPr>
          <w:p w14:paraId="432FAD2C" w14:textId="77777777" w:rsidR="00D215BD" w:rsidRPr="001314CA" w:rsidRDefault="00D215BD" w:rsidP="00D215BD">
            <w:pPr>
              <w:spacing w:before="0"/>
              <w:jc w:val="right"/>
              <w:rPr>
                <w:rFonts w:cs="Calibri"/>
                <w:sz w:val="22"/>
                <w:szCs w:val="22"/>
              </w:rPr>
            </w:pPr>
            <w:r w:rsidRPr="001314CA">
              <w:rPr>
                <w:rFonts w:cs="Calibri"/>
                <w:sz w:val="22"/>
                <w:szCs w:val="22"/>
              </w:rPr>
              <w:t>9 172,35</w:t>
            </w:r>
          </w:p>
        </w:tc>
        <w:tc>
          <w:tcPr>
            <w:tcW w:w="1418" w:type="dxa"/>
            <w:tcBorders>
              <w:top w:val="nil"/>
              <w:left w:val="single" w:sz="4" w:space="0" w:color="auto"/>
              <w:bottom w:val="nil"/>
              <w:right w:val="single" w:sz="4" w:space="0" w:color="auto"/>
            </w:tcBorders>
            <w:shd w:val="clear" w:color="auto" w:fill="auto"/>
            <w:noWrap/>
            <w:vAlign w:val="bottom"/>
            <w:hideMark/>
          </w:tcPr>
          <w:p w14:paraId="17133B51"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57D74D18" w14:textId="77777777" w:rsidR="00D215BD" w:rsidRPr="001314CA" w:rsidRDefault="00D215BD" w:rsidP="00D215BD">
            <w:pPr>
              <w:spacing w:before="0"/>
              <w:jc w:val="right"/>
              <w:rPr>
                <w:rFonts w:cs="Calibri"/>
                <w:sz w:val="22"/>
                <w:szCs w:val="22"/>
              </w:rPr>
            </w:pPr>
            <w:r w:rsidRPr="001314CA">
              <w:rPr>
                <w:rFonts w:cs="Calibri"/>
                <w:sz w:val="22"/>
                <w:szCs w:val="22"/>
              </w:rPr>
              <w:t>9 172,35</w:t>
            </w:r>
          </w:p>
        </w:tc>
      </w:tr>
      <w:tr w:rsidR="00D215BD" w:rsidRPr="001314CA" w14:paraId="1C2CE258"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4136AFC0"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NetOne</w:t>
            </w:r>
            <w:proofErr w:type="spellEnd"/>
            <w:r w:rsidRPr="001314CA">
              <w:rPr>
                <w:rFonts w:cs="Calibri"/>
                <w:sz w:val="22"/>
                <w:szCs w:val="22"/>
              </w:rPr>
              <w:t xml:space="preserve"> Cellular Ltd, Harare</w:t>
            </w:r>
          </w:p>
        </w:tc>
        <w:tc>
          <w:tcPr>
            <w:tcW w:w="1311" w:type="dxa"/>
            <w:tcBorders>
              <w:top w:val="nil"/>
              <w:left w:val="single" w:sz="4" w:space="0" w:color="auto"/>
              <w:bottom w:val="nil"/>
              <w:right w:val="single" w:sz="4" w:space="0" w:color="auto"/>
            </w:tcBorders>
            <w:shd w:val="clear" w:color="auto" w:fill="auto"/>
            <w:noWrap/>
            <w:vAlign w:val="bottom"/>
            <w:hideMark/>
          </w:tcPr>
          <w:p w14:paraId="6A0124A6" w14:textId="77777777" w:rsidR="00D215BD" w:rsidRPr="001314CA" w:rsidRDefault="00D215BD" w:rsidP="00D215BD">
            <w:pPr>
              <w:spacing w:before="0"/>
              <w:jc w:val="center"/>
              <w:rPr>
                <w:rFonts w:cs="Calibri"/>
                <w:sz w:val="22"/>
                <w:szCs w:val="22"/>
              </w:rPr>
            </w:pPr>
            <w:r w:rsidRPr="001314CA">
              <w:rPr>
                <w:rFonts w:cs="Calibri"/>
                <w:sz w:val="22"/>
                <w:szCs w:val="22"/>
              </w:rPr>
              <w:t>2003-2006</w:t>
            </w:r>
          </w:p>
        </w:tc>
        <w:tc>
          <w:tcPr>
            <w:tcW w:w="1468" w:type="dxa"/>
            <w:tcBorders>
              <w:top w:val="nil"/>
              <w:left w:val="single" w:sz="4" w:space="0" w:color="auto"/>
              <w:bottom w:val="nil"/>
              <w:right w:val="single" w:sz="4" w:space="0" w:color="auto"/>
            </w:tcBorders>
            <w:shd w:val="clear" w:color="auto" w:fill="auto"/>
            <w:noWrap/>
            <w:vAlign w:val="bottom"/>
            <w:hideMark/>
          </w:tcPr>
          <w:p w14:paraId="48E7F495" w14:textId="77777777" w:rsidR="00D215BD" w:rsidRPr="001314CA" w:rsidRDefault="00D215BD" w:rsidP="00D215BD">
            <w:pPr>
              <w:spacing w:before="0"/>
              <w:jc w:val="right"/>
              <w:rPr>
                <w:rFonts w:cs="Calibri"/>
                <w:sz w:val="22"/>
                <w:szCs w:val="22"/>
              </w:rPr>
            </w:pPr>
            <w:r w:rsidRPr="001314CA">
              <w:rPr>
                <w:rFonts w:cs="Calibri"/>
                <w:sz w:val="22"/>
                <w:szCs w:val="22"/>
              </w:rPr>
              <w:t>351 715,18</w:t>
            </w:r>
          </w:p>
        </w:tc>
        <w:tc>
          <w:tcPr>
            <w:tcW w:w="1418" w:type="dxa"/>
            <w:tcBorders>
              <w:top w:val="nil"/>
              <w:left w:val="single" w:sz="4" w:space="0" w:color="auto"/>
              <w:bottom w:val="nil"/>
              <w:right w:val="single" w:sz="4" w:space="0" w:color="auto"/>
            </w:tcBorders>
            <w:shd w:val="clear" w:color="auto" w:fill="auto"/>
            <w:noWrap/>
            <w:vAlign w:val="bottom"/>
            <w:hideMark/>
          </w:tcPr>
          <w:p w14:paraId="059ED0C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38BBEAD6" w14:textId="77777777" w:rsidR="00D215BD" w:rsidRPr="001314CA" w:rsidRDefault="00D215BD" w:rsidP="00D215BD">
            <w:pPr>
              <w:spacing w:before="0"/>
              <w:jc w:val="right"/>
              <w:rPr>
                <w:rFonts w:cs="Calibri"/>
                <w:sz w:val="22"/>
                <w:szCs w:val="22"/>
              </w:rPr>
            </w:pPr>
            <w:r w:rsidRPr="001314CA">
              <w:rPr>
                <w:rFonts w:cs="Calibri"/>
                <w:sz w:val="22"/>
                <w:szCs w:val="22"/>
              </w:rPr>
              <w:t>351 715,18</w:t>
            </w:r>
          </w:p>
        </w:tc>
      </w:tr>
      <w:tr w:rsidR="00D215BD" w:rsidRPr="001314CA" w14:paraId="18B9A2C8"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00F41234"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r>
            <w:proofErr w:type="spellStart"/>
            <w:r w:rsidRPr="001314CA">
              <w:rPr>
                <w:rFonts w:cs="Calibri"/>
                <w:sz w:val="22"/>
                <w:szCs w:val="22"/>
              </w:rPr>
              <w:t>TelOne</w:t>
            </w:r>
            <w:proofErr w:type="spellEnd"/>
            <w:r w:rsidRPr="001314CA">
              <w:rPr>
                <w:rFonts w:cs="Calibri"/>
                <w:sz w:val="22"/>
                <w:szCs w:val="22"/>
              </w:rPr>
              <w:t xml:space="preserve"> (</w:t>
            </w:r>
            <w:proofErr w:type="spellStart"/>
            <w:r w:rsidRPr="001314CA">
              <w:rPr>
                <w:rFonts w:cs="Calibri"/>
                <w:sz w:val="22"/>
                <w:szCs w:val="22"/>
              </w:rPr>
              <w:t>Pvt</w:t>
            </w:r>
            <w:proofErr w:type="spellEnd"/>
            <w:r w:rsidRPr="001314CA">
              <w:rPr>
                <w:rFonts w:cs="Calibri"/>
                <w:sz w:val="22"/>
                <w:szCs w:val="22"/>
              </w:rPr>
              <w:t>) Limited, Harare</w:t>
            </w:r>
          </w:p>
        </w:tc>
        <w:tc>
          <w:tcPr>
            <w:tcW w:w="1311" w:type="dxa"/>
            <w:tcBorders>
              <w:top w:val="nil"/>
              <w:left w:val="single" w:sz="4" w:space="0" w:color="auto"/>
              <w:bottom w:val="nil"/>
              <w:right w:val="single" w:sz="4" w:space="0" w:color="auto"/>
            </w:tcBorders>
            <w:shd w:val="clear" w:color="auto" w:fill="auto"/>
            <w:noWrap/>
            <w:vAlign w:val="bottom"/>
            <w:hideMark/>
          </w:tcPr>
          <w:p w14:paraId="2E6B0C44" w14:textId="77777777" w:rsidR="00D215BD" w:rsidRPr="001314CA" w:rsidRDefault="00D215BD" w:rsidP="00D215BD">
            <w:pPr>
              <w:spacing w:before="0"/>
              <w:jc w:val="center"/>
              <w:rPr>
                <w:rFonts w:cs="Calibri"/>
                <w:sz w:val="22"/>
                <w:szCs w:val="22"/>
              </w:rPr>
            </w:pPr>
            <w:r w:rsidRPr="001314CA">
              <w:rPr>
                <w:rFonts w:cs="Calibri"/>
                <w:sz w:val="22"/>
                <w:szCs w:val="22"/>
              </w:rPr>
              <w:t>2016-2018</w:t>
            </w:r>
          </w:p>
        </w:tc>
        <w:tc>
          <w:tcPr>
            <w:tcW w:w="1468" w:type="dxa"/>
            <w:tcBorders>
              <w:top w:val="nil"/>
              <w:left w:val="single" w:sz="4" w:space="0" w:color="auto"/>
              <w:bottom w:val="nil"/>
              <w:right w:val="single" w:sz="4" w:space="0" w:color="auto"/>
            </w:tcBorders>
            <w:shd w:val="clear" w:color="auto" w:fill="auto"/>
            <w:noWrap/>
            <w:vAlign w:val="bottom"/>
            <w:hideMark/>
          </w:tcPr>
          <w:p w14:paraId="5BC24918" w14:textId="77777777" w:rsidR="00D215BD" w:rsidRPr="001314CA" w:rsidRDefault="00D215BD" w:rsidP="00D215BD">
            <w:pPr>
              <w:spacing w:before="0"/>
              <w:jc w:val="right"/>
              <w:rPr>
                <w:rFonts w:cs="Calibri"/>
                <w:sz w:val="22"/>
                <w:szCs w:val="22"/>
              </w:rPr>
            </w:pPr>
            <w:r w:rsidRPr="001314CA">
              <w:rPr>
                <w:rFonts w:cs="Calibri"/>
                <w:sz w:val="22"/>
                <w:szCs w:val="22"/>
              </w:rPr>
              <w:t>80 282,40</w:t>
            </w:r>
          </w:p>
        </w:tc>
        <w:tc>
          <w:tcPr>
            <w:tcW w:w="1418" w:type="dxa"/>
            <w:tcBorders>
              <w:top w:val="nil"/>
              <w:left w:val="single" w:sz="4" w:space="0" w:color="auto"/>
              <w:bottom w:val="nil"/>
              <w:right w:val="single" w:sz="4" w:space="0" w:color="auto"/>
            </w:tcBorders>
            <w:shd w:val="clear" w:color="auto" w:fill="auto"/>
            <w:noWrap/>
            <w:vAlign w:val="bottom"/>
            <w:hideMark/>
          </w:tcPr>
          <w:p w14:paraId="477B127F"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57815C2A" w14:textId="77777777" w:rsidR="00D215BD" w:rsidRPr="001314CA" w:rsidRDefault="00D215BD" w:rsidP="00D215BD">
            <w:pPr>
              <w:spacing w:before="0"/>
              <w:jc w:val="right"/>
              <w:rPr>
                <w:rFonts w:cs="Calibri"/>
                <w:sz w:val="22"/>
                <w:szCs w:val="22"/>
              </w:rPr>
            </w:pPr>
            <w:r w:rsidRPr="001314CA">
              <w:rPr>
                <w:rFonts w:cs="Calibri"/>
                <w:sz w:val="22"/>
                <w:szCs w:val="22"/>
              </w:rPr>
              <w:t>80 282,40</w:t>
            </w:r>
          </w:p>
        </w:tc>
      </w:tr>
      <w:tr w:rsidR="00D215BD" w:rsidRPr="001314CA" w14:paraId="20F4A824"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24A69F3C"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Université du Zimbabwe, Harare</w:t>
            </w:r>
          </w:p>
        </w:tc>
        <w:tc>
          <w:tcPr>
            <w:tcW w:w="1311" w:type="dxa"/>
            <w:tcBorders>
              <w:top w:val="nil"/>
              <w:left w:val="single" w:sz="4" w:space="0" w:color="auto"/>
              <w:bottom w:val="nil"/>
              <w:right w:val="single" w:sz="4" w:space="0" w:color="auto"/>
            </w:tcBorders>
            <w:shd w:val="clear" w:color="auto" w:fill="auto"/>
            <w:noWrap/>
            <w:vAlign w:val="bottom"/>
            <w:hideMark/>
          </w:tcPr>
          <w:p w14:paraId="27378CB3" w14:textId="77777777" w:rsidR="00D215BD" w:rsidRPr="001314CA" w:rsidRDefault="00D215BD" w:rsidP="00D215BD">
            <w:pPr>
              <w:spacing w:before="0"/>
              <w:jc w:val="center"/>
              <w:rPr>
                <w:rFonts w:cs="Calibri"/>
                <w:sz w:val="22"/>
                <w:szCs w:val="22"/>
              </w:rPr>
            </w:pPr>
            <w:r w:rsidRPr="001314CA">
              <w:rPr>
                <w:rFonts w:cs="Calibri"/>
                <w:sz w:val="22"/>
                <w:szCs w:val="22"/>
              </w:rPr>
              <w:t>2008-2009</w:t>
            </w:r>
          </w:p>
        </w:tc>
        <w:tc>
          <w:tcPr>
            <w:tcW w:w="1468" w:type="dxa"/>
            <w:tcBorders>
              <w:top w:val="nil"/>
              <w:left w:val="single" w:sz="4" w:space="0" w:color="auto"/>
              <w:bottom w:val="nil"/>
              <w:right w:val="single" w:sz="4" w:space="0" w:color="auto"/>
            </w:tcBorders>
            <w:shd w:val="clear" w:color="auto" w:fill="auto"/>
            <w:noWrap/>
            <w:vAlign w:val="bottom"/>
            <w:hideMark/>
          </w:tcPr>
          <w:p w14:paraId="191D88F2" w14:textId="77777777" w:rsidR="00D215BD" w:rsidRPr="001314CA" w:rsidRDefault="00D215BD" w:rsidP="00D215BD">
            <w:pPr>
              <w:spacing w:before="0"/>
              <w:jc w:val="right"/>
              <w:rPr>
                <w:rFonts w:cs="Calibri"/>
                <w:sz w:val="22"/>
                <w:szCs w:val="22"/>
              </w:rPr>
            </w:pPr>
            <w:r w:rsidRPr="001314CA">
              <w:rPr>
                <w:rFonts w:cs="Calibri"/>
                <w:sz w:val="22"/>
                <w:szCs w:val="22"/>
              </w:rPr>
              <w:t>25 209,85</w:t>
            </w:r>
          </w:p>
        </w:tc>
        <w:tc>
          <w:tcPr>
            <w:tcW w:w="1418" w:type="dxa"/>
            <w:tcBorders>
              <w:top w:val="nil"/>
              <w:left w:val="single" w:sz="4" w:space="0" w:color="auto"/>
              <w:bottom w:val="nil"/>
              <w:right w:val="single" w:sz="4" w:space="0" w:color="auto"/>
            </w:tcBorders>
            <w:shd w:val="clear" w:color="auto" w:fill="auto"/>
            <w:noWrap/>
            <w:vAlign w:val="bottom"/>
            <w:hideMark/>
          </w:tcPr>
          <w:p w14:paraId="1D1B5E32"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3DF95312" w14:textId="77777777" w:rsidR="00D215BD" w:rsidRPr="001314CA" w:rsidRDefault="00D215BD" w:rsidP="00D215BD">
            <w:pPr>
              <w:spacing w:before="0"/>
              <w:jc w:val="right"/>
              <w:rPr>
                <w:rFonts w:cs="Calibri"/>
                <w:sz w:val="22"/>
                <w:szCs w:val="22"/>
              </w:rPr>
            </w:pPr>
            <w:r w:rsidRPr="001314CA">
              <w:rPr>
                <w:rFonts w:cs="Calibri"/>
                <w:sz w:val="22"/>
                <w:szCs w:val="22"/>
              </w:rPr>
              <w:t>25 209,85</w:t>
            </w:r>
          </w:p>
        </w:tc>
      </w:tr>
      <w:tr w:rsidR="00D215BD" w:rsidRPr="001314CA" w14:paraId="71409954"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64E3354F" w14:textId="77777777" w:rsidR="00D215BD" w:rsidRPr="001314CA" w:rsidRDefault="00D215BD" w:rsidP="00D215BD">
            <w:pPr>
              <w:tabs>
                <w:tab w:val="clear" w:pos="567"/>
              </w:tabs>
              <w:spacing w:before="0"/>
              <w:rPr>
                <w:rFonts w:cs="Calibri"/>
                <w:b/>
                <w:bCs/>
                <w:sz w:val="22"/>
                <w:szCs w:val="22"/>
              </w:rPr>
            </w:pPr>
            <w:r w:rsidRPr="001314CA">
              <w:rPr>
                <w:rFonts w:cs="Calibri"/>
                <w:b/>
                <w:bCs/>
                <w:sz w:val="22"/>
                <w:szCs w:val="22"/>
              </w:rPr>
              <w:t>État de Palestine (Résolution 99 (Rév. Dubaï 2018))</w:t>
            </w:r>
          </w:p>
        </w:tc>
        <w:tc>
          <w:tcPr>
            <w:tcW w:w="1311" w:type="dxa"/>
            <w:tcBorders>
              <w:top w:val="nil"/>
              <w:left w:val="single" w:sz="4" w:space="0" w:color="auto"/>
              <w:bottom w:val="nil"/>
              <w:right w:val="single" w:sz="4" w:space="0" w:color="auto"/>
            </w:tcBorders>
            <w:shd w:val="clear" w:color="auto" w:fill="auto"/>
            <w:noWrap/>
            <w:vAlign w:val="bottom"/>
            <w:hideMark/>
          </w:tcPr>
          <w:p w14:paraId="7B80F56E" w14:textId="77777777" w:rsidR="00D215BD" w:rsidRPr="001314CA" w:rsidRDefault="00D215BD" w:rsidP="00D215BD">
            <w:pPr>
              <w:spacing w:before="0"/>
              <w:rPr>
                <w:rFonts w:cs="Calibri"/>
                <w:b/>
                <w:bCs/>
                <w:sz w:val="22"/>
                <w:szCs w:val="22"/>
              </w:rPr>
            </w:pPr>
          </w:p>
        </w:tc>
        <w:tc>
          <w:tcPr>
            <w:tcW w:w="1468" w:type="dxa"/>
            <w:tcBorders>
              <w:top w:val="nil"/>
              <w:left w:val="single" w:sz="4" w:space="0" w:color="auto"/>
              <w:bottom w:val="nil"/>
              <w:right w:val="single" w:sz="4" w:space="0" w:color="auto"/>
            </w:tcBorders>
            <w:shd w:val="clear" w:color="auto" w:fill="auto"/>
            <w:noWrap/>
            <w:vAlign w:val="bottom"/>
            <w:hideMark/>
          </w:tcPr>
          <w:p w14:paraId="1D548615" w14:textId="77777777" w:rsidR="00D215BD" w:rsidRPr="001314CA" w:rsidRDefault="00D215BD" w:rsidP="00D215BD">
            <w:pPr>
              <w:spacing w:before="0"/>
              <w:jc w:val="cente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4EA896B0" w14:textId="77777777" w:rsidR="00D215BD" w:rsidRPr="001314CA" w:rsidRDefault="00D215BD" w:rsidP="00D215BD">
            <w:pPr>
              <w:spacing w:before="0"/>
              <w:rPr>
                <w:rFonts w:ascii="Times New Roman" w:hAnsi="Times New Roman"/>
                <w:sz w:val="22"/>
                <w:szCs w:val="22"/>
              </w:rPr>
            </w:pPr>
          </w:p>
        </w:tc>
        <w:tc>
          <w:tcPr>
            <w:tcW w:w="1275" w:type="dxa"/>
            <w:tcBorders>
              <w:top w:val="nil"/>
              <w:left w:val="single" w:sz="4" w:space="0" w:color="auto"/>
              <w:bottom w:val="nil"/>
              <w:right w:val="single" w:sz="4" w:space="0" w:color="auto"/>
            </w:tcBorders>
            <w:shd w:val="clear" w:color="auto" w:fill="auto"/>
            <w:noWrap/>
            <w:vAlign w:val="bottom"/>
            <w:hideMark/>
          </w:tcPr>
          <w:p w14:paraId="34A9CD95" w14:textId="77777777" w:rsidR="00D215BD" w:rsidRPr="001314CA" w:rsidRDefault="00D215BD" w:rsidP="00D215BD">
            <w:pPr>
              <w:spacing w:before="0"/>
              <w:rPr>
                <w:rFonts w:ascii="Times New Roman" w:hAnsi="Times New Roman"/>
                <w:sz w:val="22"/>
                <w:szCs w:val="22"/>
              </w:rPr>
            </w:pPr>
          </w:p>
        </w:tc>
      </w:tr>
      <w:tr w:rsidR="00D215BD" w:rsidRPr="001314CA" w14:paraId="2456B2BA" w14:textId="77777777" w:rsidTr="00D215BD">
        <w:trPr>
          <w:trHeight w:val="300"/>
          <w:jc w:val="center"/>
        </w:trPr>
        <w:tc>
          <w:tcPr>
            <w:tcW w:w="4729" w:type="dxa"/>
            <w:tcBorders>
              <w:top w:val="nil"/>
              <w:left w:val="single" w:sz="4" w:space="0" w:color="auto"/>
              <w:bottom w:val="nil"/>
              <w:right w:val="single" w:sz="4" w:space="0" w:color="auto"/>
            </w:tcBorders>
            <w:shd w:val="clear" w:color="auto" w:fill="auto"/>
            <w:vAlign w:val="bottom"/>
            <w:hideMark/>
          </w:tcPr>
          <w:p w14:paraId="5647214D" w14:textId="77777777" w:rsidR="00D215BD" w:rsidRPr="00513163" w:rsidRDefault="00D215BD" w:rsidP="00D215BD">
            <w:pPr>
              <w:tabs>
                <w:tab w:val="clear" w:pos="567"/>
              </w:tabs>
              <w:spacing w:before="0"/>
              <w:ind w:left="317" w:hanging="317"/>
              <w:rPr>
                <w:rFonts w:cs="Calibri"/>
                <w:sz w:val="22"/>
                <w:szCs w:val="22"/>
                <w:lang w:val="en-US"/>
              </w:rPr>
            </w:pPr>
            <w:r w:rsidRPr="00513163">
              <w:rPr>
                <w:rFonts w:cs="Calibri"/>
                <w:sz w:val="22"/>
                <w:szCs w:val="22"/>
                <w:lang w:val="en-US"/>
              </w:rPr>
              <w:t>–</w:t>
            </w:r>
            <w:r w:rsidRPr="00513163">
              <w:rPr>
                <w:rFonts w:cs="Calibri"/>
                <w:sz w:val="22"/>
                <w:szCs w:val="22"/>
                <w:lang w:val="en-US"/>
              </w:rPr>
              <w:tab/>
              <w:t>BCI Communications &amp; Advanced Technology, Ramallah</w:t>
            </w:r>
          </w:p>
        </w:tc>
        <w:tc>
          <w:tcPr>
            <w:tcW w:w="1311" w:type="dxa"/>
            <w:tcBorders>
              <w:top w:val="nil"/>
              <w:left w:val="single" w:sz="4" w:space="0" w:color="auto"/>
              <w:bottom w:val="nil"/>
              <w:right w:val="single" w:sz="4" w:space="0" w:color="auto"/>
            </w:tcBorders>
            <w:shd w:val="clear" w:color="auto" w:fill="auto"/>
            <w:noWrap/>
            <w:vAlign w:val="bottom"/>
            <w:hideMark/>
          </w:tcPr>
          <w:p w14:paraId="01D5757F" w14:textId="77777777" w:rsidR="00D215BD" w:rsidRPr="001314CA" w:rsidRDefault="00D215BD" w:rsidP="00D215BD">
            <w:pPr>
              <w:spacing w:before="0"/>
              <w:jc w:val="center"/>
              <w:rPr>
                <w:rFonts w:cs="Calibri"/>
                <w:sz w:val="22"/>
                <w:szCs w:val="22"/>
              </w:rPr>
            </w:pPr>
            <w:r w:rsidRPr="001314CA">
              <w:rPr>
                <w:rFonts w:cs="Calibri"/>
                <w:sz w:val="22"/>
                <w:szCs w:val="22"/>
              </w:rPr>
              <w:t>2007-2008</w:t>
            </w:r>
          </w:p>
        </w:tc>
        <w:tc>
          <w:tcPr>
            <w:tcW w:w="1468" w:type="dxa"/>
            <w:tcBorders>
              <w:top w:val="nil"/>
              <w:left w:val="single" w:sz="4" w:space="0" w:color="auto"/>
              <w:bottom w:val="nil"/>
              <w:right w:val="single" w:sz="4" w:space="0" w:color="auto"/>
            </w:tcBorders>
            <w:shd w:val="clear" w:color="auto" w:fill="auto"/>
            <w:noWrap/>
            <w:vAlign w:val="bottom"/>
            <w:hideMark/>
          </w:tcPr>
          <w:p w14:paraId="7509398A" w14:textId="77777777" w:rsidR="00D215BD" w:rsidRPr="001314CA" w:rsidRDefault="00D215BD" w:rsidP="00D215BD">
            <w:pPr>
              <w:spacing w:before="0"/>
              <w:jc w:val="right"/>
              <w:rPr>
                <w:rFonts w:cs="Calibri"/>
                <w:sz w:val="22"/>
                <w:szCs w:val="22"/>
              </w:rPr>
            </w:pPr>
            <w:r w:rsidRPr="001314CA">
              <w:rPr>
                <w:rFonts w:cs="Calibri"/>
                <w:sz w:val="22"/>
                <w:szCs w:val="22"/>
              </w:rPr>
              <w:t>10 418,25</w:t>
            </w:r>
          </w:p>
        </w:tc>
        <w:tc>
          <w:tcPr>
            <w:tcW w:w="1418" w:type="dxa"/>
            <w:tcBorders>
              <w:top w:val="nil"/>
              <w:left w:val="single" w:sz="4" w:space="0" w:color="auto"/>
              <w:bottom w:val="nil"/>
              <w:right w:val="single" w:sz="4" w:space="0" w:color="auto"/>
            </w:tcBorders>
            <w:shd w:val="clear" w:color="auto" w:fill="auto"/>
            <w:noWrap/>
            <w:vAlign w:val="bottom"/>
            <w:hideMark/>
          </w:tcPr>
          <w:p w14:paraId="7DF14A02"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nil"/>
              <w:right w:val="single" w:sz="4" w:space="0" w:color="auto"/>
            </w:tcBorders>
            <w:shd w:val="clear" w:color="auto" w:fill="auto"/>
            <w:noWrap/>
            <w:vAlign w:val="bottom"/>
            <w:hideMark/>
          </w:tcPr>
          <w:p w14:paraId="2CB12EA1" w14:textId="77777777" w:rsidR="00D215BD" w:rsidRPr="001314CA" w:rsidRDefault="00D215BD" w:rsidP="00D215BD">
            <w:pPr>
              <w:spacing w:before="0"/>
              <w:jc w:val="right"/>
              <w:rPr>
                <w:rFonts w:cs="Calibri"/>
                <w:sz w:val="22"/>
                <w:szCs w:val="22"/>
              </w:rPr>
            </w:pPr>
            <w:r w:rsidRPr="001314CA">
              <w:rPr>
                <w:rFonts w:cs="Calibri"/>
                <w:sz w:val="22"/>
                <w:szCs w:val="22"/>
              </w:rPr>
              <w:t>10 418,25</w:t>
            </w:r>
          </w:p>
        </w:tc>
      </w:tr>
      <w:tr w:rsidR="00D215BD" w:rsidRPr="001314CA" w14:paraId="15CD6544" w14:textId="77777777" w:rsidTr="00D215BD">
        <w:trPr>
          <w:trHeight w:val="300"/>
          <w:jc w:val="center"/>
        </w:trPr>
        <w:tc>
          <w:tcPr>
            <w:tcW w:w="4729" w:type="dxa"/>
            <w:tcBorders>
              <w:top w:val="nil"/>
              <w:left w:val="single" w:sz="4" w:space="0" w:color="auto"/>
              <w:bottom w:val="single" w:sz="4" w:space="0" w:color="auto"/>
              <w:right w:val="single" w:sz="4" w:space="0" w:color="auto"/>
            </w:tcBorders>
            <w:shd w:val="clear" w:color="auto" w:fill="auto"/>
            <w:vAlign w:val="bottom"/>
            <w:hideMark/>
          </w:tcPr>
          <w:p w14:paraId="2D13540D" w14:textId="77777777" w:rsidR="00D215BD" w:rsidRPr="001314CA" w:rsidRDefault="00D215BD" w:rsidP="00D215BD">
            <w:pPr>
              <w:tabs>
                <w:tab w:val="clear" w:pos="567"/>
              </w:tabs>
              <w:spacing w:before="0"/>
              <w:ind w:left="317" w:hanging="317"/>
              <w:rPr>
                <w:rFonts w:cs="Calibri"/>
                <w:sz w:val="22"/>
                <w:szCs w:val="22"/>
              </w:rPr>
            </w:pPr>
            <w:r w:rsidRPr="001314CA">
              <w:rPr>
                <w:rFonts w:cs="Calibri"/>
                <w:sz w:val="22"/>
                <w:szCs w:val="22"/>
              </w:rPr>
              <w:t>–</w:t>
            </w:r>
            <w:r w:rsidRPr="001314CA">
              <w:rPr>
                <w:rFonts w:cs="Calibri"/>
                <w:sz w:val="22"/>
                <w:szCs w:val="22"/>
              </w:rPr>
              <w:tab/>
              <w:t xml:space="preserve">Université technique de l'État de Palestine, </w:t>
            </w:r>
            <w:proofErr w:type="spellStart"/>
            <w:r w:rsidRPr="001314CA">
              <w:rPr>
                <w:rFonts w:cs="Calibri"/>
                <w:sz w:val="22"/>
                <w:szCs w:val="22"/>
              </w:rPr>
              <w:t>Tulkarem</w:t>
            </w:r>
            <w:proofErr w:type="spellEnd"/>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598C3F54" w14:textId="77777777" w:rsidR="00D215BD" w:rsidRPr="001314CA" w:rsidRDefault="00D215BD" w:rsidP="00D215BD">
            <w:pPr>
              <w:spacing w:before="0"/>
              <w:jc w:val="center"/>
              <w:rPr>
                <w:rFonts w:cs="Calibri"/>
                <w:sz w:val="22"/>
                <w:szCs w:val="22"/>
              </w:rPr>
            </w:pPr>
            <w:r w:rsidRPr="001314CA">
              <w:rPr>
                <w:rFonts w:cs="Calibri"/>
                <w:sz w:val="22"/>
                <w:szCs w:val="22"/>
              </w:rPr>
              <w:t>2019</w:t>
            </w:r>
          </w:p>
        </w:tc>
        <w:tc>
          <w:tcPr>
            <w:tcW w:w="1468" w:type="dxa"/>
            <w:tcBorders>
              <w:top w:val="nil"/>
              <w:left w:val="single" w:sz="4" w:space="0" w:color="auto"/>
              <w:bottom w:val="single" w:sz="4" w:space="0" w:color="auto"/>
              <w:right w:val="single" w:sz="4" w:space="0" w:color="auto"/>
            </w:tcBorders>
            <w:shd w:val="clear" w:color="auto" w:fill="auto"/>
            <w:noWrap/>
            <w:vAlign w:val="bottom"/>
            <w:hideMark/>
          </w:tcPr>
          <w:p w14:paraId="746653BA"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4A6FB16"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4FB3FD9" w14:textId="77777777" w:rsidR="00D215BD" w:rsidRPr="001314CA" w:rsidRDefault="00D215BD" w:rsidP="00D215BD">
            <w:pPr>
              <w:spacing w:before="0"/>
              <w:jc w:val="right"/>
              <w:rPr>
                <w:rFonts w:cs="Calibri"/>
                <w:sz w:val="22"/>
                <w:szCs w:val="22"/>
              </w:rPr>
            </w:pPr>
            <w:r w:rsidRPr="001314CA">
              <w:rPr>
                <w:rFonts w:cs="Calibri"/>
                <w:sz w:val="22"/>
                <w:szCs w:val="22"/>
              </w:rPr>
              <w:t>2 185,75</w:t>
            </w:r>
          </w:p>
        </w:tc>
      </w:tr>
      <w:tr w:rsidR="00D215BD" w:rsidRPr="001314CA" w14:paraId="0E600540" w14:textId="77777777" w:rsidTr="00D215BD">
        <w:trPr>
          <w:trHeight w:val="300"/>
          <w:jc w:val="center"/>
        </w:trPr>
        <w:tc>
          <w:tcPr>
            <w:tcW w:w="4729" w:type="dxa"/>
            <w:tcBorders>
              <w:top w:val="single" w:sz="4" w:space="0" w:color="auto"/>
              <w:left w:val="single" w:sz="4" w:space="0" w:color="auto"/>
              <w:bottom w:val="single" w:sz="4" w:space="0" w:color="auto"/>
              <w:right w:val="nil"/>
            </w:tcBorders>
            <w:shd w:val="clear" w:color="auto" w:fill="auto"/>
            <w:vAlign w:val="bottom"/>
            <w:hideMark/>
          </w:tcPr>
          <w:p w14:paraId="03B297BB" w14:textId="77777777" w:rsidR="00D215BD" w:rsidRPr="001314CA" w:rsidRDefault="00D215BD" w:rsidP="00D215BD">
            <w:pPr>
              <w:spacing w:before="0"/>
              <w:jc w:val="right"/>
              <w:rPr>
                <w:rFonts w:cs="Calibri"/>
                <w:sz w:val="22"/>
                <w:szCs w:val="22"/>
              </w:rPr>
            </w:pP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757392FC" w14:textId="77777777" w:rsidR="00D215BD" w:rsidRPr="001314CA" w:rsidRDefault="00D215BD" w:rsidP="00D215BD">
            <w:pPr>
              <w:spacing w:before="0"/>
              <w:rPr>
                <w:rFonts w:ascii="Times New Roman" w:hAnsi="Times New Roman"/>
                <w:sz w:val="22"/>
                <w:szCs w:val="22"/>
              </w:rPr>
            </w:pP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B445" w14:textId="77777777" w:rsidR="00D215BD" w:rsidRPr="001314CA" w:rsidRDefault="00D215BD" w:rsidP="00D215BD">
            <w:pPr>
              <w:spacing w:before="0"/>
              <w:jc w:val="right"/>
              <w:rPr>
                <w:rFonts w:cs="Calibri"/>
                <w:sz w:val="22"/>
                <w:szCs w:val="22"/>
              </w:rPr>
            </w:pPr>
            <w:r w:rsidRPr="001314CA">
              <w:rPr>
                <w:rFonts w:cs="Calibri"/>
                <w:sz w:val="22"/>
                <w:szCs w:val="22"/>
              </w:rPr>
              <w:t>9 339 206,35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2BC77" w14:textId="77777777" w:rsidR="00D215BD" w:rsidRPr="001314CA" w:rsidRDefault="00D215BD" w:rsidP="00D215BD">
            <w:pPr>
              <w:spacing w:before="0"/>
              <w:jc w:val="right"/>
              <w:rPr>
                <w:rFonts w:cs="Calibri"/>
                <w:sz w:val="22"/>
                <w:szCs w:val="22"/>
              </w:rPr>
            </w:pPr>
            <w:r w:rsidRPr="001314CA">
              <w:rPr>
                <w:rFonts w:cs="Calibri"/>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515BE" w14:textId="77777777" w:rsidR="00D215BD" w:rsidRPr="001314CA" w:rsidRDefault="00D215BD" w:rsidP="00D215BD">
            <w:pPr>
              <w:spacing w:before="0"/>
              <w:jc w:val="right"/>
              <w:rPr>
                <w:rFonts w:cs="Calibri"/>
                <w:sz w:val="22"/>
                <w:szCs w:val="22"/>
              </w:rPr>
            </w:pPr>
            <w:r w:rsidRPr="001314CA">
              <w:rPr>
                <w:rFonts w:cs="Calibri"/>
                <w:sz w:val="22"/>
                <w:szCs w:val="22"/>
              </w:rPr>
              <w:t>9 339 206,35</w:t>
            </w:r>
          </w:p>
        </w:tc>
      </w:tr>
    </w:tbl>
    <w:p w14:paraId="14B6190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p>
    <w:tbl>
      <w:tblPr>
        <w:tblW w:w="10211" w:type="dxa"/>
        <w:jc w:val="center"/>
        <w:tblLook w:val="04A0" w:firstRow="1" w:lastRow="0" w:firstColumn="1" w:lastColumn="0" w:noHBand="0" w:noVBand="1"/>
      </w:tblPr>
      <w:tblGrid>
        <w:gridCol w:w="4678"/>
        <w:gridCol w:w="1413"/>
        <w:gridCol w:w="1468"/>
        <w:gridCol w:w="1418"/>
        <w:gridCol w:w="1285"/>
      </w:tblGrid>
      <w:tr w:rsidR="00D215BD" w:rsidRPr="001314CA" w14:paraId="78D9D7D9" w14:textId="77777777" w:rsidTr="00D215BD">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B04E6" w14:textId="77777777" w:rsidR="00D215BD" w:rsidRPr="001314CA" w:rsidRDefault="00D215BD" w:rsidP="00D215BD">
            <w:pPr>
              <w:spacing w:after="120"/>
              <w:rPr>
                <w:rFonts w:cs="Calibri"/>
                <w:b/>
                <w:bCs/>
                <w:sz w:val="22"/>
                <w:szCs w:val="22"/>
              </w:rPr>
            </w:pPr>
            <w:r w:rsidRPr="001314CA">
              <w:rPr>
                <w:b/>
                <w:sz w:val="22"/>
                <w:szCs w:val="22"/>
              </w:rPr>
              <w:t>C</w:t>
            </w:r>
            <w:r w:rsidRPr="001314CA">
              <w:rPr>
                <w:b/>
                <w:sz w:val="22"/>
                <w:szCs w:val="22"/>
              </w:rPr>
              <w:tab/>
              <w:t>Autres débiteurs</w:t>
            </w:r>
          </w:p>
        </w:tc>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5B27BFD9" w14:textId="77777777" w:rsidR="00D215BD" w:rsidRPr="001314CA" w:rsidRDefault="00D215BD" w:rsidP="00D215BD">
            <w:pPr>
              <w:jc w:val="center"/>
              <w:rPr>
                <w:rFonts w:cs="Calibri"/>
                <w:b/>
                <w:bCs/>
                <w:sz w:val="22"/>
                <w:szCs w:val="22"/>
              </w:rPr>
            </w:pPr>
            <w:r w:rsidRPr="001314CA">
              <w:rPr>
                <w:b/>
                <w:sz w:val="22"/>
                <w:szCs w:val="22"/>
              </w:rPr>
              <w:t>Année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EF7CEF0" w14:textId="77777777" w:rsidR="00D215BD" w:rsidRPr="001314CA" w:rsidRDefault="00D215BD" w:rsidP="00D215BD">
            <w:pPr>
              <w:jc w:val="center"/>
              <w:rPr>
                <w:rFonts w:cs="Calibri"/>
                <w:b/>
                <w:bCs/>
                <w:sz w:val="22"/>
                <w:szCs w:val="22"/>
              </w:rPr>
            </w:pPr>
            <w:r w:rsidRPr="001314CA">
              <w:rPr>
                <w:b/>
                <w:sz w:val="22"/>
                <w:szCs w:val="22"/>
              </w:rPr>
              <w:t>Contributions</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3CA7E45" w14:textId="77777777" w:rsidR="00D215BD" w:rsidRPr="001314CA" w:rsidRDefault="00D215BD" w:rsidP="00D215BD">
            <w:pPr>
              <w:jc w:val="center"/>
              <w:rPr>
                <w:rFonts w:cs="Calibri"/>
                <w:b/>
                <w:bCs/>
                <w:sz w:val="22"/>
                <w:szCs w:val="22"/>
              </w:rPr>
            </w:pPr>
            <w:r w:rsidRPr="001314CA">
              <w:rPr>
                <w:b/>
                <w:sz w:val="22"/>
                <w:szCs w:val="22"/>
              </w:rPr>
              <w:t>Publications</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14:paraId="2A5ACF92" w14:textId="77777777" w:rsidR="00D215BD" w:rsidRPr="001314CA" w:rsidRDefault="00D215BD" w:rsidP="00D215BD">
            <w:pPr>
              <w:jc w:val="center"/>
              <w:rPr>
                <w:rFonts w:cs="Calibri"/>
                <w:b/>
                <w:bCs/>
                <w:sz w:val="22"/>
                <w:szCs w:val="22"/>
              </w:rPr>
            </w:pPr>
            <w:r w:rsidRPr="001314CA">
              <w:rPr>
                <w:b/>
                <w:sz w:val="22"/>
                <w:szCs w:val="22"/>
              </w:rPr>
              <w:t>Total</w:t>
            </w:r>
          </w:p>
        </w:tc>
      </w:tr>
      <w:tr w:rsidR="00D215BD" w:rsidRPr="001314CA" w14:paraId="127265D0" w14:textId="77777777" w:rsidTr="00D215BD">
        <w:trPr>
          <w:trHeight w:val="300"/>
          <w:jc w:val="center"/>
        </w:trPr>
        <w:tc>
          <w:tcPr>
            <w:tcW w:w="4678" w:type="dxa"/>
            <w:tcBorders>
              <w:top w:val="single" w:sz="4" w:space="0" w:color="auto"/>
              <w:left w:val="single" w:sz="4" w:space="0" w:color="auto"/>
              <w:bottom w:val="nil"/>
              <w:right w:val="single" w:sz="4" w:space="0" w:color="auto"/>
            </w:tcBorders>
            <w:shd w:val="clear" w:color="auto" w:fill="auto"/>
            <w:vAlign w:val="bottom"/>
            <w:hideMark/>
          </w:tcPr>
          <w:p w14:paraId="583A886E" w14:textId="77777777" w:rsidR="00D215BD" w:rsidRPr="001314CA" w:rsidRDefault="00D215BD" w:rsidP="00D215BD">
            <w:pPr>
              <w:jc w:val="center"/>
              <w:rPr>
                <w:rFonts w:cs="Calibri"/>
                <w:b/>
                <w:bCs/>
                <w:sz w:val="22"/>
                <w:szCs w:val="22"/>
              </w:rPr>
            </w:pPr>
          </w:p>
        </w:tc>
        <w:tc>
          <w:tcPr>
            <w:tcW w:w="1413" w:type="dxa"/>
            <w:tcBorders>
              <w:top w:val="single" w:sz="4" w:space="0" w:color="auto"/>
              <w:left w:val="single" w:sz="4" w:space="0" w:color="auto"/>
              <w:bottom w:val="nil"/>
              <w:right w:val="single" w:sz="4" w:space="0" w:color="auto"/>
            </w:tcBorders>
            <w:shd w:val="clear" w:color="auto" w:fill="auto"/>
            <w:noWrap/>
            <w:vAlign w:val="bottom"/>
            <w:hideMark/>
          </w:tcPr>
          <w:p w14:paraId="5890D3AE" w14:textId="77777777" w:rsidR="00D215BD" w:rsidRPr="001314CA" w:rsidRDefault="00D215BD" w:rsidP="00D215BD">
            <w:pPr>
              <w:rPr>
                <w:rFonts w:ascii="Times New Roman" w:hAnsi="Times New Roman"/>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47158D62" w14:textId="77777777" w:rsidR="00D215BD" w:rsidRPr="001314CA" w:rsidRDefault="00D215BD" w:rsidP="00D215BD">
            <w:pPr>
              <w:rPr>
                <w:rFonts w:ascii="Times New Roman" w:hAnsi="Times New Roman"/>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14:paraId="20DDB3E8" w14:textId="77777777" w:rsidR="00D215BD" w:rsidRPr="001314CA" w:rsidRDefault="00D215BD" w:rsidP="00D215BD">
            <w:pPr>
              <w:rPr>
                <w:rFonts w:ascii="Times New Roman" w:hAnsi="Times New Roman"/>
                <w:sz w:val="22"/>
                <w:szCs w:val="22"/>
              </w:rPr>
            </w:pPr>
          </w:p>
        </w:tc>
        <w:tc>
          <w:tcPr>
            <w:tcW w:w="1285" w:type="dxa"/>
            <w:tcBorders>
              <w:top w:val="single" w:sz="4" w:space="0" w:color="auto"/>
              <w:left w:val="single" w:sz="4" w:space="0" w:color="auto"/>
              <w:bottom w:val="nil"/>
              <w:right w:val="single" w:sz="4" w:space="0" w:color="auto"/>
            </w:tcBorders>
            <w:shd w:val="clear" w:color="auto" w:fill="auto"/>
            <w:noWrap/>
            <w:vAlign w:val="bottom"/>
            <w:hideMark/>
          </w:tcPr>
          <w:p w14:paraId="744B93CF" w14:textId="77777777" w:rsidR="00D215BD" w:rsidRPr="001314CA" w:rsidRDefault="00D215BD" w:rsidP="00D215BD">
            <w:pPr>
              <w:rPr>
                <w:rFonts w:ascii="Times New Roman" w:hAnsi="Times New Roman"/>
                <w:sz w:val="22"/>
                <w:szCs w:val="22"/>
              </w:rPr>
            </w:pPr>
          </w:p>
        </w:tc>
      </w:tr>
      <w:tr w:rsidR="00D215BD" w:rsidRPr="001314CA" w14:paraId="4FDA839E" w14:textId="77777777" w:rsidTr="00D215BD">
        <w:trPr>
          <w:trHeight w:val="300"/>
          <w:jc w:val="center"/>
        </w:trPr>
        <w:tc>
          <w:tcPr>
            <w:tcW w:w="4678" w:type="dxa"/>
            <w:tcBorders>
              <w:top w:val="nil"/>
              <w:left w:val="single" w:sz="4" w:space="0" w:color="auto"/>
              <w:bottom w:val="nil"/>
              <w:right w:val="single" w:sz="4" w:space="0" w:color="auto"/>
            </w:tcBorders>
            <w:shd w:val="clear" w:color="auto" w:fill="auto"/>
            <w:vAlign w:val="bottom"/>
            <w:hideMark/>
          </w:tcPr>
          <w:p w14:paraId="49B8888C" w14:textId="77777777" w:rsidR="00D215BD" w:rsidRPr="001314CA" w:rsidRDefault="00D215BD" w:rsidP="00D215BD">
            <w:pPr>
              <w:tabs>
                <w:tab w:val="clear" w:pos="567"/>
              </w:tabs>
              <w:ind w:left="317" w:hanging="317"/>
              <w:rPr>
                <w:rFonts w:cs="Calibri"/>
                <w:sz w:val="22"/>
                <w:szCs w:val="22"/>
              </w:rPr>
            </w:pPr>
            <w:r w:rsidRPr="001314CA">
              <w:rPr>
                <w:rFonts w:asciiTheme="minorHAnsi" w:eastAsia="Batang" w:hAnsiTheme="minorHAnsi"/>
                <w:sz w:val="22"/>
                <w:szCs w:val="22"/>
              </w:rPr>
              <w:t>–</w:t>
            </w:r>
            <w:r w:rsidRPr="001314CA">
              <w:rPr>
                <w:rFonts w:asciiTheme="minorHAnsi" w:eastAsia="Batang" w:hAnsiTheme="minorHAnsi"/>
                <w:sz w:val="22"/>
                <w:szCs w:val="22"/>
              </w:rPr>
              <w:tab/>
              <w:t>C &amp; C Marine Combine, Bombay</w:t>
            </w:r>
          </w:p>
        </w:tc>
        <w:tc>
          <w:tcPr>
            <w:tcW w:w="1413" w:type="dxa"/>
            <w:tcBorders>
              <w:top w:val="nil"/>
              <w:left w:val="single" w:sz="4" w:space="0" w:color="auto"/>
              <w:bottom w:val="nil"/>
              <w:right w:val="single" w:sz="4" w:space="0" w:color="auto"/>
            </w:tcBorders>
            <w:shd w:val="clear" w:color="auto" w:fill="auto"/>
            <w:noWrap/>
            <w:vAlign w:val="bottom"/>
            <w:hideMark/>
          </w:tcPr>
          <w:p w14:paraId="475B2E3D" w14:textId="77777777" w:rsidR="00D215BD" w:rsidRPr="001314CA" w:rsidRDefault="00D215BD" w:rsidP="00D215BD">
            <w:pPr>
              <w:jc w:val="center"/>
              <w:rPr>
                <w:rFonts w:cs="Calibri"/>
                <w:sz w:val="22"/>
                <w:szCs w:val="22"/>
              </w:rPr>
            </w:pPr>
            <w:r w:rsidRPr="001314CA">
              <w:rPr>
                <w:rFonts w:cs="Calibri"/>
                <w:sz w:val="22"/>
                <w:szCs w:val="22"/>
              </w:rPr>
              <w:t>2017</w:t>
            </w:r>
          </w:p>
        </w:tc>
        <w:tc>
          <w:tcPr>
            <w:tcW w:w="1417" w:type="dxa"/>
            <w:tcBorders>
              <w:top w:val="nil"/>
              <w:left w:val="single" w:sz="4" w:space="0" w:color="auto"/>
              <w:bottom w:val="nil"/>
              <w:right w:val="single" w:sz="4" w:space="0" w:color="auto"/>
            </w:tcBorders>
            <w:shd w:val="clear" w:color="auto" w:fill="auto"/>
            <w:noWrap/>
            <w:vAlign w:val="bottom"/>
            <w:hideMark/>
          </w:tcPr>
          <w:p w14:paraId="1009A9AA" w14:textId="77777777" w:rsidR="00D215BD" w:rsidRPr="001314CA" w:rsidRDefault="00D215BD" w:rsidP="00D215BD">
            <w:pPr>
              <w:jc w:val="right"/>
              <w:rPr>
                <w:rFonts w:cs="Calibri"/>
                <w:sz w:val="22"/>
                <w:szCs w:val="22"/>
              </w:rPr>
            </w:pPr>
            <w:r w:rsidRPr="001314CA">
              <w:rPr>
                <w:rFonts w:cs="Calibri"/>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14:paraId="5DBE8784" w14:textId="77777777" w:rsidR="00D215BD" w:rsidRPr="001314CA" w:rsidRDefault="00D215BD" w:rsidP="00D215BD">
            <w:pPr>
              <w:jc w:val="right"/>
              <w:rPr>
                <w:rFonts w:cs="Calibri"/>
                <w:sz w:val="22"/>
                <w:szCs w:val="22"/>
              </w:rPr>
            </w:pPr>
            <w:r w:rsidRPr="001314CA">
              <w:rPr>
                <w:rFonts w:cs="Calibri"/>
                <w:sz w:val="22"/>
                <w:szCs w:val="22"/>
              </w:rPr>
              <w:t>50 378,20</w:t>
            </w:r>
          </w:p>
        </w:tc>
        <w:tc>
          <w:tcPr>
            <w:tcW w:w="1285" w:type="dxa"/>
            <w:tcBorders>
              <w:top w:val="nil"/>
              <w:left w:val="single" w:sz="4" w:space="0" w:color="auto"/>
              <w:bottom w:val="nil"/>
              <w:right w:val="single" w:sz="4" w:space="0" w:color="auto"/>
            </w:tcBorders>
            <w:shd w:val="clear" w:color="auto" w:fill="auto"/>
            <w:noWrap/>
            <w:vAlign w:val="bottom"/>
            <w:hideMark/>
          </w:tcPr>
          <w:p w14:paraId="7161CBF6" w14:textId="77777777" w:rsidR="00D215BD" w:rsidRPr="001314CA" w:rsidRDefault="00D215BD" w:rsidP="00D215BD">
            <w:pPr>
              <w:jc w:val="right"/>
              <w:rPr>
                <w:rFonts w:cs="Calibri"/>
                <w:sz w:val="22"/>
                <w:szCs w:val="22"/>
              </w:rPr>
            </w:pPr>
            <w:r w:rsidRPr="001314CA">
              <w:rPr>
                <w:rFonts w:cs="Calibri"/>
                <w:sz w:val="22"/>
                <w:szCs w:val="22"/>
              </w:rPr>
              <w:t>50 378,20</w:t>
            </w:r>
          </w:p>
        </w:tc>
      </w:tr>
      <w:tr w:rsidR="00D215BD" w:rsidRPr="001314CA" w14:paraId="3E0B84E2" w14:textId="77777777" w:rsidTr="00D215BD">
        <w:trPr>
          <w:trHeight w:val="300"/>
          <w:jc w:val="center"/>
        </w:trPr>
        <w:tc>
          <w:tcPr>
            <w:tcW w:w="4678" w:type="dxa"/>
            <w:tcBorders>
              <w:left w:val="single" w:sz="4" w:space="0" w:color="auto"/>
              <w:right w:val="single" w:sz="4" w:space="0" w:color="auto"/>
            </w:tcBorders>
            <w:shd w:val="clear" w:color="auto" w:fill="auto"/>
            <w:vAlign w:val="bottom"/>
            <w:hideMark/>
          </w:tcPr>
          <w:p w14:paraId="0CF829EE" w14:textId="77777777" w:rsidR="00D215BD" w:rsidRPr="001314CA" w:rsidRDefault="00D215BD" w:rsidP="00D215BD">
            <w:pPr>
              <w:jc w:val="right"/>
              <w:rPr>
                <w:rFonts w:cs="Calibri"/>
                <w:sz w:val="22"/>
                <w:szCs w:val="22"/>
              </w:rPr>
            </w:pPr>
          </w:p>
        </w:tc>
        <w:tc>
          <w:tcPr>
            <w:tcW w:w="1413" w:type="dxa"/>
            <w:tcBorders>
              <w:left w:val="single" w:sz="4" w:space="0" w:color="auto"/>
              <w:right w:val="single" w:sz="4" w:space="0" w:color="auto"/>
            </w:tcBorders>
            <w:shd w:val="clear" w:color="auto" w:fill="auto"/>
            <w:noWrap/>
            <w:vAlign w:val="bottom"/>
            <w:hideMark/>
          </w:tcPr>
          <w:p w14:paraId="276D47A9" w14:textId="77777777" w:rsidR="00D215BD" w:rsidRPr="001314CA" w:rsidRDefault="00D215BD" w:rsidP="00D215BD">
            <w:pPr>
              <w:rPr>
                <w:rFonts w:ascii="Times New Roman" w:hAnsi="Times New Roman"/>
                <w:sz w:val="22"/>
                <w:szCs w:val="22"/>
              </w:rPr>
            </w:pPr>
          </w:p>
        </w:tc>
        <w:tc>
          <w:tcPr>
            <w:tcW w:w="1417" w:type="dxa"/>
            <w:tcBorders>
              <w:left w:val="single" w:sz="4" w:space="0" w:color="auto"/>
              <w:right w:val="single" w:sz="4" w:space="0" w:color="auto"/>
            </w:tcBorders>
            <w:shd w:val="clear" w:color="auto" w:fill="auto"/>
            <w:noWrap/>
            <w:vAlign w:val="bottom"/>
            <w:hideMark/>
          </w:tcPr>
          <w:p w14:paraId="2662DAB7" w14:textId="77777777" w:rsidR="00D215BD" w:rsidRPr="001314CA" w:rsidRDefault="00D215BD" w:rsidP="00D215BD">
            <w:pPr>
              <w:jc w:val="right"/>
              <w:rPr>
                <w:rFonts w:cs="Calibri"/>
                <w:sz w:val="22"/>
                <w:szCs w:val="22"/>
              </w:rPr>
            </w:pPr>
            <w:r w:rsidRPr="001314CA">
              <w:rPr>
                <w:rFonts w:cs="Calibri"/>
                <w:sz w:val="22"/>
                <w:szCs w:val="22"/>
              </w:rPr>
              <w:t>0,00</w:t>
            </w:r>
          </w:p>
        </w:tc>
        <w:tc>
          <w:tcPr>
            <w:tcW w:w="1418" w:type="dxa"/>
            <w:tcBorders>
              <w:left w:val="single" w:sz="4" w:space="0" w:color="auto"/>
              <w:right w:val="single" w:sz="4" w:space="0" w:color="auto"/>
            </w:tcBorders>
            <w:shd w:val="clear" w:color="auto" w:fill="auto"/>
            <w:noWrap/>
            <w:vAlign w:val="bottom"/>
            <w:hideMark/>
          </w:tcPr>
          <w:p w14:paraId="396D5A6D" w14:textId="77777777" w:rsidR="00D215BD" w:rsidRPr="001314CA" w:rsidRDefault="00D215BD" w:rsidP="00D215BD">
            <w:pPr>
              <w:jc w:val="right"/>
              <w:rPr>
                <w:rFonts w:cs="Calibri"/>
                <w:sz w:val="22"/>
                <w:szCs w:val="22"/>
              </w:rPr>
            </w:pPr>
            <w:r w:rsidRPr="001314CA">
              <w:rPr>
                <w:rFonts w:cs="Calibri"/>
                <w:sz w:val="22"/>
                <w:szCs w:val="22"/>
              </w:rPr>
              <w:t>50 378,20</w:t>
            </w:r>
          </w:p>
        </w:tc>
        <w:tc>
          <w:tcPr>
            <w:tcW w:w="1285" w:type="dxa"/>
            <w:tcBorders>
              <w:left w:val="single" w:sz="4" w:space="0" w:color="auto"/>
              <w:right w:val="single" w:sz="4" w:space="0" w:color="auto"/>
            </w:tcBorders>
            <w:shd w:val="clear" w:color="auto" w:fill="auto"/>
            <w:noWrap/>
            <w:vAlign w:val="bottom"/>
            <w:hideMark/>
          </w:tcPr>
          <w:p w14:paraId="3332C710" w14:textId="77777777" w:rsidR="00D215BD" w:rsidRPr="001314CA" w:rsidRDefault="00D215BD" w:rsidP="00D215BD">
            <w:pPr>
              <w:jc w:val="right"/>
              <w:rPr>
                <w:rFonts w:cs="Calibri"/>
                <w:sz w:val="22"/>
                <w:szCs w:val="22"/>
              </w:rPr>
            </w:pPr>
            <w:r w:rsidRPr="001314CA">
              <w:rPr>
                <w:rFonts w:cs="Calibri"/>
                <w:sz w:val="22"/>
                <w:szCs w:val="22"/>
              </w:rPr>
              <w:t>50 378,20</w:t>
            </w:r>
          </w:p>
        </w:tc>
      </w:tr>
      <w:tr w:rsidR="00D215BD" w:rsidRPr="001314CA" w14:paraId="332076A9" w14:textId="77777777" w:rsidTr="00D215BD">
        <w:trPr>
          <w:trHeight w:val="300"/>
          <w:jc w:val="center"/>
        </w:trPr>
        <w:tc>
          <w:tcPr>
            <w:tcW w:w="4678" w:type="dxa"/>
            <w:tcBorders>
              <w:left w:val="single" w:sz="4" w:space="0" w:color="auto"/>
              <w:bottom w:val="nil"/>
              <w:right w:val="single" w:sz="4" w:space="0" w:color="auto"/>
            </w:tcBorders>
            <w:shd w:val="clear" w:color="auto" w:fill="auto"/>
            <w:vAlign w:val="bottom"/>
            <w:hideMark/>
          </w:tcPr>
          <w:p w14:paraId="5AF5A44C" w14:textId="77777777" w:rsidR="00D215BD" w:rsidRPr="001314CA" w:rsidRDefault="00D215BD" w:rsidP="00D215BD">
            <w:pPr>
              <w:spacing w:after="120"/>
              <w:rPr>
                <w:rFonts w:cs="Calibri"/>
                <w:b/>
                <w:bCs/>
                <w:sz w:val="22"/>
                <w:szCs w:val="22"/>
              </w:rPr>
            </w:pPr>
            <w:proofErr w:type="spellStart"/>
            <w:r w:rsidRPr="001314CA">
              <w:rPr>
                <w:b/>
                <w:sz w:val="22"/>
                <w:szCs w:val="22"/>
              </w:rPr>
              <w:t>D</w:t>
            </w:r>
            <w:r w:rsidRPr="001314CA">
              <w:rPr>
                <w:b/>
                <w:sz w:val="22"/>
                <w:szCs w:val="22"/>
              </w:rPr>
              <w:tab/>
              <w:t>Autres</w:t>
            </w:r>
            <w:proofErr w:type="spellEnd"/>
            <w:r w:rsidRPr="001314CA">
              <w:rPr>
                <w:b/>
                <w:sz w:val="22"/>
                <w:szCs w:val="22"/>
              </w:rPr>
              <w:t xml:space="preserve"> débiteurs divers*</w:t>
            </w:r>
          </w:p>
        </w:tc>
        <w:tc>
          <w:tcPr>
            <w:tcW w:w="1413" w:type="dxa"/>
            <w:tcBorders>
              <w:left w:val="single" w:sz="4" w:space="0" w:color="auto"/>
              <w:bottom w:val="nil"/>
              <w:right w:val="single" w:sz="4" w:space="0" w:color="auto"/>
            </w:tcBorders>
            <w:shd w:val="clear" w:color="auto" w:fill="auto"/>
            <w:noWrap/>
            <w:vAlign w:val="bottom"/>
            <w:hideMark/>
          </w:tcPr>
          <w:p w14:paraId="1CACDB6B" w14:textId="77777777" w:rsidR="00D215BD" w:rsidRPr="001314CA" w:rsidRDefault="00D215BD" w:rsidP="00D215BD">
            <w:pPr>
              <w:spacing w:after="120"/>
              <w:rPr>
                <w:rFonts w:cs="Calibri"/>
                <w:b/>
                <w:bCs/>
                <w:sz w:val="22"/>
                <w:szCs w:val="22"/>
              </w:rPr>
            </w:pPr>
          </w:p>
        </w:tc>
        <w:tc>
          <w:tcPr>
            <w:tcW w:w="1417" w:type="dxa"/>
            <w:tcBorders>
              <w:left w:val="single" w:sz="4" w:space="0" w:color="auto"/>
              <w:bottom w:val="single" w:sz="4" w:space="0" w:color="auto"/>
              <w:right w:val="single" w:sz="4" w:space="0" w:color="auto"/>
            </w:tcBorders>
            <w:shd w:val="clear" w:color="auto" w:fill="auto"/>
            <w:noWrap/>
            <w:vAlign w:val="bottom"/>
            <w:hideMark/>
          </w:tcPr>
          <w:p w14:paraId="2E6A4940" w14:textId="77777777" w:rsidR="00D215BD" w:rsidRPr="001314CA" w:rsidRDefault="00D215BD" w:rsidP="00D215BD">
            <w:pPr>
              <w:spacing w:after="120"/>
              <w:jc w:val="right"/>
              <w:rPr>
                <w:rFonts w:cs="Calibri"/>
                <w:sz w:val="22"/>
                <w:szCs w:val="22"/>
              </w:rPr>
            </w:pPr>
            <w:r w:rsidRPr="001314CA">
              <w:rPr>
                <w:rFonts w:cs="Calibri"/>
                <w:sz w:val="22"/>
                <w:szCs w:val="22"/>
              </w:rPr>
              <w:t>45 297,49</w:t>
            </w:r>
          </w:p>
        </w:tc>
        <w:tc>
          <w:tcPr>
            <w:tcW w:w="1418" w:type="dxa"/>
            <w:tcBorders>
              <w:left w:val="single" w:sz="4" w:space="0" w:color="auto"/>
              <w:bottom w:val="single" w:sz="4" w:space="0" w:color="auto"/>
              <w:right w:val="single" w:sz="4" w:space="0" w:color="auto"/>
            </w:tcBorders>
            <w:shd w:val="clear" w:color="auto" w:fill="auto"/>
            <w:noWrap/>
            <w:vAlign w:val="bottom"/>
            <w:hideMark/>
          </w:tcPr>
          <w:p w14:paraId="3E88EAA0" w14:textId="77777777" w:rsidR="00D215BD" w:rsidRPr="001314CA" w:rsidRDefault="00D215BD" w:rsidP="00D215BD">
            <w:pPr>
              <w:spacing w:after="120"/>
              <w:jc w:val="right"/>
              <w:rPr>
                <w:rFonts w:cs="Calibri"/>
                <w:sz w:val="22"/>
                <w:szCs w:val="22"/>
              </w:rPr>
            </w:pPr>
            <w:r w:rsidRPr="001314CA">
              <w:rPr>
                <w:rFonts w:cs="Calibri"/>
                <w:sz w:val="22"/>
                <w:szCs w:val="22"/>
              </w:rPr>
              <w:t>3 085,00</w:t>
            </w:r>
          </w:p>
        </w:tc>
        <w:tc>
          <w:tcPr>
            <w:tcW w:w="1285" w:type="dxa"/>
            <w:tcBorders>
              <w:left w:val="single" w:sz="4" w:space="0" w:color="auto"/>
              <w:bottom w:val="single" w:sz="4" w:space="0" w:color="auto"/>
              <w:right w:val="single" w:sz="4" w:space="0" w:color="auto"/>
            </w:tcBorders>
            <w:shd w:val="clear" w:color="auto" w:fill="auto"/>
            <w:noWrap/>
            <w:vAlign w:val="bottom"/>
            <w:hideMark/>
          </w:tcPr>
          <w:p w14:paraId="259DD5D1" w14:textId="77777777" w:rsidR="00D215BD" w:rsidRPr="001314CA" w:rsidRDefault="00D215BD" w:rsidP="00D215BD">
            <w:pPr>
              <w:spacing w:after="120"/>
              <w:jc w:val="right"/>
              <w:rPr>
                <w:rFonts w:cs="Calibri"/>
                <w:sz w:val="22"/>
                <w:szCs w:val="22"/>
              </w:rPr>
            </w:pPr>
            <w:r w:rsidRPr="001314CA">
              <w:rPr>
                <w:rFonts w:cs="Calibri"/>
                <w:sz w:val="22"/>
                <w:szCs w:val="22"/>
              </w:rPr>
              <w:t>48 382,49</w:t>
            </w:r>
          </w:p>
        </w:tc>
      </w:tr>
      <w:tr w:rsidR="00D215BD" w:rsidRPr="001314CA" w14:paraId="1FE33A3B" w14:textId="77777777" w:rsidTr="00D215BD">
        <w:trPr>
          <w:trHeight w:val="300"/>
          <w:jc w:val="center"/>
        </w:trPr>
        <w:tc>
          <w:tcPr>
            <w:tcW w:w="4678" w:type="dxa"/>
            <w:tcBorders>
              <w:top w:val="nil"/>
              <w:left w:val="single" w:sz="4" w:space="0" w:color="auto"/>
              <w:bottom w:val="nil"/>
              <w:right w:val="single" w:sz="4" w:space="0" w:color="auto"/>
            </w:tcBorders>
            <w:shd w:val="clear" w:color="auto" w:fill="auto"/>
            <w:noWrap/>
            <w:vAlign w:val="bottom"/>
            <w:hideMark/>
          </w:tcPr>
          <w:p w14:paraId="7F751306" w14:textId="77777777" w:rsidR="00D215BD" w:rsidRPr="001314CA" w:rsidRDefault="00D215BD" w:rsidP="00D215BD">
            <w:pPr>
              <w:jc w:val="right"/>
              <w:rPr>
                <w:rFonts w:cs="Calibri"/>
                <w:sz w:val="22"/>
                <w:szCs w:val="22"/>
              </w:rPr>
            </w:pPr>
          </w:p>
        </w:tc>
        <w:tc>
          <w:tcPr>
            <w:tcW w:w="1413" w:type="dxa"/>
            <w:tcBorders>
              <w:top w:val="nil"/>
              <w:left w:val="single" w:sz="4" w:space="0" w:color="auto"/>
              <w:bottom w:val="nil"/>
              <w:right w:val="single" w:sz="4" w:space="0" w:color="auto"/>
            </w:tcBorders>
            <w:shd w:val="clear" w:color="auto" w:fill="auto"/>
            <w:noWrap/>
            <w:vAlign w:val="bottom"/>
            <w:hideMark/>
          </w:tcPr>
          <w:p w14:paraId="4967C105" w14:textId="77777777" w:rsidR="00D215BD" w:rsidRPr="001314CA" w:rsidRDefault="00D215BD" w:rsidP="00D215BD">
            <w:pPr>
              <w:rPr>
                <w:rFonts w:ascii="Times New Roman" w:hAnsi="Times New Roman"/>
                <w:sz w:val="22"/>
                <w:szCs w:val="22"/>
              </w:rPr>
            </w:pPr>
          </w:p>
        </w:tc>
        <w:tc>
          <w:tcPr>
            <w:tcW w:w="1417" w:type="dxa"/>
            <w:tcBorders>
              <w:top w:val="nil"/>
              <w:left w:val="single" w:sz="4" w:space="0" w:color="auto"/>
              <w:bottom w:val="nil"/>
              <w:right w:val="single" w:sz="4" w:space="0" w:color="auto"/>
            </w:tcBorders>
            <w:shd w:val="clear" w:color="auto" w:fill="auto"/>
            <w:noWrap/>
            <w:vAlign w:val="bottom"/>
            <w:hideMark/>
          </w:tcPr>
          <w:p w14:paraId="2C64AFC3" w14:textId="77777777" w:rsidR="00D215BD" w:rsidRPr="001314CA" w:rsidRDefault="00D215BD" w:rsidP="00D215BD">
            <w:pPr>
              <w:rPr>
                <w:rFonts w:ascii="Times New Roman" w:hAnsi="Times New Roman"/>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2DB7A89A" w14:textId="77777777" w:rsidR="00D215BD" w:rsidRPr="001314CA" w:rsidRDefault="00D215BD" w:rsidP="00D215BD">
            <w:pPr>
              <w:rPr>
                <w:rFonts w:ascii="Times New Roman" w:hAnsi="Times New Roman"/>
                <w:sz w:val="22"/>
                <w:szCs w:val="22"/>
              </w:rPr>
            </w:pPr>
          </w:p>
        </w:tc>
        <w:tc>
          <w:tcPr>
            <w:tcW w:w="1285" w:type="dxa"/>
            <w:tcBorders>
              <w:top w:val="nil"/>
              <w:left w:val="single" w:sz="4" w:space="0" w:color="auto"/>
              <w:bottom w:val="nil"/>
              <w:right w:val="single" w:sz="4" w:space="0" w:color="auto"/>
            </w:tcBorders>
            <w:shd w:val="clear" w:color="auto" w:fill="auto"/>
            <w:noWrap/>
            <w:vAlign w:val="bottom"/>
            <w:hideMark/>
          </w:tcPr>
          <w:p w14:paraId="79CBF0D6" w14:textId="77777777" w:rsidR="00D215BD" w:rsidRPr="001314CA" w:rsidRDefault="00D215BD" w:rsidP="00D215BD">
            <w:pPr>
              <w:rPr>
                <w:rFonts w:ascii="Times New Roman" w:hAnsi="Times New Roman"/>
                <w:sz w:val="22"/>
                <w:szCs w:val="22"/>
              </w:rPr>
            </w:pPr>
          </w:p>
        </w:tc>
      </w:tr>
      <w:tr w:rsidR="00D215BD" w:rsidRPr="001314CA" w14:paraId="0A926961" w14:textId="77777777" w:rsidTr="00D215BD">
        <w:trPr>
          <w:trHeight w:val="330"/>
          <w:jc w:val="center"/>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6B3D9FE7" w14:textId="77777777" w:rsidR="00D215BD" w:rsidRPr="001314CA" w:rsidRDefault="00D215BD" w:rsidP="00D215BD">
            <w:pPr>
              <w:rPr>
                <w:rFonts w:cs="Calibri"/>
                <w:b/>
                <w:bCs/>
                <w:sz w:val="22"/>
                <w:szCs w:val="22"/>
              </w:rPr>
            </w:pPr>
            <w:r w:rsidRPr="001314CA">
              <w:rPr>
                <w:rFonts w:cs="Calibri"/>
                <w:b/>
                <w:bCs/>
                <w:sz w:val="22"/>
                <w:szCs w:val="22"/>
              </w:rPr>
              <w:t>Total au 31.12.2020</w:t>
            </w:r>
          </w:p>
        </w:tc>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2C6325" w14:textId="77777777" w:rsidR="00D215BD" w:rsidRPr="001314CA" w:rsidRDefault="00D215BD" w:rsidP="00D215BD">
            <w:pPr>
              <w:rPr>
                <w:rFonts w:cs="Calibri"/>
                <w:b/>
                <w:bCs/>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FE45097" w14:textId="77777777" w:rsidR="00D215BD" w:rsidRPr="001314CA" w:rsidRDefault="00D215BD" w:rsidP="00D215BD">
            <w:pPr>
              <w:jc w:val="right"/>
              <w:rPr>
                <w:rFonts w:cs="Calibri"/>
                <w:sz w:val="22"/>
                <w:szCs w:val="22"/>
              </w:rPr>
            </w:pPr>
            <w:r w:rsidRPr="001314CA">
              <w:rPr>
                <w:rFonts w:cs="Calibri"/>
                <w:sz w:val="22"/>
                <w:szCs w:val="22"/>
              </w:rPr>
              <w:t>20 423 664,58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4F49C01" w14:textId="77777777" w:rsidR="00D215BD" w:rsidRPr="001314CA" w:rsidRDefault="00D215BD" w:rsidP="00D215BD">
            <w:pPr>
              <w:jc w:val="right"/>
              <w:rPr>
                <w:rFonts w:cs="Calibri"/>
                <w:sz w:val="22"/>
                <w:szCs w:val="22"/>
              </w:rPr>
            </w:pPr>
            <w:r w:rsidRPr="001314CA">
              <w:rPr>
                <w:rFonts w:cs="Calibri"/>
                <w:sz w:val="22"/>
                <w:szCs w:val="22"/>
              </w:rPr>
              <w:t>97 170,30</w:t>
            </w:r>
          </w:p>
        </w:tc>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4711A276" w14:textId="77777777" w:rsidR="00D215BD" w:rsidRPr="001314CA" w:rsidRDefault="00D215BD" w:rsidP="00D215BD">
            <w:pPr>
              <w:jc w:val="right"/>
              <w:rPr>
                <w:rFonts w:cs="Calibri"/>
                <w:sz w:val="22"/>
                <w:szCs w:val="22"/>
              </w:rPr>
            </w:pPr>
            <w:r w:rsidRPr="001314CA">
              <w:rPr>
                <w:rFonts w:cs="Calibri"/>
                <w:sz w:val="22"/>
                <w:szCs w:val="22"/>
              </w:rPr>
              <w:t>20 520 834,88</w:t>
            </w:r>
          </w:p>
        </w:tc>
      </w:tr>
      <w:tr w:rsidR="00D215BD" w:rsidRPr="001314CA" w14:paraId="3A297E42" w14:textId="77777777" w:rsidTr="00D215BD">
        <w:trPr>
          <w:trHeight w:val="210"/>
          <w:jc w:val="center"/>
        </w:trPr>
        <w:tc>
          <w:tcPr>
            <w:tcW w:w="10211" w:type="dxa"/>
            <w:gridSpan w:val="5"/>
            <w:tcBorders>
              <w:top w:val="nil"/>
              <w:left w:val="nil"/>
              <w:bottom w:val="nil"/>
              <w:right w:val="nil"/>
            </w:tcBorders>
            <w:shd w:val="clear" w:color="auto" w:fill="auto"/>
            <w:noWrap/>
            <w:vAlign w:val="bottom"/>
            <w:hideMark/>
          </w:tcPr>
          <w:p w14:paraId="2DE15FEB" w14:textId="77777777" w:rsidR="00D215BD" w:rsidRPr="001314CA" w:rsidRDefault="00D215BD" w:rsidP="00D215BD">
            <w:pPr>
              <w:tabs>
                <w:tab w:val="clear" w:pos="567"/>
              </w:tabs>
              <w:ind w:left="317" w:hanging="317"/>
              <w:rPr>
                <w:rFonts w:cs="Calibri"/>
                <w:sz w:val="22"/>
                <w:szCs w:val="22"/>
              </w:rPr>
            </w:pPr>
            <w:r w:rsidRPr="001314CA">
              <w:rPr>
                <w:rFonts w:asciiTheme="minorHAnsi" w:eastAsia="Batang" w:hAnsiTheme="minorHAnsi"/>
                <w:color w:val="000000"/>
                <w:sz w:val="22"/>
                <w:szCs w:val="22"/>
              </w:rPr>
              <w:t>*</w:t>
            </w:r>
            <w:r w:rsidRPr="001314CA">
              <w:rPr>
                <w:rFonts w:asciiTheme="minorHAnsi" w:eastAsia="Batang" w:hAnsiTheme="minorHAnsi"/>
                <w:color w:val="000000"/>
                <w:sz w:val="22"/>
                <w:szCs w:val="22"/>
              </w:rPr>
              <w:tab/>
              <w:t>Inclut les débiteurs ayant des montants dus inférieurs à 5 000 CHF pour les États Membres et 2 000 CHF pour les membres de Secteur, autres entités ou organisations et autres débiteurs.</w:t>
            </w:r>
          </w:p>
        </w:tc>
      </w:tr>
    </w:tbl>
    <w:p w14:paraId="64DD732E" w14:textId="77777777" w:rsidR="00D215BD" w:rsidRPr="001314CA" w:rsidRDefault="00D215BD" w:rsidP="00D215BD">
      <w:pPr>
        <w:jc w:val="center"/>
        <w:rPr>
          <w:b/>
          <w:bCs/>
          <w:sz w:val="20"/>
        </w:rPr>
      </w:pPr>
    </w:p>
    <w:p w14:paraId="1E98974F" w14:textId="77777777" w:rsidR="00D215BD" w:rsidRPr="001314CA" w:rsidRDefault="00D215BD" w:rsidP="00D215BD">
      <w:pPr>
        <w:jc w:val="center"/>
        <w:rPr>
          <w:b/>
          <w:bCs/>
          <w:sz w:val="20"/>
        </w:rPr>
        <w:sectPr w:rsidR="00D215BD" w:rsidRPr="001314CA" w:rsidSect="00D215BD">
          <w:headerReference w:type="default" r:id="rId85"/>
          <w:footerReference w:type="default" r:id="rId86"/>
          <w:pgSz w:w="11907" w:h="16840" w:code="9"/>
          <w:pgMar w:top="1418" w:right="1134" w:bottom="1418" w:left="1134" w:header="720" w:footer="720" w:gutter="0"/>
          <w:cols w:space="708"/>
          <w:docGrid w:linePitch="360"/>
        </w:sectPr>
      </w:pPr>
    </w:p>
    <w:p w14:paraId="5EF1853E" w14:textId="77777777" w:rsidR="00D215BD" w:rsidRPr="001314CA" w:rsidRDefault="00D215BD" w:rsidP="00D215BD">
      <w:pPr>
        <w:pStyle w:val="Tabletitle"/>
        <w:spacing w:before="120" w:after="240"/>
        <w:rPr>
          <w:sz w:val="28"/>
          <w:szCs w:val="28"/>
        </w:rPr>
      </w:pPr>
      <w:r w:rsidRPr="001314CA">
        <w:rPr>
          <w:sz w:val="28"/>
          <w:szCs w:val="28"/>
        </w:rPr>
        <w:lastRenderedPageBreak/>
        <w:t>Montants dus concernant les comptes spéciaux d'arriérés (accords d'amortissement)</w:t>
      </w:r>
    </w:p>
    <w:tbl>
      <w:tblPr>
        <w:tblW w:w="14048" w:type="dxa"/>
        <w:jc w:val="center"/>
        <w:tblLook w:val="04A0" w:firstRow="1" w:lastRow="0" w:firstColumn="1" w:lastColumn="0" w:noHBand="0" w:noVBand="1"/>
        <w:tblCaption w:val="MONTANTS DUS CONCERNANT LES COMPTES SPÉCIAUX D'ARRIÉRÉS (ACCORDS D'AMORTISSEMENT)"/>
      </w:tblPr>
      <w:tblGrid>
        <w:gridCol w:w="3256"/>
        <w:gridCol w:w="1701"/>
        <w:gridCol w:w="1495"/>
        <w:gridCol w:w="1637"/>
        <w:gridCol w:w="1476"/>
        <w:gridCol w:w="1506"/>
        <w:gridCol w:w="1417"/>
        <w:gridCol w:w="1560"/>
      </w:tblGrid>
      <w:tr w:rsidR="00D215BD" w:rsidRPr="001314CA" w14:paraId="0C4D0F48" w14:textId="77777777" w:rsidTr="00D215BD">
        <w:trPr>
          <w:trHeight w:val="98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hideMark/>
          </w:tcPr>
          <w:p w14:paraId="729189AA" w14:textId="77777777" w:rsidR="00D215BD" w:rsidRPr="001314CA" w:rsidRDefault="00D215BD" w:rsidP="00D215BD">
            <w:pPr>
              <w:tabs>
                <w:tab w:val="clear" w:pos="567"/>
                <w:tab w:val="clear" w:pos="1134"/>
                <w:tab w:val="clear" w:pos="1701"/>
                <w:tab w:val="clear" w:pos="2268"/>
                <w:tab w:val="clear" w:pos="2835"/>
              </w:tabs>
              <w:spacing w:before="0" w:after="120"/>
              <w:jc w:val="center"/>
              <w:rPr>
                <w:b/>
                <w:sz w:val="20"/>
              </w:rPr>
            </w:pPr>
            <w:r w:rsidRPr="001314CA">
              <w:rPr>
                <w:b/>
                <w:sz w:val="20"/>
              </w:rPr>
              <w:t>États Membres – Membres de Secteur/Entreprises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45B3F69" w14:textId="77777777" w:rsidR="00D215BD" w:rsidRPr="001314CA" w:rsidRDefault="00D215BD" w:rsidP="00D215BD">
            <w:pPr>
              <w:tabs>
                <w:tab w:val="clear" w:pos="567"/>
                <w:tab w:val="clear" w:pos="1134"/>
                <w:tab w:val="clear" w:pos="1701"/>
                <w:tab w:val="clear" w:pos="2268"/>
                <w:tab w:val="clear" w:pos="2835"/>
              </w:tabs>
              <w:spacing w:before="0" w:after="120"/>
              <w:jc w:val="center"/>
              <w:rPr>
                <w:b/>
                <w:sz w:val="20"/>
              </w:rPr>
            </w:pPr>
            <w:r w:rsidRPr="001314CA">
              <w:rPr>
                <w:b/>
                <w:sz w:val="20"/>
              </w:rPr>
              <w:t>Résolutions PP</w:t>
            </w:r>
          </w:p>
        </w:tc>
        <w:tc>
          <w:tcPr>
            <w:tcW w:w="1495" w:type="dxa"/>
            <w:tcBorders>
              <w:top w:val="single" w:sz="4" w:space="0" w:color="auto"/>
              <w:left w:val="single" w:sz="4" w:space="0" w:color="auto"/>
              <w:bottom w:val="single" w:sz="4" w:space="0" w:color="auto"/>
              <w:right w:val="single" w:sz="4" w:space="0" w:color="auto"/>
            </w:tcBorders>
            <w:shd w:val="clear" w:color="auto" w:fill="auto"/>
            <w:noWrap/>
            <w:hideMark/>
          </w:tcPr>
          <w:p w14:paraId="4B9C7456" w14:textId="77777777" w:rsidR="00D215BD" w:rsidRPr="001314CA" w:rsidRDefault="00D215BD" w:rsidP="00D215BD">
            <w:pPr>
              <w:tabs>
                <w:tab w:val="clear" w:pos="567"/>
                <w:tab w:val="clear" w:pos="1134"/>
                <w:tab w:val="clear" w:pos="1701"/>
                <w:tab w:val="clear" w:pos="2268"/>
                <w:tab w:val="clear" w:pos="2835"/>
              </w:tabs>
              <w:spacing w:before="0" w:after="120"/>
              <w:jc w:val="center"/>
              <w:rPr>
                <w:b/>
                <w:sz w:val="20"/>
              </w:rPr>
            </w:pPr>
            <w:r w:rsidRPr="001314CA">
              <w:rPr>
                <w:b/>
                <w:sz w:val="20"/>
              </w:rPr>
              <w:t>Transfert dans des comptes d'arriérés spéciaux</w:t>
            </w:r>
          </w:p>
        </w:tc>
        <w:tc>
          <w:tcPr>
            <w:tcW w:w="1637" w:type="dxa"/>
            <w:tcBorders>
              <w:top w:val="single" w:sz="4" w:space="0" w:color="auto"/>
              <w:left w:val="single" w:sz="4" w:space="0" w:color="auto"/>
              <w:bottom w:val="single" w:sz="4" w:space="0" w:color="auto"/>
              <w:right w:val="single" w:sz="4" w:space="0" w:color="auto"/>
            </w:tcBorders>
            <w:shd w:val="clear" w:color="auto" w:fill="auto"/>
            <w:noWrap/>
            <w:hideMark/>
          </w:tcPr>
          <w:p w14:paraId="4C27F53D" w14:textId="77777777" w:rsidR="00D215BD" w:rsidRPr="001314CA" w:rsidRDefault="00D215BD" w:rsidP="00D215BD">
            <w:pPr>
              <w:tabs>
                <w:tab w:val="clear" w:pos="567"/>
                <w:tab w:val="clear" w:pos="1134"/>
                <w:tab w:val="clear" w:pos="1701"/>
                <w:tab w:val="clear" w:pos="2268"/>
                <w:tab w:val="clear" w:pos="2835"/>
              </w:tabs>
              <w:spacing w:before="0" w:after="120"/>
              <w:jc w:val="center"/>
              <w:rPr>
                <w:b/>
                <w:sz w:val="20"/>
              </w:rPr>
            </w:pPr>
            <w:r w:rsidRPr="001314CA">
              <w:rPr>
                <w:b/>
                <w:sz w:val="20"/>
              </w:rPr>
              <w:t>Solde au</w:t>
            </w:r>
            <w:r w:rsidRPr="001314CA">
              <w:rPr>
                <w:b/>
                <w:sz w:val="20"/>
              </w:rPr>
              <w:br/>
              <w:t>31.12.2019</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14:paraId="33F7F183" w14:textId="77777777" w:rsidR="00D215BD" w:rsidRPr="001314CA" w:rsidRDefault="00D215BD" w:rsidP="00D215BD">
            <w:pPr>
              <w:tabs>
                <w:tab w:val="clear" w:pos="567"/>
                <w:tab w:val="clear" w:pos="1134"/>
                <w:tab w:val="clear" w:pos="1701"/>
                <w:tab w:val="clear" w:pos="2268"/>
                <w:tab w:val="clear" w:pos="2835"/>
              </w:tabs>
              <w:spacing w:before="0" w:after="120"/>
              <w:jc w:val="center"/>
              <w:rPr>
                <w:b/>
                <w:sz w:val="20"/>
              </w:rPr>
            </w:pPr>
            <w:r w:rsidRPr="001314CA">
              <w:rPr>
                <w:b/>
                <w:sz w:val="20"/>
              </w:rPr>
              <w:t>Mouvements</w:t>
            </w:r>
            <w:r w:rsidRPr="001314CA">
              <w:rPr>
                <w:b/>
                <w:sz w:val="20"/>
              </w:rPr>
              <w:br/>
              <w:t>2020</w:t>
            </w:r>
          </w:p>
        </w:tc>
        <w:tc>
          <w:tcPr>
            <w:tcW w:w="1506" w:type="dxa"/>
            <w:tcBorders>
              <w:top w:val="single" w:sz="4" w:space="0" w:color="auto"/>
              <w:left w:val="single" w:sz="4" w:space="0" w:color="auto"/>
              <w:bottom w:val="single" w:sz="4" w:space="0" w:color="auto"/>
              <w:right w:val="single" w:sz="4" w:space="0" w:color="auto"/>
            </w:tcBorders>
            <w:shd w:val="clear" w:color="auto" w:fill="auto"/>
            <w:noWrap/>
            <w:hideMark/>
          </w:tcPr>
          <w:p w14:paraId="49F90BF3" w14:textId="77777777" w:rsidR="00D215BD" w:rsidRPr="001314CA" w:rsidRDefault="00D215BD" w:rsidP="00D215BD">
            <w:pPr>
              <w:tabs>
                <w:tab w:val="clear" w:pos="567"/>
                <w:tab w:val="clear" w:pos="1134"/>
                <w:tab w:val="clear" w:pos="1701"/>
                <w:tab w:val="clear" w:pos="2268"/>
                <w:tab w:val="clear" w:pos="2835"/>
              </w:tabs>
              <w:spacing w:before="0" w:after="120"/>
              <w:jc w:val="center"/>
              <w:rPr>
                <w:b/>
                <w:sz w:val="20"/>
              </w:rPr>
            </w:pPr>
            <w:r w:rsidRPr="001314CA">
              <w:rPr>
                <w:b/>
                <w:sz w:val="20"/>
              </w:rPr>
              <w:t>Intérêts</w:t>
            </w:r>
            <w:r w:rsidRPr="001314CA">
              <w:rPr>
                <w:b/>
                <w:sz w:val="20"/>
              </w:rPr>
              <w:br/>
              <w:t>2020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24C4F8D" w14:textId="77777777" w:rsidR="00D215BD" w:rsidRPr="001314CA" w:rsidRDefault="00D215BD" w:rsidP="00D215BD">
            <w:pPr>
              <w:tabs>
                <w:tab w:val="clear" w:pos="567"/>
                <w:tab w:val="clear" w:pos="1134"/>
                <w:tab w:val="clear" w:pos="1701"/>
                <w:tab w:val="clear" w:pos="2268"/>
                <w:tab w:val="clear" w:pos="2835"/>
              </w:tabs>
              <w:spacing w:before="0" w:after="120"/>
              <w:jc w:val="center"/>
              <w:rPr>
                <w:b/>
                <w:sz w:val="20"/>
              </w:rPr>
            </w:pPr>
            <w:r w:rsidRPr="001314CA">
              <w:rPr>
                <w:b/>
                <w:sz w:val="20"/>
              </w:rPr>
              <w:t>Paiements</w:t>
            </w:r>
            <w:r w:rsidRPr="001314CA">
              <w:rPr>
                <w:b/>
                <w:sz w:val="20"/>
              </w:rPr>
              <w:br/>
              <w:t>2020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7494D219" w14:textId="77777777" w:rsidR="00D215BD" w:rsidRPr="001314CA" w:rsidRDefault="00D215BD" w:rsidP="00D215BD">
            <w:pPr>
              <w:tabs>
                <w:tab w:val="clear" w:pos="567"/>
                <w:tab w:val="clear" w:pos="1134"/>
                <w:tab w:val="clear" w:pos="1701"/>
                <w:tab w:val="clear" w:pos="2268"/>
                <w:tab w:val="clear" w:pos="2835"/>
              </w:tabs>
              <w:spacing w:before="0" w:after="120"/>
              <w:jc w:val="center"/>
              <w:rPr>
                <w:b/>
                <w:sz w:val="20"/>
              </w:rPr>
            </w:pPr>
            <w:r w:rsidRPr="001314CA">
              <w:rPr>
                <w:b/>
                <w:sz w:val="20"/>
              </w:rPr>
              <w:t>Solde au</w:t>
            </w:r>
            <w:r w:rsidRPr="001314CA">
              <w:rPr>
                <w:b/>
                <w:sz w:val="20"/>
              </w:rPr>
              <w:br/>
              <w:t>31.12.2020</w:t>
            </w:r>
          </w:p>
        </w:tc>
      </w:tr>
      <w:tr w:rsidR="00D215BD" w:rsidRPr="001314CA" w14:paraId="2AD13D6E" w14:textId="77777777" w:rsidTr="00D215BD">
        <w:trPr>
          <w:trHeight w:val="259"/>
          <w:jc w:val="center"/>
        </w:trPr>
        <w:tc>
          <w:tcPr>
            <w:tcW w:w="3256" w:type="dxa"/>
            <w:tcBorders>
              <w:top w:val="single" w:sz="4" w:space="0" w:color="auto"/>
              <w:left w:val="single" w:sz="4" w:space="0" w:color="auto"/>
              <w:bottom w:val="nil"/>
              <w:right w:val="single" w:sz="4" w:space="0" w:color="auto"/>
            </w:tcBorders>
            <w:shd w:val="clear" w:color="auto" w:fill="auto"/>
            <w:noWrap/>
            <w:vAlign w:val="bottom"/>
            <w:hideMark/>
          </w:tcPr>
          <w:p w14:paraId="034FFCED" w14:textId="77777777" w:rsidR="00D215BD" w:rsidRPr="001314CA" w:rsidRDefault="00D215BD" w:rsidP="00D215BD">
            <w:pPr>
              <w:tabs>
                <w:tab w:val="clear" w:pos="567"/>
                <w:tab w:val="clear" w:pos="1134"/>
                <w:tab w:val="clear" w:pos="1701"/>
                <w:tab w:val="clear" w:pos="2268"/>
                <w:tab w:val="clear" w:pos="2835"/>
              </w:tabs>
              <w:spacing w:before="0" w:after="20"/>
              <w:rPr>
                <w:b/>
                <w:sz w:val="20"/>
              </w:rPr>
            </w:pPr>
            <w:r w:rsidRPr="001314CA">
              <w:rPr>
                <w:b/>
                <w:sz w:val="20"/>
              </w:rPr>
              <w:t xml:space="preserve">États </w:t>
            </w:r>
            <w:r w:rsidRPr="001314CA">
              <w:rPr>
                <w:b/>
                <w:bCs/>
                <w:sz w:val="20"/>
              </w:rPr>
              <w:t>Membres</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2EA6B351" w14:textId="77777777" w:rsidR="00D215BD" w:rsidRPr="001314CA" w:rsidRDefault="00D215BD" w:rsidP="00D215BD">
            <w:pPr>
              <w:tabs>
                <w:tab w:val="clear" w:pos="567"/>
                <w:tab w:val="clear" w:pos="1134"/>
                <w:tab w:val="clear" w:pos="1701"/>
                <w:tab w:val="clear" w:pos="2268"/>
                <w:tab w:val="clear" w:pos="2835"/>
              </w:tabs>
              <w:spacing w:before="0" w:afterLines="20" w:after="48"/>
              <w:rPr>
                <w:sz w:val="20"/>
              </w:rPr>
            </w:pPr>
          </w:p>
        </w:tc>
        <w:tc>
          <w:tcPr>
            <w:tcW w:w="1495" w:type="dxa"/>
            <w:tcBorders>
              <w:top w:val="single" w:sz="4" w:space="0" w:color="auto"/>
              <w:left w:val="single" w:sz="4" w:space="0" w:color="auto"/>
              <w:bottom w:val="nil"/>
              <w:right w:val="single" w:sz="4" w:space="0" w:color="auto"/>
            </w:tcBorders>
            <w:shd w:val="clear" w:color="auto" w:fill="auto"/>
            <w:noWrap/>
            <w:vAlign w:val="bottom"/>
            <w:hideMark/>
          </w:tcPr>
          <w:p w14:paraId="4C39EC24" w14:textId="77777777" w:rsidR="00D215BD" w:rsidRPr="001314CA" w:rsidRDefault="00D215BD" w:rsidP="00D215BD">
            <w:pPr>
              <w:tabs>
                <w:tab w:val="clear" w:pos="567"/>
                <w:tab w:val="clear" w:pos="1134"/>
                <w:tab w:val="clear" w:pos="1701"/>
                <w:tab w:val="clear" w:pos="2268"/>
                <w:tab w:val="clear" w:pos="2835"/>
              </w:tabs>
              <w:spacing w:before="0" w:afterLines="20" w:after="48"/>
              <w:jc w:val="right"/>
              <w:rPr>
                <w:color w:val="00B050"/>
                <w:sz w:val="20"/>
              </w:rPr>
            </w:pPr>
          </w:p>
        </w:tc>
        <w:tc>
          <w:tcPr>
            <w:tcW w:w="1637" w:type="dxa"/>
            <w:tcBorders>
              <w:top w:val="single" w:sz="4" w:space="0" w:color="auto"/>
              <w:left w:val="single" w:sz="4" w:space="0" w:color="auto"/>
              <w:bottom w:val="nil"/>
              <w:right w:val="single" w:sz="4" w:space="0" w:color="auto"/>
            </w:tcBorders>
            <w:shd w:val="clear" w:color="auto" w:fill="auto"/>
            <w:noWrap/>
            <w:vAlign w:val="bottom"/>
            <w:hideMark/>
          </w:tcPr>
          <w:p w14:paraId="6524F705" w14:textId="77777777" w:rsidR="00D215BD" w:rsidRPr="001314CA" w:rsidRDefault="00D215BD" w:rsidP="00D215BD">
            <w:pPr>
              <w:tabs>
                <w:tab w:val="clear" w:pos="567"/>
                <w:tab w:val="clear" w:pos="1134"/>
                <w:tab w:val="clear" w:pos="1701"/>
                <w:tab w:val="clear" w:pos="2268"/>
                <w:tab w:val="clear" w:pos="2835"/>
              </w:tabs>
              <w:spacing w:before="0" w:afterLines="20" w:after="48"/>
              <w:jc w:val="right"/>
              <w:rPr>
                <w:sz w:val="20"/>
              </w:rPr>
            </w:pPr>
          </w:p>
        </w:tc>
        <w:tc>
          <w:tcPr>
            <w:tcW w:w="1476" w:type="dxa"/>
            <w:tcBorders>
              <w:top w:val="single" w:sz="4" w:space="0" w:color="auto"/>
              <w:left w:val="single" w:sz="4" w:space="0" w:color="auto"/>
              <w:bottom w:val="nil"/>
              <w:right w:val="single" w:sz="4" w:space="0" w:color="auto"/>
            </w:tcBorders>
            <w:shd w:val="clear" w:color="auto" w:fill="auto"/>
            <w:noWrap/>
            <w:vAlign w:val="bottom"/>
            <w:hideMark/>
          </w:tcPr>
          <w:p w14:paraId="562561C4" w14:textId="77777777" w:rsidR="00D215BD" w:rsidRPr="001314CA" w:rsidRDefault="00D215BD" w:rsidP="00D215BD">
            <w:pPr>
              <w:tabs>
                <w:tab w:val="clear" w:pos="567"/>
                <w:tab w:val="clear" w:pos="1134"/>
                <w:tab w:val="clear" w:pos="1701"/>
                <w:tab w:val="clear" w:pos="2268"/>
                <w:tab w:val="clear" w:pos="2835"/>
              </w:tabs>
              <w:spacing w:before="0" w:afterLines="20" w:after="48"/>
              <w:jc w:val="right"/>
              <w:rPr>
                <w:sz w:val="20"/>
              </w:rPr>
            </w:pPr>
          </w:p>
        </w:tc>
        <w:tc>
          <w:tcPr>
            <w:tcW w:w="1506" w:type="dxa"/>
            <w:tcBorders>
              <w:top w:val="single" w:sz="4" w:space="0" w:color="auto"/>
              <w:left w:val="single" w:sz="4" w:space="0" w:color="auto"/>
              <w:bottom w:val="nil"/>
              <w:right w:val="single" w:sz="4" w:space="0" w:color="auto"/>
            </w:tcBorders>
            <w:shd w:val="clear" w:color="auto" w:fill="auto"/>
            <w:noWrap/>
            <w:vAlign w:val="bottom"/>
            <w:hideMark/>
          </w:tcPr>
          <w:p w14:paraId="73248C11" w14:textId="77777777" w:rsidR="00D215BD" w:rsidRPr="001314CA" w:rsidRDefault="00D215BD" w:rsidP="00D215BD">
            <w:pPr>
              <w:tabs>
                <w:tab w:val="clear" w:pos="567"/>
                <w:tab w:val="clear" w:pos="1134"/>
                <w:tab w:val="clear" w:pos="1701"/>
                <w:tab w:val="clear" w:pos="2268"/>
                <w:tab w:val="clear" w:pos="2835"/>
              </w:tabs>
              <w:spacing w:before="0" w:afterLines="20" w:after="48"/>
              <w:jc w:val="right"/>
              <w:rPr>
                <w:sz w:val="20"/>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5C1E6FA5" w14:textId="77777777" w:rsidR="00D215BD" w:rsidRPr="001314CA" w:rsidRDefault="00D215BD" w:rsidP="00D215BD">
            <w:pPr>
              <w:tabs>
                <w:tab w:val="clear" w:pos="567"/>
                <w:tab w:val="clear" w:pos="1134"/>
                <w:tab w:val="clear" w:pos="1701"/>
                <w:tab w:val="clear" w:pos="2268"/>
                <w:tab w:val="clear" w:pos="2835"/>
              </w:tabs>
              <w:spacing w:before="0" w:afterLines="20" w:after="48"/>
              <w:jc w:val="right"/>
              <w:rPr>
                <w:sz w:val="20"/>
              </w:rPr>
            </w:pP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16ADF65E" w14:textId="77777777" w:rsidR="00D215BD" w:rsidRPr="001314CA" w:rsidRDefault="00D215BD" w:rsidP="00D215BD">
            <w:pPr>
              <w:tabs>
                <w:tab w:val="clear" w:pos="567"/>
                <w:tab w:val="clear" w:pos="1134"/>
                <w:tab w:val="clear" w:pos="1701"/>
                <w:tab w:val="clear" w:pos="2268"/>
                <w:tab w:val="clear" w:pos="2835"/>
              </w:tabs>
              <w:spacing w:before="0" w:afterLines="20" w:after="48"/>
              <w:jc w:val="right"/>
              <w:rPr>
                <w:sz w:val="20"/>
              </w:rPr>
            </w:pPr>
          </w:p>
        </w:tc>
      </w:tr>
      <w:tr w:rsidR="00D215BD" w:rsidRPr="001314CA" w14:paraId="7E4D9EA9" w14:textId="77777777" w:rsidTr="00D215BD">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382E712A" w14:textId="77777777" w:rsidR="00D215BD" w:rsidRPr="001314CA" w:rsidRDefault="00D215BD" w:rsidP="00D215BD">
            <w:pPr>
              <w:tabs>
                <w:tab w:val="clear" w:pos="567"/>
                <w:tab w:val="clear" w:pos="1134"/>
                <w:tab w:val="clear" w:pos="1701"/>
                <w:tab w:val="clear" w:pos="2268"/>
                <w:tab w:val="clear" w:pos="2835"/>
              </w:tabs>
              <w:spacing w:before="0" w:after="20"/>
              <w:rPr>
                <w:sz w:val="20"/>
              </w:rPr>
            </w:pPr>
            <w:r w:rsidRPr="001314CA">
              <w:rPr>
                <w:sz w:val="20"/>
              </w:rPr>
              <w:t>Soudan</w:t>
            </w:r>
          </w:p>
        </w:tc>
        <w:tc>
          <w:tcPr>
            <w:tcW w:w="1701" w:type="dxa"/>
            <w:tcBorders>
              <w:top w:val="nil"/>
              <w:left w:val="single" w:sz="4" w:space="0" w:color="auto"/>
              <w:bottom w:val="nil"/>
              <w:right w:val="single" w:sz="4" w:space="0" w:color="auto"/>
            </w:tcBorders>
            <w:shd w:val="clear" w:color="auto" w:fill="auto"/>
            <w:noWrap/>
            <w:vAlign w:val="bottom"/>
            <w:hideMark/>
          </w:tcPr>
          <w:p w14:paraId="68B827AE" w14:textId="77777777" w:rsidR="00D215BD" w:rsidRPr="001314CA" w:rsidRDefault="00D215BD" w:rsidP="00D215BD">
            <w:pPr>
              <w:spacing w:before="0"/>
              <w:rPr>
                <w:sz w:val="20"/>
              </w:rPr>
            </w:pPr>
            <w:proofErr w:type="spellStart"/>
            <w:r w:rsidRPr="001314CA">
              <w:rPr>
                <w:sz w:val="20"/>
              </w:rPr>
              <w:t>Rés</w:t>
            </w:r>
            <w:proofErr w:type="spellEnd"/>
            <w:r w:rsidRPr="001314CA">
              <w:rPr>
                <w:sz w:val="20"/>
              </w:rPr>
              <w:t>. 38 – PP 1989</w:t>
            </w:r>
          </w:p>
        </w:tc>
        <w:tc>
          <w:tcPr>
            <w:tcW w:w="1495" w:type="dxa"/>
            <w:noWrap/>
            <w:vAlign w:val="bottom"/>
          </w:tcPr>
          <w:p w14:paraId="7BD72CB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567 047,95</w:t>
            </w:r>
          </w:p>
        </w:tc>
        <w:tc>
          <w:tcPr>
            <w:tcW w:w="1637" w:type="dxa"/>
            <w:tcBorders>
              <w:top w:val="nil"/>
              <w:left w:val="single" w:sz="4" w:space="0" w:color="auto"/>
              <w:bottom w:val="nil"/>
              <w:right w:val="single" w:sz="4" w:space="0" w:color="auto"/>
            </w:tcBorders>
            <w:noWrap/>
            <w:vAlign w:val="bottom"/>
          </w:tcPr>
          <w:p w14:paraId="08DBD8B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6 028,45</w:t>
            </w:r>
          </w:p>
        </w:tc>
        <w:tc>
          <w:tcPr>
            <w:tcW w:w="1476" w:type="dxa"/>
            <w:noWrap/>
            <w:vAlign w:val="bottom"/>
          </w:tcPr>
          <w:p w14:paraId="7515320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06" w:type="dxa"/>
            <w:tcBorders>
              <w:top w:val="nil"/>
              <w:left w:val="single" w:sz="4" w:space="0" w:color="auto"/>
              <w:bottom w:val="nil"/>
              <w:right w:val="single" w:sz="4" w:space="0" w:color="auto"/>
            </w:tcBorders>
            <w:noWrap/>
            <w:vAlign w:val="bottom"/>
          </w:tcPr>
          <w:p w14:paraId="492E138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417" w:type="dxa"/>
            <w:noWrap/>
            <w:vAlign w:val="bottom"/>
          </w:tcPr>
          <w:p w14:paraId="07B1321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33DB475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6 028,45</w:t>
            </w:r>
          </w:p>
        </w:tc>
      </w:tr>
      <w:tr w:rsidR="00D215BD" w:rsidRPr="001314CA" w14:paraId="72EF553D" w14:textId="77777777" w:rsidTr="00D215BD">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02CCBE79" w14:textId="77777777" w:rsidR="00D215BD" w:rsidRPr="001314CA" w:rsidRDefault="00D215BD" w:rsidP="00D215BD">
            <w:pPr>
              <w:tabs>
                <w:tab w:val="clear" w:pos="567"/>
                <w:tab w:val="clear" w:pos="1134"/>
                <w:tab w:val="clear" w:pos="1701"/>
                <w:tab w:val="clear" w:pos="2268"/>
                <w:tab w:val="clear" w:pos="2835"/>
              </w:tabs>
              <w:spacing w:before="0" w:after="20"/>
              <w:rPr>
                <w:sz w:val="20"/>
              </w:rPr>
            </w:pPr>
            <w:r w:rsidRPr="001314CA">
              <w:rPr>
                <w:sz w:val="20"/>
              </w:rPr>
              <w:t>Tadjikistan</w:t>
            </w:r>
          </w:p>
        </w:tc>
        <w:tc>
          <w:tcPr>
            <w:tcW w:w="1701" w:type="dxa"/>
            <w:tcBorders>
              <w:top w:val="nil"/>
              <w:left w:val="single" w:sz="4" w:space="0" w:color="auto"/>
              <w:bottom w:val="nil"/>
              <w:right w:val="single" w:sz="4" w:space="0" w:color="auto"/>
            </w:tcBorders>
            <w:shd w:val="clear" w:color="auto" w:fill="auto"/>
            <w:noWrap/>
            <w:vAlign w:val="bottom"/>
            <w:hideMark/>
          </w:tcPr>
          <w:p w14:paraId="03B3CBDA" w14:textId="77777777" w:rsidR="00D215BD" w:rsidRPr="001314CA" w:rsidRDefault="00D215BD" w:rsidP="00D215BD">
            <w:pPr>
              <w:spacing w:before="0"/>
              <w:rPr>
                <w:sz w:val="20"/>
              </w:rPr>
            </w:pPr>
            <w:proofErr w:type="spellStart"/>
            <w:r w:rsidRPr="001314CA">
              <w:rPr>
                <w:sz w:val="20"/>
              </w:rPr>
              <w:t>Rés</w:t>
            </w:r>
            <w:proofErr w:type="spellEnd"/>
            <w:r w:rsidRPr="001314CA">
              <w:rPr>
                <w:sz w:val="20"/>
              </w:rPr>
              <w:t>. 41 – 2011</w:t>
            </w:r>
          </w:p>
        </w:tc>
        <w:tc>
          <w:tcPr>
            <w:tcW w:w="1495" w:type="dxa"/>
            <w:noWrap/>
            <w:vAlign w:val="bottom"/>
          </w:tcPr>
          <w:p w14:paraId="23A01DE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745 617,40</w:t>
            </w:r>
          </w:p>
        </w:tc>
        <w:tc>
          <w:tcPr>
            <w:tcW w:w="1637" w:type="dxa"/>
            <w:tcBorders>
              <w:top w:val="nil"/>
              <w:left w:val="single" w:sz="4" w:space="0" w:color="auto"/>
              <w:bottom w:val="nil"/>
              <w:right w:val="single" w:sz="4" w:space="0" w:color="auto"/>
            </w:tcBorders>
            <w:noWrap/>
            <w:vAlign w:val="bottom"/>
          </w:tcPr>
          <w:p w14:paraId="50A7D7C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511 822,30</w:t>
            </w:r>
          </w:p>
        </w:tc>
        <w:tc>
          <w:tcPr>
            <w:tcW w:w="1476" w:type="dxa"/>
            <w:noWrap/>
            <w:vAlign w:val="bottom"/>
          </w:tcPr>
          <w:p w14:paraId="520D2EE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06" w:type="dxa"/>
            <w:tcBorders>
              <w:top w:val="nil"/>
              <w:left w:val="single" w:sz="4" w:space="0" w:color="auto"/>
              <w:bottom w:val="nil"/>
              <w:right w:val="single" w:sz="4" w:space="0" w:color="auto"/>
            </w:tcBorders>
            <w:noWrap/>
            <w:vAlign w:val="bottom"/>
          </w:tcPr>
          <w:p w14:paraId="5ECDABB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417" w:type="dxa"/>
            <w:noWrap/>
            <w:vAlign w:val="bottom"/>
          </w:tcPr>
          <w:p w14:paraId="134143C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49D1066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511 822,30</w:t>
            </w:r>
          </w:p>
        </w:tc>
      </w:tr>
      <w:tr w:rsidR="00D215BD" w:rsidRPr="001314CA" w14:paraId="27642011" w14:textId="77777777" w:rsidTr="00D215BD">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62A5EB5C" w14:textId="77777777" w:rsidR="00D215BD" w:rsidRPr="001314CA" w:rsidRDefault="00D215BD" w:rsidP="00D215BD">
            <w:pPr>
              <w:tabs>
                <w:tab w:val="clear" w:pos="567"/>
                <w:tab w:val="clear" w:pos="1134"/>
                <w:tab w:val="clear" w:pos="1701"/>
                <w:tab w:val="clear" w:pos="2268"/>
                <w:tab w:val="clear" w:pos="2835"/>
              </w:tabs>
              <w:spacing w:before="0" w:after="20"/>
              <w:rPr>
                <w:sz w:val="20"/>
              </w:rPr>
            </w:pPr>
            <w:r w:rsidRPr="001314CA">
              <w:rPr>
                <w:sz w:val="20"/>
              </w:rPr>
              <w:t>République centrafricaine</w:t>
            </w:r>
          </w:p>
        </w:tc>
        <w:tc>
          <w:tcPr>
            <w:tcW w:w="1701" w:type="dxa"/>
            <w:tcBorders>
              <w:top w:val="nil"/>
              <w:left w:val="single" w:sz="4" w:space="0" w:color="auto"/>
              <w:bottom w:val="nil"/>
              <w:right w:val="single" w:sz="4" w:space="0" w:color="auto"/>
            </w:tcBorders>
            <w:shd w:val="clear" w:color="auto" w:fill="auto"/>
            <w:noWrap/>
            <w:vAlign w:val="bottom"/>
          </w:tcPr>
          <w:p w14:paraId="12431F56" w14:textId="77777777" w:rsidR="00D215BD" w:rsidRPr="001314CA" w:rsidRDefault="00D215BD" w:rsidP="00D215BD">
            <w:pPr>
              <w:spacing w:before="0"/>
              <w:rPr>
                <w:sz w:val="20"/>
              </w:rPr>
            </w:pPr>
            <w:proofErr w:type="spellStart"/>
            <w:r w:rsidRPr="001314CA">
              <w:rPr>
                <w:sz w:val="20"/>
              </w:rPr>
              <w:t>Rés</w:t>
            </w:r>
            <w:proofErr w:type="spellEnd"/>
            <w:r w:rsidRPr="001314CA">
              <w:rPr>
                <w:sz w:val="20"/>
              </w:rPr>
              <w:t>. 41 – 2014</w:t>
            </w:r>
          </w:p>
        </w:tc>
        <w:tc>
          <w:tcPr>
            <w:tcW w:w="1495" w:type="dxa"/>
            <w:noWrap/>
            <w:vAlign w:val="bottom"/>
          </w:tcPr>
          <w:p w14:paraId="3415E3D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159 474,68</w:t>
            </w:r>
          </w:p>
        </w:tc>
        <w:tc>
          <w:tcPr>
            <w:tcW w:w="1637" w:type="dxa"/>
            <w:tcBorders>
              <w:top w:val="nil"/>
              <w:left w:val="single" w:sz="4" w:space="0" w:color="auto"/>
              <w:bottom w:val="nil"/>
              <w:right w:val="single" w:sz="4" w:space="0" w:color="auto"/>
            </w:tcBorders>
            <w:noWrap/>
            <w:vAlign w:val="bottom"/>
          </w:tcPr>
          <w:p w14:paraId="46D2480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109 952,30</w:t>
            </w:r>
          </w:p>
        </w:tc>
        <w:tc>
          <w:tcPr>
            <w:tcW w:w="1476" w:type="dxa"/>
            <w:noWrap/>
            <w:vAlign w:val="bottom"/>
          </w:tcPr>
          <w:p w14:paraId="0C232D9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–109 952,30</w:t>
            </w:r>
          </w:p>
        </w:tc>
        <w:tc>
          <w:tcPr>
            <w:tcW w:w="1506" w:type="dxa"/>
            <w:tcBorders>
              <w:top w:val="nil"/>
              <w:left w:val="single" w:sz="4" w:space="0" w:color="auto"/>
              <w:bottom w:val="nil"/>
              <w:right w:val="single" w:sz="4" w:space="0" w:color="auto"/>
            </w:tcBorders>
            <w:noWrap/>
            <w:vAlign w:val="bottom"/>
          </w:tcPr>
          <w:p w14:paraId="3C98879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417" w:type="dxa"/>
            <w:noWrap/>
            <w:vAlign w:val="bottom"/>
          </w:tcPr>
          <w:p w14:paraId="4295A8B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0276ECB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r>
      <w:tr w:rsidR="00D215BD" w:rsidRPr="001314CA" w14:paraId="04029EED" w14:textId="77777777" w:rsidTr="00D215BD">
        <w:trPr>
          <w:trHeight w:val="259"/>
          <w:jc w:val="center"/>
        </w:trPr>
        <w:tc>
          <w:tcPr>
            <w:tcW w:w="3256" w:type="dxa"/>
            <w:tcBorders>
              <w:left w:val="single" w:sz="4" w:space="0" w:color="auto"/>
              <w:right w:val="single" w:sz="4" w:space="0" w:color="auto"/>
            </w:tcBorders>
            <w:shd w:val="clear" w:color="auto" w:fill="auto"/>
            <w:noWrap/>
            <w:vAlign w:val="bottom"/>
          </w:tcPr>
          <w:p w14:paraId="472F021F" w14:textId="77777777" w:rsidR="00D215BD" w:rsidRPr="001314CA" w:rsidRDefault="00D215BD" w:rsidP="00D215BD">
            <w:pPr>
              <w:spacing w:before="0"/>
              <w:rPr>
                <w:sz w:val="20"/>
              </w:rPr>
            </w:pPr>
            <w:r w:rsidRPr="001314CA">
              <w:rPr>
                <w:sz w:val="20"/>
              </w:rPr>
              <w:t>Somalie</w:t>
            </w:r>
          </w:p>
        </w:tc>
        <w:tc>
          <w:tcPr>
            <w:tcW w:w="1701" w:type="dxa"/>
            <w:tcBorders>
              <w:left w:val="single" w:sz="4" w:space="0" w:color="auto"/>
              <w:right w:val="single" w:sz="4" w:space="0" w:color="auto"/>
            </w:tcBorders>
            <w:shd w:val="clear" w:color="auto" w:fill="auto"/>
            <w:noWrap/>
            <w:vAlign w:val="bottom"/>
          </w:tcPr>
          <w:p w14:paraId="717136DA" w14:textId="77777777" w:rsidR="00D215BD" w:rsidRPr="001314CA" w:rsidRDefault="00D215BD" w:rsidP="00D215BD">
            <w:pPr>
              <w:spacing w:before="0"/>
              <w:rPr>
                <w:sz w:val="20"/>
              </w:rPr>
            </w:pPr>
            <w:proofErr w:type="spellStart"/>
            <w:r w:rsidRPr="001314CA">
              <w:rPr>
                <w:sz w:val="20"/>
              </w:rPr>
              <w:t>Rés</w:t>
            </w:r>
            <w:proofErr w:type="spellEnd"/>
            <w:r w:rsidRPr="001314CA">
              <w:rPr>
                <w:sz w:val="20"/>
              </w:rPr>
              <w:t>. 41 – 2017</w:t>
            </w:r>
          </w:p>
        </w:tc>
        <w:tc>
          <w:tcPr>
            <w:tcW w:w="1495" w:type="dxa"/>
            <w:noWrap/>
            <w:vAlign w:val="bottom"/>
          </w:tcPr>
          <w:p w14:paraId="1F52300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2 281 017,16</w:t>
            </w:r>
          </w:p>
        </w:tc>
        <w:tc>
          <w:tcPr>
            <w:tcW w:w="1637" w:type="dxa"/>
            <w:tcBorders>
              <w:top w:val="nil"/>
              <w:left w:val="single" w:sz="4" w:space="0" w:color="auto"/>
              <w:bottom w:val="nil"/>
              <w:right w:val="single" w:sz="4" w:space="0" w:color="auto"/>
            </w:tcBorders>
            <w:noWrap/>
            <w:vAlign w:val="bottom"/>
          </w:tcPr>
          <w:p w14:paraId="2F082B9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2 093 262,73</w:t>
            </w:r>
          </w:p>
        </w:tc>
        <w:tc>
          <w:tcPr>
            <w:tcW w:w="1476" w:type="dxa"/>
            <w:noWrap/>
            <w:vAlign w:val="bottom"/>
          </w:tcPr>
          <w:p w14:paraId="677C430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–2 093 262,73</w:t>
            </w:r>
          </w:p>
        </w:tc>
        <w:tc>
          <w:tcPr>
            <w:tcW w:w="1506" w:type="dxa"/>
            <w:tcBorders>
              <w:top w:val="nil"/>
              <w:left w:val="single" w:sz="4" w:space="0" w:color="auto"/>
              <w:bottom w:val="nil"/>
              <w:right w:val="single" w:sz="4" w:space="0" w:color="auto"/>
            </w:tcBorders>
            <w:noWrap/>
            <w:vAlign w:val="bottom"/>
          </w:tcPr>
          <w:p w14:paraId="252425D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417" w:type="dxa"/>
            <w:noWrap/>
            <w:vAlign w:val="bottom"/>
          </w:tcPr>
          <w:p w14:paraId="76CD12E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345A372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r>
      <w:tr w:rsidR="00D215BD" w:rsidRPr="001314CA" w14:paraId="05B2E5A3" w14:textId="77777777" w:rsidTr="00D215BD">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73978FB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1314CA">
              <w:rPr>
                <w:sz w:val="20"/>
                <w:lang w:eastAsia="zh-CN"/>
              </w:rPr>
              <w:t>Congo (</w:t>
            </w:r>
            <w:proofErr w:type="spellStart"/>
            <w:r w:rsidRPr="001314CA">
              <w:rPr>
                <w:sz w:val="20"/>
                <w:lang w:eastAsia="zh-CN"/>
              </w:rPr>
              <w:t>Rép</w:t>
            </w:r>
            <w:proofErr w:type="spellEnd"/>
            <w:r w:rsidRPr="001314CA">
              <w:rPr>
                <w:sz w:val="20"/>
                <w:lang w:eastAsia="zh-CN"/>
              </w:rPr>
              <w:t>. du)</w:t>
            </w:r>
          </w:p>
        </w:tc>
        <w:tc>
          <w:tcPr>
            <w:tcW w:w="1701" w:type="dxa"/>
            <w:tcBorders>
              <w:left w:val="single" w:sz="4" w:space="0" w:color="auto"/>
              <w:right w:val="single" w:sz="4" w:space="0" w:color="auto"/>
            </w:tcBorders>
            <w:shd w:val="clear" w:color="auto" w:fill="auto"/>
            <w:noWrap/>
            <w:vAlign w:val="bottom"/>
          </w:tcPr>
          <w:p w14:paraId="18711A01" w14:textId="77777777" w:rsidR="00D215BD" w:rsidRPr="001314CA" w:rsidRDefault="00D215BD" w:rsidP="00D215BD">
            <w:pPr>
              <w:spacing w:before="0"/>
              <w:rPr>
                <w:sz w:val="20"/>
              </w:rPr>
            </w:pPr>
            <w:proofErr w:type="spellStart"/>
            <w:r w:rsidRPr="001314CA">
              <w:rPr>
                <w:sz w:val="20"/>
              </w:rPr>
              <w:t>Rés</w:t>
            </w:r>
            <w:proofErr w:type="spellEnd"/>
            <w:r w:rsidRPr="001314CA">
              <w:rPr>
                <w:sz w:val="20"/>
              </w:rPr>
              <w:t>. 41 – 2018</w:t>
            </w:r>
          </w:p>
        </w:tc>
        <w:tc>
          <w:tcPr>
            <w:tcW w:w="1495" w:type="dxa"/>
            <w:noWrap/>
            <w:vAlign w:val="bottom"/>
          </w:tcPr>
          <w:p w14:paraId="45FF469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1 730 027,81</w:t>
            </w:r>
          </w:p>
        </w:tc>
        <w:tc>
          <w:tcPr>
            <w:tcW w:w="1637" w:type="dxa"/>
            <w:tcBorders>
              <w:top w:val="nil"/>
              <w:left w:val="single" w:sz="4" w:space="0" w:color="auto"/>
              <w:bottom w:val="nil"/>
              <w:right w:val="single" w:sz="4" w:space="0" w:color="auto"/>
            </w:tcBorders>
            <w:noWrap/>
            <w:vAlign w:val="bottom"/>
          </w:tcPr>
          <w:p w14:paraId="6D4411D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1 561 500,97</w:t>
            </w:r>
          </w:p>
        </w:tc>
        <w:tc>
          <w:tcPr>
            <w:tcW w:w="1476" w:type="dxa"/>
            <w:noWrap/>
            <w:vAlign w:val="bottom"/>
          </w:tcPr>
          <w:p w14:paraId="676CDF5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06" w:type="dxa"/>
            <w:tcBorders>
              <w:top w:val="nil"/>
              <w:left w:val="single" w:sz="4" w:space="0" w:color="auto"/>
              <w:bottom w:val="nil"/>
              <w:right w:val="single" w:sz="4" w:space="0" w:color="auto"/>
            </w:tcBorders>
            <w:noWrap/>
            <w:vAlign w:val="bottom"/>
          </w:tcPr>
          <w:p w14:paraId="56C0C0A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417" w:type="dxa"/>
            <w:noWrap/>
            <w:vAlign w:val="bottom"/>
          </w:tcPr>
          <w:p w14:paraId="3BACB64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–84 263,42</w:t>
            </w:r>
          </w:p>
        </w:tc>
        <w:tc>
          <w:tcPr>
            <w:tcW w:w="1560" w:type="dxa"/>
            <w:tcBorders>
              <w:top w:val="nil"/>
              <w:left w:val="single" w:sz="4" w:space="0" w:color="auto"/>
              <w:bottom w:val="nil"/>
              <w:right w:val="single" w:sz="4" w:space="0" w:color="auto"/>
            </w:tcBorders>
            <w:noWrap/>
            <w:vAlign w:val="bottom"/>
          </w:tcPr>
          <w:p w14:paraId="6BD92D7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1 477 237,55</w:t>
            </w:r>
          </w:p>
        </w:tc>
      </w:tr>
      <w:tr w:rsidR="00D215BD" w:rsidRPr="001314CA" w14:paraId="44F5CF41" w14:textId="77777777" w:rsidTr="00D215BD">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3B204DC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1314CA">
              <w:rPr>
                <w:sz w:val="20"/>
                <w:lang w:eastAsia="zh-CN"/>
              </w:rPr>
              <w:t>Gabon</w:t>
            </w:r>
          </w:p>
        </w:tc>
        <w:tc>
          <w:tcPr>
            <w:tcW w:w="1701" w:type="dxa"/>
            <w:tcBorders>
              <w:left w:val="single" w:sz="4" w:space="0" w:color="auto"/>
              <w:right w:val="single" w:sz="4" w:space="0" w:color="auto"/>
            </w:tcBorders>
            <w:shd w:val="clear" w:color="auto" w:fill="auto"/>
            <w:noWrap/>
            <w:vAlign w:val="bottom"/>
          </w:tcPr>
          <w:p w14:paraId="61554BB2" w14:textId="77777777" w:rsidR="00D215BD" w:rsidRPr="001314CA" w:rsidRDefault="00D215BD" w:rsidP="00D215BD">
            <w:pPr>
              <w:spacing w:before="0"/>
              <w:rPr>
                <w:sz w:val="20"/>
              </w:rPr>
            </w:pPr>
            <w:proofErr w:type="spellStart"/>
            <w:r w:rsidRPr="001314CA">
              <w:rPr>
                <w:sz w:val="20"/>
              </w:rPr>
              <w:t>Rés</w:t>
            </w:r>
            <w:proofErr w:type="spellEnd"/>
            <w:r w:rsidRPr="001314CA">
              <w:rPr>
                <w:sz w:val="20"/>
              </w:rPr>
              <w:t>. 41 – 2018</w:t>
            </w:r>
          </w:p>
        </w:tc>
        <w:tc>
          <w:tcPr>
            <w:tcW w:w="1495" w:type="dxa"/>
            <w:noWrap/>
            <w:vAlign w:val="bottom"/>
          </w:tcPr>
          <w:p w14:paraId="2045DB8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343 052,55</w:t>
            </w:r>
          </w:p>
        </w:tc>
        <w:tc>
          <w:tcPr>
            <w:tcW w:w="1637" w:type="dxa"/>
            <w:tcBorders>
              <w:top w:val="nil"/>
              <w:left w:val="single" w:sz="4" w:space="0" w:color="auto"/>
              <w:bottom w:val="nil"/>
              <w:right w:val="single" w:sz="4" w:space="0" w:color="auto"/>
            </w:tcBorders>
            <w:noWrap/>
            <w:vAlign w:val="bottom"/>
          </w:tcPr>
          <w:p w14:paraId="3303D18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267 633,89</w:t>
            </w:r>
          </w:p>
        </w:tc>
        <w:tc>
          <w:tcPr>
            <w:tcW w:w="1476" w:type="dxa"/>
            <w:noWrap/>
            <w:vAlign w:val="bottom"/>
          </w:tcPr>
          <w:p w14:paraId="3489780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–267 633,89</w:t>
            </w:r>
          </w:p>
        </w:tc>
        <w:tc>
          <w:tcPr>
            <w:tcW w:w="1506" w:type="dxa"/>
            <w:tcBorders>
              <w:top w:val="nil"/>
              <w:left w:val="single" w:sz="4" w:space="0" w:color="auto"/>
              <w:bottom w:val="nil"/>
              <w:right w:val="single" w:sz="4" w:space="0" w:color="auto"/>
            </w:tcBorders>
            <w:noWrap/>
            <w:vAlign w:val="bottom"/>
          </w:tcPr>
          <w:p w14:paraId="18CDFAB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417" w:type="dxa"/>
            <w:noWrap/>
            <w:vAlign w:val="bottom"/>
          </w:tcPr>
          <w:p w14:paraId="3118CA8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1F1D5FE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r>
      <w:tr w:rsidR="00D215BD" w:rsidRPr="001314CA" w14:paraId="176B29AB" w14:textId="77777777" w:rsidTr="00D215BD">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251CC76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1314CA">
              <w:rPr>
                <w:sz w:val="20"/>
                <w:lang w:eastAsia="zh-CN"/>
              </w:rPr>
              <w:t>Libéria</w:t>
            </w:r>
          </w:p>
        </w:tc>
        <w:tc>
          <w:tcPr>
            <w:tcW w:w="1701" w:type="dxa"/>
            <w:tcBorders>
              <w:left w:val="single" w:sz="4" w:space="0" w:color="auto"/>
              <w:right w:val="single" w:sz="4" w:space="0" w:color="auto"/>
            </w:tcBorders>
            <w:shd w:val="clear" w:color="auto" w:fill="auto"/>
            <w:noWrap/>
            <w:vAlign w:val="bottom"/>
          </w:tcPr>
          <w:p w14:paraId="5C19BB1D" w14:textId="77777777" w:rsidR="00D215BD" w:rsidRPr="001314CA" w:rsidRDefault="00D215BD" w:rsidP="00D215BD">
            <w:pPr>
              <w:spacing w:before="0"/>
              <w:rPr>
                <w:sz w:val="20"/>
              </w:rPr>
            </w:pPr>
            <w:proofErr w:type="spellStart"/>
            <w:r w:rsidRPr="001314CA">
              <w:rPr>
                <w:sz w:val="20"/>
              </w:rPr>
              <w:t>Rés</w:t>
            </w:r>
            <w:proofErr w:type="spellEnd"/>
            <w:r w:rsidRPr="001314CA">
              <w:rPr>
                <w:sz w:val="20"/>
              </w:rPr>
              <w:t>. 41 – 2020</w:t>
            </w:r>
          </w:p>
        </w:tc>
        <w:tc>
          <w:tcPr>
            <w:tcW w:w="1495" w:type="dxa"/>
            <w:noWrap/>
            <w:vAlign w:val="bottom"/>
          </w:tcPr>
          <w:p w14:paraId="622C306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4 833 356,64</w:t>
            </w:r>
          </w:p>
        </w:tc>
        <w:tc>
          <w:tcPr>
            <w:tcW w:w="1637" w:type="dxa"/>
            <w:tcBorders>
              <w:top w:val="nil"/>
              <w:left w:val="single" w:sz="4" w:space="0" w:color="auto"/>
              <w:bottom w:val="nil"/>
              <w:right w:val="single" w:sz="4" w:space="0" w:color="auto"/>
            </w:tcBorders>
            <w:noWrap/>
            <w:vAlign w:val="bottom"/>
          </w:tcPr>
          <w:p w14:paraId="544AF78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476" w:type="dxa"/>
            <w:noWrap/>
            <w:vAlign w:val="bottom"/>
          </w:tcPr>
          <w:p w14:paraId="5B07C54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4 833 356,64</w:t>
            </w:r>
          </w:p>
        </w:tc>
        <w:tc>
          <w:tcPr>
            <w:tcW w:w="1506" w:type="dxa"/>
            <w:tcBorders>
              <w:top w:val="nil"/>
              <w:left w:val="single" w:sz="4" w:space="0" w:color="auto"/>
              <w:bottom w:val="nil"/>
              <w:right w:val="single" w:sz="4" w:space="0" w:color="auto"/>
            </w:tcBorders>
            <w:noWrap/>
            <w:vAlign w:val="bottom"/>
          </w:tcPr>
          <w:p w14:paraId="5427DB3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417" w:type="dxa"/>
            <w:noWrap/>
            <w:vAlign w:val="bottom"/>
          </w:tcPr>
          <w:p w14:paraId="1812473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–116 062,08</w:t>
            </w:r>
          </w:p>
        </w:tc>
        <w:tc>
          <w:tcPr>
            <w:tcW w:w="1560" w:type="dxa"/>
            <w:tcBorders>
              <w:top w:val="nil"/>
              <w:left w:val="single" w:sz="4" w:space="0" w:color="auto"/>
              <w:bottom w:val="nil"/>
              <w:right w:val="single" w:sz="4" w:space="0" w:color="auto"/>
            </w:tcBorders>
            <w:noWrap/>
            <w:vAlign w:val="bottom"/>
          </w:tcPr>
          <w:p w14:paraId="1043E31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4 717 294,56</w:t>
            </w:r>
          </w:p>
        </w:tc>
      </w:tr>
      <w:tr w:rsidR="00D215BD" w:rsidRPr="001314CA" w14:paraId="0208B9FA" w14:textId="77777777" w:rsidTr="00D215BD">
        <w:trPr>
          <w:trHeight w:val="259"/>
          <w:jc w:val="center"/>
        </w:trPr>
        <w:tc>
          <w:tcPr>
            <w:tcW w:w="3256" w:type="dxa"/>
            <w:tcBorders>
              <w:top w:val="single" w:sz="4" w:space="0" w:color="auto"/>
              <w:left w:val="single" w:sz="4" w:space="0" w:color="auto"/>
              <w:bottom w:val="single" w:sz="4" w:space="0" w:color="auto"/>
              <w:right w:val="nil"/>
            </w:tcBorders>
            <w:shd w:val="clear" w:color="auto" w:fill="auto"/>
            <w:noWrap/>
            <w:vAlign w:val="bottom"/>
            <w:hideMark/>
          </w:tcPr>
          <w:p w14:paraId="052A4FD4" w14:textId="77777777" w:rsidR="00D215BD" w:rsidRPr="001314CA" w:rsidRDefault="00D215BD" w:rsidP="00D215BD">
            <w:pPr>
              <w:tabs>
                <w:tab w:val="clear" w:pos="567"/>
                <w:tab w:val="clear" w:pos="1134"/>
                <w:tab w:val="clear" w:pos="1701"/>
                <w:tab w:val="clear" w:pos="2268"/>
                <w:tab w:val="clear" w:pos="2835"/>
              </w:tabs>
              <w:spacing w:before="0" w:after="20"/>
              <w:rPr>
                <w:b/>
                <w:color w:val="000000"/>
                <w:sz w:val="20"/>
              </w:rPr>
            </w:pPr>
            <w:r w:rsidRPr="001314CA">
              <w:rPr>
                <w:b/>
                <w:color w:val="000000"/>
                <w:sz w:val="20"/>
              </w:rPr>
              <w:t>Total au 31 décembre 2020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3452F2A" w14:textId="77777777" w:rsidR="00D215BD" w:rsidRPr="001314CA" w:rsidRDefault="00D215BD" w:rsidP="00D215BD">
            <w:pPr>
              <w:spacing w:before="0"/>
              <w:rPr>
                <w:b/>
                <w:bCs/>
                <w:color w:val="000000"/>
                <w:sz w:val="20"/>
              </w:rPr>
            </w:pPr>
          </w:p>
        </w:tc>
        <w:tc>
          <w:tcPr>
            <w:tcW w:w="1495" w:type="dxa"/>
            <w:tcBorders>
              <w:top w:val="single" w:sz="4" w:space="0" w:color="auto"/>
              <w:left w:val="nil"/>
              <w:bottom w:val="single" w:sz="4" w:space="0" w:color="auto"/>
              <w:right w:val="nil"/>
            </w:tcBorders>
            <w:noWrap/>
            <w:vAlign w:val="bottom"/>
          </w:tcPr>
          <w:p w14:paraId="502F2C1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1314CA">
              <w:rPr>
                <w:rFonts w:cs="Calibri"/>
                <w:b/>
                <w:bCs/>
                <w:sz w:val="20"/>
                <w:lang w:eastAsia="en-GB"/>
              </w:rPr>
              <w:t>10 659 594 19</w:t>
            </w:r>
          </w:p>
        </w:tc>
        <w:tc>
          <w:tcPr>
            <w:tcW w:w="1637" w:type="dxa"/>
            <w:tcBorders>
              <w:top w:val="single" w:sz="4" w:space="0" w:color="auto"/>
              <w:left w:val="single" w:sz="4" w:space="0" w:color="auto"/>
              <w:bottom w:val="single" w:sz="4" w:space="0" w:color="auto"/>
              <w:right w:val="single" w:sz="4" w:space="0" w:color="auto"/>
            </w:tcBorders>
            <w:noWrap/>
            <w:vAlign w:val="bottom"/>
          </w:tcPr>
          <w:p w14:paraId="3CBBFD7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1314CA">
              <w:rPr>
                <w:rFonts w:cs="Calibri"/>
                <w:b/>
                <w:bCs/>
                <w:sz w:val="20"/>
                <w:u w:val="single"/>
                <w:lang w:eastAsia="en-GB"/>
              </w:rPr>
              <w:t>4 550 200,64</w:t>
            </w:r>
          </w:p>
        </w:tc>
        <w:tc>
          <w:tcPr>
            <w:tcW w:w="1476" w:type="dxa"/>
            <w:tcBorders>
              <w:top w:val="single" w:sz="4" w:space="0" w:color="auto"/>
              <w:left w:val="nil"/>
              <w:bottom w:val="single" w:sz="4" w:space="0" w:color="auto"/>
              <w:right w:val="nil"/>
            </w:tcBorders>
            <w:noWrap/>
            <w:vAlign w:val="bottom"/>
          </w:tcPr>
          <w:p w14:paraId="12F6DF0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1314CA">
              <w:rPr>
                <w:rFonts w:cs="Calibri"/>
                <w:b/>
                <w:bCs/>
                <w:sz w:val="20"/>
                <w:u w:val="single"/>
                <w:lang w:eastAsia="en-GB"/>
              </w:rPr>
              <w:t>2 362 507,72</w:t>
            </w:r>
          </w:p>
        </w:tc>
        <w:tc>
          <w:tcPr>
            <w:tcW w:w="1506" w:type="dxa"/>
            <w:tcBorders>
              <w:top w:val="single" w:sz="4" w:space="0" w:color="auto"/>
              <w:left w:val="single" w:sz="4" w:space="0" w:color="auto"/>
              <w:bottom w:val="single" w:sz="4" w:space="0" w:color="auto"/>
              <w:right w:val="single" w:sz="4" w:space="0" w:color="auto"/>
            </w:tcBorders>
            <w:noWrap/>
            <w:vAlign w:val="bottom"/>
          </w:tcPr>
          <w:p w14:paraId="23D5BBA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1314CA">
              <w:rPr>
                <w:rFonts w:cs="Calibri"/>
                <w:b/>
                <w:bCs/>
                <w:sz w:val="20"/>
                <w:u w:val="single"/>
                <w:lang w:eastAsia="en-GB"/>
              </w:rPr>
              <w:t>0,00</w:t>
            </w:r>
          </w:p>
        </w:tc>
        <w:tc>
          <w:tcPr>
            <w:tcW w:w="1417" w:type="dxa"/>
            <w:tcBorders>
              <w:top w:val="single" w:sz="4" w:space="0" w:color="auto"/>
              <w:left w:val="nil"/>
              <w:bottom w:val="single" w:sz="4" w:space="0" w:color="auto"/>
              <w:right w:val="nil"/>
            </w:tcBorders>
            <w:noWrap/>
            <w:vAlign w:val="bottom"/>
          </w:tcPr>
          <w:p w14:paraId="598C8F1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1314CA">
              <w:rPr>
                <w:rFonts w:cs="Calibri"/>
                <w:b/>
                <w:bCs/>
                <w:sz w:val="20"/>
                <w:u w:val="single"/>
                <w:lang w:eastAsia="en-GB"/>
              </w:rPr>
              <w:t>–200 325,50</w:t>
            </w:r>
          </w:p>
        </w:tc>
        <w:tc>
          <w:tcPr>
            <w:tcW w:w="1560" w:type="dxa"/>
            <w:tcBorders>
              <w:top w:val="single" w:sz="4" w:space="0" w:color="auto"/>
              <w:left w:val="single" w:sz="4" w:space="0" w:color="auto"/>
              <w:bottom w:val="single" w:sz="4" w:space="0" w:color="auto"/>
              <w:right w:val="single" w:sz="4" w:space="0" w:color="auto"/>
            </w:tcBorders>
            <w:noWrap/>
            <w:vAlign w:val="bottom"/>
          </w:tcPr>
          <w:p w14:paraId="00596F1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1314CA">
              <w:rPr>
                <w:rFonts w:cs="Calibri"/>
                <w:b/>
                <w:bCs/>
                <w:sz w:val="20"/>
                <w:u w:val="single"/>
                <w:lang w:eastAsia="en-GB"/>
              </w:rPr>
              <w:t>6 712 382,86</w:t>
            </w:r>
          </w:p>
        </w:tc>
      </w:tr>
    </w:tbl>
    <w:p w14:paraId="23D36AC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sz w:val="28"/>
        </w:rPr>
      </w:pPr>
      <w:bookmarkStart w:id="3190" w:name="RANGE!A41:P68"/>
      <w:bookmarkEnd w:id="3190"/>
      <w:r w:rsidRPr="001314CA">
        <w:rPr>
          <w:sz w:val="28"/>
        </w:rPr>
        <w:br w:type="page"/>
      </w:r>
    </w:p>
    <w:p w14:paraId="00B392E0" w14:textId="77777777" w:rsidR="00D215BD" w:rsidRPr="001314CA" w:rsidRDefault="00D215BD" w:rsidP="00D215BD">
      <w:pPr>
        <w:pStyle w:val="Tabletitle"/>
        <w:rPr>
          <w:sz w:val="28"/>
          <w:szCs w:val="28"/>
        </w:rPr>
      </w:pPr>
      <w:r w:rsidRPr="001314CA">
        <w:rPr>
          <w:sz w:val="28"/>
          <w:szCs w:val="28"/>
        </w:rPr>
        <w:lastRenderedPageBreak/>
        <w:t xml:space="preserve">Montants dus concernant les comptes spéciaux d'arriérés supprimés </w:t>
      </w:r>
      <w:r w:rsidRPr="001314CA">
        <w:rPr>
          <w:sz w:val="28"/>
          <w:szCs w:val="28"/>
        </w:rPr>
        <w:br/>
        <w:t>(accords d'amortissement supprimés pour non-paiement)</w:t>
      </w:r>
    </w:p>
    <w:tbl>
      <w:tblPr>
        <w:tblW w:w="13914" w:type="dxa"/>
        <w:tblInd w:w="93" w:type="dxa"/>
        <w:tblLayout w:type="fixed"/>
        <w:tblLook w:val="04A0" w:firstRow="1" w:lastRow="0" w:firstColumn="1" w:lastColumn="0" w:noHBand="0" w:noVBand="1"/>
        <w:tblCaption w:val="MONTANTS DUS CONCERNANT LES COMPTES SPÉCIAUX D'ARRIÉRÉS SUPPRIMÉS (ACCORDS D'AMORTISSEMENT SUPPRIMÉS POUR NON-PAIEMENT)"/>
      </w:tblPr>
      <w:tblGrid>
        <w:gridCol w:w="3163"/>
        <w:gridCol w:w="1701"/>
        <w:gridCol w:w="1701"/>
        <w:gridCol w:w="1506"/>
        <w:gridCol w:w="1612"/>
        <w:gridCol w:w="1324"/>
        <w:gridCol w:w="1395"/>
        <w:gridCol w:w="1512"/>
      </w:tblGrid>
      <w:tr w:rsidR="00D215BD" w:rsidRPr="001314CA" w14:paraId="0C49609E" w14:textId="77777777" w:rsidTr="00D215BD">
        <w:trPr>
          <w:trHeight w:val="255"/>
        </w:trPr>
        <w:tc>
          <w:tcPr>
            <w:tcW w:w="3163" w:type="dxa"/>
            <w:tcBorders>
              <w:top w:val="single" w:sz="4" w:space="0" w:color="auto"/>
              <w:left w:val="single" w:sz="4" w:space="0" w:color="auto"/>
              <w:bottom w:val="single" w:sz="4" w:space="0" w:color="auto"/>
              <w:right w:val="single" w:sz="4" w:space="0" w:color="auto"/>
            </w:tcBorders>
            <w:shd w:val="clear" w:color="auto" w:fill="auto"/>
            <w:noWrap/>
            <w:hideMark/>
          </w:tcPr>
          <w:p w14:paraId="04163903" w14:textId="77777777" w:rsidR="00D215BD" w:rsidRPr="001314CA" w:rsidRDefault="00D215BD" w:rsidP="00D215BD">
            <w:pPr>
              <w:tabs>
                <w:tab w:val="clear" w:pos="567"/>
                <w:tab w:val="clear" w:pos="1134"/>
                <w:tab w:val="clear" w:pos="1701"/>
                <w:tab w:val="clear" w:pos="2268"/>
                <w:tab w:val="clear" w:pos="2835"/>
              </w:tabs>
              <w:spacing w:before="0"/>
              <w:jc w:val="center"/>
              <w:rPr>
                <w:rFonts w:cs="Calibri"/>
                <w:b/>
                <w:color w:val="000000"/>
                <w:sz w:val="20"/>
              </w:rPr>
            </w:pPr>
            <w:r w:rsidRPr="001314CA">
              <w:rPr>
                <w:rFonts w:cs="Calibri"/>
                <w:b/>
                <w:color w:val="000000"/>
                <w:sz w:val="20"/>
              </w:rPr>
              <w:t>États Membres – Membres de Secteur/Entreprises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395E891" w14:textId="77777777" w:rsidR="00D215BD" w:rsidRPr="001314CA" w:rsidRDefault="00D215BD" w:rsidP="00D215BD">
            <w:pPr>
              <w:tabs>
                <w:tab w:val="clear" w:pos="567"/>
                <w:tab w:val="clear" w:pos="1134"/>
                <w:tab w:val="clear" w:pos="1701"/>
                <w:tab w:val="clear" w:pos="2268"/>
                <w:tab w:val="clear" w:pos="2835"/>
              </w:tabs>
              <w:spacing w:before="0"/>
              <w:jc w:val="center"/>
              <w:rPr>
                <w:rFonts w:cs="Calibri"/>
                <w:b/>
                <w:color w:val="000000"/>
                <w:sz w:val="20"/>
              </w:rPr>
            </w:pPr>
            <w:r w:rsidRPr="001314CA">
              <w:rPr>
                <w:rFonts w:cs="Calibri"/>
                <w:b/>
                <w:color w:val="000000"/>
                <w:sz w:val="20"/>
              </w:rPr>
              <w:t xml:space="preserve">Résolutions </w:t>
            </w:r>
            <w:r w:rsidRPr="001314CA">
              <w:rPr>
                <w:rFonts w:cs="Calibri"/>
                <w:b/>
                <w:color w:val="000000"/>
                <w:sz w:val="20"/>
              </w:rPr>
              <w:br/>
              <w:t>de la PP</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907E069" w14:textId="77777777" w:rsidR="00D215BD" w:rsidRPr="001314CA" w:rsidRDefault="00D215BD" w:rsidP="00D215BD">
            <w:pPr>
              <w:tabs>
                <w:tab w:val="clear" w:pos="567"/>
                <w:tab w:val="clear" w:pos="1134"/>
                <w:tab w:val="clear" w:pos="1701"/>
                <w:tab w:val="clear" w:pos="2268"/>
                <w:tab w:val="clear" w:pos="2835"/>
              </w:tabs>
              <w:spacing w:before="0"/>
              <w:jc w:val="center"/>
              <w:rPr>
                <w:rFonts w:cs="Calibri"/>
                <w:b/>
                <w:sz w:val="20"/>
              </w:rPr>
            </w:pPr>
            <w:r w:rsidRPr="001314CA">
              <w:rPr>
                <w:rFonts w:cs="Calibri"/>
                <w:b/>
                <w:sz w:val="20"/>
              </w:rPr>
              <w:t>Transfert dans des comptes d'arriérés spéciaux supprimés</w:t>
            </w:r>
          </w:p>
        </w:tc>
        <w:tc>
          <w:tcPr>
            <w:tcW w:w="1506" w:type="dxa"/>
            <w:tcBorders>
              <w:top w:val="single" w:sz="4" w:space="0" w:color="auto"/>
              <w:left w:val="single" w:sz="4" w:space="0" w:color="auto"/>
              <w:bottom w:val="single" w:sz="4" w:space="0" w:color="auto"/>
              <w:right w:val="single" w:sz="4" w:space="0" w:color="auto"/>
            </w:tcBorders>
            <w:shd w:val="clear" w:color="auto" w:fill="auto"/>
            <w:noWrap/>
            <w:hideMark/>
          </w:tcPr>
          <w:p w14:paraId="0E38D0E6" w14:textId="77777777" w:rsidR="00D215BD" w:rsidRPr="001314CA" w:rsidRDefault="00D215BD" w:rsidP="00D215BD">
            <w:pPr>
              <w:tabs>
                <w:tab w:val="clear" w:pos="567"/>
                <w:tab w:val="clear" w:pos="1134"/>
                <w:tab w:val="clear" w:pos="1701"/>
                <w:tab w:val="clear" w:pos="2268"/>
                <w:tab w:val="clear" w:pos="2835"/>
              </w:tabs>
              <w:spacing w:before="0"/>
              <w:jc w:val="center"/>
              <w:rPr>
                <w:rFonts w:cs="Calibri"/>
                <w:b/>
                <w:color w:val="000000"/>
                <w:sz w:val="20"/>
              </w:rPr>
            </w:pPr>
            <w:r w:rsidRPr="001314CA">
              <w:rPr>
                <w:rFonts w:cs="Calibri"/>
                <w:b/>
                <w:color w:val="000000"/>
                <w:sz w:val="20"/>
              </w:rPr>
              <w:t>Solde au</w:t>
            </w:r>
            <w:r w:rsidRPr="001314CA">
              <w:rPr>
                <w:rFonts w:cs="Calibri"/>
                <w:b/>
                <w:color w:val="000000"/>
                <w:sz w:val="20"/>
              </w:rPr>
              <w:br/>
              <w:t>31.12.2019</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34B2B63C" w14:textId="77777777" w:rsidR="00D215BD" w:rsidRPr="001314CA" w:rsidRDefault="00D215BD" w:rsidP="00D215BD">
            <w:pPr>
              <w:tabs>
                <w:tab w:val="clear" w:pos="567"/>
                <w:tab w:val="clear" w:pos="1134"/>
                <w:tab w:val="clear" w:pos="1701"/>
                <w:tab w:val="clear" w:pos="2268"/>
                <w:tab w:val="clear" w:pos="2835"/>
              </w:tabs>
              <w:spacing w:before="0"/>
              <w:jc w:val="center"/>
              <w:rPr>
                <w:rFonts w:cs="Calibri"/>
                <w:b/>
                <w:sz w:val="20"/>
              </w:rPr>
            </w:pPr>
            <w:r w:rsidRPr="001314CA">
              <w:rPr>
                <w:rFonts w:cs="Calibri"/>
                <w:b/>
                <w:sz w:val="20"/>
              </w:rPr>
              <w:t>Mouvements</w:t>
            </w:r>
            <w:r w:rsidRPr="001314CA">
              <w:rPr>
                <w:rFonts w:cs="Calibri"/>
                <w:b/>
                <w:sz w:val="20"/>
              </w:rPr>
              <w:br/>
              <w:t>2020</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4705FBDB" w14:textId="77777777" w:rsidR="00D215BD" w:rsidRPr="001314CA" w:rsidRDefault="00D215BD" w:rsidP="00D215BD">
            <w:pPr>
              <w:tabs>
                <w:tab w:val="clear" w:pos="567"/>
                <w:tab w:val="clear" w:pos="1134"/>
                <w:tab w:val="clear" w:pos="1701"/>
                <w:tab w:val="clear" w:pos="2268"/>
                <w:tab w:val="clear" w:pos="2835"/>
              </w:tabs>
              <w:spacing w:before="0"/>
              <w:jc w:val="center"/>
              <w:rPr>
                <w:rFonts w:cs="Calibri"/>
                <w:b/>
                <w:sz w:val="20"/>
              </w:rPr>
            </w:pPr>
            <w:r w:rsidRPr="001314CA">
              <w:rPr>
                <w:rFonts w:cs="Calibri"/>
                <w:b/>
                <w:sz w:val="20"/>
              </w:rPr>
              <w:t>Intérêts</w:t>
            </w:r>
            <w:r w:rsidRPr="001314CA">
              <w:rPr>
                <w:rFonts w:cs="Calibri"/>
                <w:b/>
                <w:sz w:val="20"/>
              </w:rPr>
              <w:br/>
              <w:t>2020</w:t>
            </w:r>
          </w:p>
        </w:tc>
        <w:tc>
          <w:tcPr>
            <w:tcW w:w="1395" w:type="dxa"/>
            <w:tcBorders>
              <w:top w:val="single" w:sz="4" w:space="0" w:color="auto"/>
              <w:left w:val="single" w:sz="4" w:space="0" w:color="auto"/>
              <w:bottom w:val="single" w:sz="4" w:space="0" w:color="auto"/>
              <w:right w:val="single" w:sz="4" w:space="0" w:color="auto"/>
            </w:tcBorders>
            <w:shd w:val="clear" w:color="auto" w:fill="auto"/>
            <w:noWrap/>
            <w:hideMark/>
          </w:tcPr>
          <w:p w14:paraId="4B9BD527" w14:textId="77777777" w:rsidR="00D215BD" w:rsidRPr="001314CA" w:rsidRDefault="00D215BD" w:rsidP="00D215BD">
            <w:pPr>
              <w:tabs>
                <w:tab w:val="clear" w:pos="567"/>
                <w:tab w:val="clear" w:pos="1134"/>
                <w:tab w:val="clear" w:pos="1701"/>
                <w:tab w:val="clear" w:pos="2268"/>
                <w:tab w:val="clear" w:pos="2835"/>
              </w:tabs>
              <w:spacing w:before="0"/>
              <w:jc w:val="center"/>
              <w:rPr>
                <w:rFonts w:cs="Calibri"/>
                <w:b/>
                <w:sz w:val="20"/>
              </w:rPr>
            </w:pPr>
            <w:r w:rsidRPr="001314CA">
              <w:rPr>
                <w:rFonts w:cs="Calibri"/>
                <w:b/>
                <w:sz w:val="20"/>
              </w:rPr>
              <w:t>Paiements</w:t>
            </w:r>
            <w:r w:rsidRPr="001314CA">
              <w:rPr>
                <w:rFonts w:cs="Calibri"/>
                <w:b/>
                <w:sz w:val="20"/>
              </w:rPr>
              <w:br/>
              <w:t>2020</w:t>
            </w:r>
          </w:p>
        </w:tc>
        <w:tc>
          <w:tcPr>
            <w:tcW w:w="1512" w:type="dxa"/>
            <w:tcBorders>
              <w:top w:val="single" w:sz="4" w:space="0" w:color="auto"/>
              <w:left w:val="single" w:sz="4" w:space="0" w:color="auto"/>
              <w:bottom w:val="single" w:sz="4" w:space="0" w:color="auto"/>
              <w:right w:val="single" w:sz="4" w:space="0" w:color="auto"/>
            </w:tcBorders>
            <w:shd w:val="clear" w:color="auto" w:fill="auto"/>
            <w:noWrap/>
            <w:hideMark/>
          </w:tcPr>
          <w:p w14:paraId="344D15C8" w14:textId="77777777" w:rsidR="00D215BD" w:rsidRPr="001314CA" w:rsidRDefault="00D215BD" w:rsidP="00D215BD">
            <w:pPr>
              <w:tabs>
                <w:tab w:val="clear" w:pos="567"/>
                <w:tab w:val="clear" w:pos="1134"/>
                <w:tab w:val="clear" w:pos="1701"/>
                <w:tab w:val="clear" w:pos="2268"/>
                <w:tab w:val="clear" w:pos="2835"/>
              </w:tabs>
              <w:spacing w:before="0"/>
              <w:jc w:val="center"/>
              <w:rPr>
                <w:rFonts w:cs="Calibri"/>
                <w:b/>
                <w:sz w:val="20"/>
              </w:rPr>
            </w:pPr>
            <w:r w:rsidRPr="001314CA">
              <w:rPr>
                <w:rFonts w:cs="Calibri"/>
                <w:b/>
                <w:sz w:val="20"/>
              </w:rPr>
              <w:t>Solde au</w:t>
            </w:r>
            <w:r w:rsidRPr="001314CA">
              <w:rPr>
                <w:rFonts w:cs="Calibri"/>
                <w:b/>
                <w:sz w:val="20"/>
              </w:rPr>
              <w:br/>
            </w:r>
            <w:r w:rsidRPr="001314CA">
              <w:rPr>
                <w:rFonts w:cs="Calibri"/>
                <w:b/>
                <w:color w:val="000000"/>
                <w:sz w:val="20"/>
              </w:rPr>
              <w:t>31.12.2020</w:t>
            </w:r>
          </w:p>
        </w:tc>
      </w:tr>
      <w:tr w:rsidR="00D215BD" w:rsidRPr="001314CA" w14:paraId="55FB9A0A"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tcPr>
          <w:p w14:paraId="760C4165" w14:textId="77777777" w:rsidR="00D215BD" w:rsidRPr="001314CA" w:rsidRDefault="00D215BD" w:rsidP="00D215BD">
            <w:pPr>
              <w:tabs>
                <w:tab w:val="clear" w:pos="567"/>
                <w:tab w:val="clear" w:pos="1134"/>
                <w:tab w:val="clear" w:pos="1701"/>
                <w:tab w:val="clear" w:pos="2268"/>
                <w:tab w:val="clear" w:pos="2835"/>
              </w:tabs>
              <w:spacing w:before="20" w:after="20"/>
              <w:rPr>
                <w:b/>
                <w:sz w:val="20"/>
              </w:rPr>
            </w:pPr>
          </w:p>
        </w:tc>
        <w:tc>
          <w:tcPr>
            <w:tcW w:w="1701" w:type="dxa"/>
            <w:tcBorders>
              <w:top w:val="nil"/>
              <w:left w:val="single" w:sz="4" w:space="0" w:color="auto"/>
              <w:bottom w:val="nil"/>
              <w:right w:val="single" w:sz="4" w:space="0" w:color="auto"/>
            </w:tcBorders>
            <w:shd w:val="clear" w:color="auto" w:fill="auto"/>
            <w:noWrap/>
            <w:vAlign w:val="bottom"/>
          </w:tcPr>
          <w:p w14:paraId="4F35C224" w14:textId="77777777" w:rsidR="00D215BD" w:rsidRPr="001314CA" w:rsidRDefault="00D215BD" w:rsidP="00D215BD">
            <w:pPr>
              <w:tabs>
                <w:tab w:val="clear" w:pos="567"/>
                <w:tab w:val="clear" w:pos="1134"/>
                <w:tab w:val="clear" w:pos="1701"/>
                <w:tab w:val="clear" w:pos="2268"/>
                <w:tab w:val="clear" w:pos="2835"/>
              </w:tabs>
              <w:spacing w:before="20" w:after="20"/>
              <w:rPr>
                <w:sz w:val="20"/>
              </w:rPr>
            </w:pPr>
          </w:p>
        </w:tc>
        <w:tc>
          <w:tcPr>
            <w:tcW w:w="1701" w:type="dxa"/>
            <w:tcBorders>
              <w:top w:val="nil"/>
              <w:left w:val="single" w:sz="4" w:space="0" w:color="auto"/>
              <w:bottom w:val="nil"/>
              <w:right w:val="single" w:sz="4" w:space="0" w:color="auto"/>
            </w:tcBorders>
            <w:shd w:val="clear" w:color="auto" w:fill="auto"/>
            <w:noWrap/>
            <w:vAlign w:val="bottom"/>
          </w:tcPr>
          <w:p w14:paraId="5C65C20F"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c>
          <w:tcPr>
            <w:tcW w:w="1506" w:type="dxa"/>
            <w:tcBorders>
              <w:top w:val="nil"/>
              <w:left w:val="single" w:sz="4" w:space="0" w:color="auto"/>
              <w:bottom w:val="nil"/>
              <w:right w:val="single" w:sz="4" w:space="0" w:color="auto"/>
            </w:tcBorders>
            <w:shd w:val="clear" w:color="auto" w:fill="auto"/>
            <w:noWrap/>
            <w:vAlign w:val="bottom"/>
          </w:tcPr>
          <w:p w14:paraId="46D29144"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c>
          <w:tcPr>
            <w:tcW w:w="1612" w:type="dxa"/>
            <w:tcBorders>
              <w:top w:val="nil"/>
              <w:left w:val="single" w:sz="4" w:space="0" w:color="auto"/>
              <w:bottom w:val="nil"/>
              <w:right w:val="single" w:sz="4" w:space="0" w:color="auto"/>
            </w:tcBorders>
            <w:shd w:val="clear" w:color="auto" w:fill="auto"/>
            <w:noWrap/>
            <w:vAlign w:val="bottom"/>
          </w:tcPr>
          <w:p w14:paraId="171BB30D"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c>
          <w:tcPr>
            <w:tcW w:w="1324" w:type="dxa"/>
            <w:tcBorders>
              <w:top w:val="nil"/>
              <w:left w:val="single" w:sz="4" w:space="0" w:color="auto"/>
              <w:bottom w:val="nil"/>
              <w:right w:val="single" w:sz="4" w:space="0" w:color="auto"/>
            </w:tcBorders>
            <w:shd w:val="clear" w:color="auto" w:fill="auto"/>
            <w:noWrap/>
            <w:vAlign w:val="bottom"/>
          </w:tcPr>
          <w:p w14:paraId="1CB0A8EE"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c>
          <w:tcPr>
            <w:tcW w:w="1395" w:type="dxa"/>
            <w:tcBorders>
              <w:top w:val="nil"/>
              <w:left w:val="single" w:sz="4" w:space="0" w:color="auto"/>
              <w:bottom w:val="nil"/>
              <w:right w:val="single" w:sz="4" w:space="0" w:color="auto"/>
            </w:tcBorders>
            <w:shd w:val="clear" w:color="auto" w:fill="auto"/>
            <w:noWrap/>
            <w:vAlign w:val="bottom"/>
          </w:tcPr>
          <w:p w14:paraId="404D7692"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c>
          <w:tcPr>
            <w:tcW w:w="1512" w:type="dxa"/>
            <w:tcBorders>
              <w:top w:val="nil"/>
              <w:left w:val="single" w:sz="4" w:space="0" w:color="auto"/>
              <w:bottom w:val="nil"/>
              <w:right w:val="single" w:sz="4" w:space="0" w:color="auto"/>
            </w:tcBorders>
            <w:shd w:val="clear" w:color="auto" w:fill="auto"/>
            <w:noWrap/>
            <w:vAlign w:val="bottom"/>
          </w:tcPr>
          <w:p w14:paraId="76CA9D25"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r>
      <w:tr w:rsidR="00D215BD" w:rsidRPr="001314CA" w14:paraId="543D4945"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30514661" w14:textId="77777777" w:rsidR="00D215BD" w:rsidRPr="001314CA" w:rsidRDefault="00D215BD" w:rsidP="00D215BD">
            <w:pPr>
              <w:tabs>
                <w:tab w:val="clear" w:pos="567"/>
                <w:tab w:val="clear" w:pos="1134"/>
                <w:tab w:val="clear" w:pos="1701"/>
                <w:tab w:val="clear" w:pos="2268"/>
                <w:tab w:val="clear" w:pos="2835"/>
              </w:tabs>
              <w:spacing w:before="20" w:after="20"/>
              <w:rPr>
                <w:b/>
                <w:sz w:val="20"/>
              </w:rPr>
            </w:pPr>
            <w:r w:rsidRPr="001314CA">
              <w:rPr>
                <w:b/>
                <w:sz w:val="20"/>
              </w:rPr>
              <w:t>États Membres</w:t>
            </w:r>
          </w:p>
        </w:tc>
        <w:tc>
          <w:tcPr>
            <w:tcW w:w="1701" w:type="dxa"/>
            <w:tcBorders>
              <w:top w:val="nil"/>
              <w:left w:val="single" w:sz="4" w:space="0" w:color="auto"/>
              <w:bottom w:val="nil"/>
              <w:right w:val="single" w:sz="4" w:space="0" w:color="auto"/>
            </w:tcBorders>
            <w:shd w:val="clear" w:color="auto" w:fill="auto"/>
            <w:noWrap/>
            <w:vAlign w:val="bottom"/>
            <w:hideMark/>
          </w:tcPr>
          <w:p w14:paraId="3905BB6C" w14:textId="77777777" w:rsidR="00D215BD" w:rsidRPr="001314CA" w:rsidRDefault="00D215BD" w:rsidP="00D215BD">
            <w:pPr>
              <w:tabs>
                <w:tab w:val="clear" w:pos="567"/>
                <w:tab w:val="clear" w:pos="1134"/>
                <w:tab w:val="clear" w:pos="1701"/>
                <w:tab w:val="clear" w:pos="2268"/>
                <w:tab w:val="clear" w:pos="2835"/>
              </w:tabs>
              <w:spacing w:before="20" w:after="20"/>
              <w:rPr>
                <w:sz w:val="20"/>
              </w:rPr>
            </w:pPr>
          </w:p>
        </w:tc>
        <w:tc>
          <w:tcPr>
            <w:tcW w:w="1701" w:type="dxa"/>
            <w:tcBorders>
              <w:top w:val="nil"/>
              <w:left w:val="single" w:sz="4" w:space="0" w:color="auto"/>
              <w:bottom w:val="nil"/>
              <w:right w:val="single" w:sz="4" w:space="0" w:color="auto"/>
            </w:tcBorders>
            <w:shd w:val="clear" w:color="auto" w:fill="auto"/>
            <w:noWrap/>
            <w:vAlign w:val="bottom"/>
            <w:hideMark/>
          </w:tcPr>
          <w:p w14:paraId="2BF40350"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c>
          <w:tcPr>
            <w:tcW w:w="1506" w:type="dxa"/>
            <w:tcBorders>
              <w:top w:val="nil"/>
              <w:left w:val="single" w:sz="4" w:space="0" w:color="auto"/>
              <w:bottom w:val="nil"/>
              <w:right w:val="single" w:sz="4" w:space="0" w:color="auto"/>
            </w:tcBorders>
            <w:shd w:val="clear" w:color="auto" w:fill="auto"/>
            <w:noWrap/>
            <w:vAlign w:val="bottom"/>
            <w:hideMark/>
          </w:tcPr>
          <w:p w14:paraId="4B2FEF2D"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c>
          <w:tcPr>
            <w:tcW w:w="1612" w:type="dxa"/>
            <w:tcBorders>
              <w:top w:val="nil"/>
              <w:left w:val="single" w:sz="4" w:space="0" w:color="auto"/>
              <w:bottom w:val="nil"/>
              <w:right w:val="single" w:sz="4" w:space="0" w:color="auto"/>
            </w:tcBorders>
            <w:shd w:val="clear" w:color="auto" w:fill="auto"/>
            <w:noWrap/>
            <w:vAlign w:val="bottom"/>
            <w:hideMark/>
          </w:tcPr>
          <w:p w14:paraId="08F76665"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c>
          <w:tcPr>
            <w:tcW w:w="1324" w:type="dxa"/>
            <w:tcBorders>
              <w:top w:val="nil"/>
              <w:left w:val="single" w:sz="4" w:space="0" w:color="auto"/>
              <w:bottom w:val="nil"/>
              <w:right w:val="single" w:sz="4" w:space="0" w:color="auto"/>
            </w:tcBorders>
            <w:shd w:val="clear" w:color="auto" w:fill="auto"/>
            <w:noWrap/>
            <w:vAlign w:val="bottom"/>
            <w:hideMark/>
          </w:tcPr>
          <w:p w14:paraId="161FEA64"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c>
          <w:tcPr>
            <w:tcW w:w="1395" w:type="dxa"/>
            <w:tcBorders>
              <w:top w:val="nil"/>
              <w:left w:val="single" w:sz="4" w:space="0" w:color="auto"/>
              <w:bottom w:val="nil"/>
              <w:right w:val="single" w:sz="4" w:space="0" w:color="auto"/>
            </w:tcBorders>
            <w:shd w:val="clear" w:color="auto" w:fill="auto"/>
            <w:noWrap/>
            <w:vAlign w:val="bottom"/>
            <w:hideMark/>
          </w:tcPr>
          <w:p w14:paraId="616FAC8F"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c>
          <w:tcPr>
            <w:tcW w:w="1512" w:type="dxa"/>
            <w:tcBorders>
              <w:top w:val="nil"/>
              <w:left w:val="single" w:sz="4" w:space="0" w:color="auto"/>
              <w:bottom w:val="nil"/>
              <w:right w:val="single" w:sz="4" w:space="0" w:color="auto"/>
            </w:tcBorders>
            <w:shd w:val="clear" w:color="auto" w:fill="auto"/>
            <w:noWrap/>
            <w:vAlign w:val="bottom"/>
            <w:hideMark/>
          </w:tcPr>
          <w:p w14:paraId="143BC690" w14:textId="77777777" w:rsidR="00D215BD" w:rsidRPr="001314CA" w:rsidRDefault="00D215BD" w:rsidP="00D215BD">
            <w:pPr>
              <w:tabs>
                <w:tab w:val="clear" w:pos="567"/>
                <w:tab w:val="clear" w:pos="1134"/>
                <w:tab w:val="clear" w:pos="1701"/>
                <w:tab w:val="clear" w:pos="2268"/>
                <w:tab w:val="clear" w:pos="2835"/>
              </w:tabs>
              <w:spacing w:before="20" w:after="20"/>
              <w:jc w:val="right"/>
              <w:rPr>
                <w:sz w:val="20"/>
              </w:rPr>
            </w:pPr>
          </w:p>
        </w:tc>
      </w:tr>
      <w:tr w:rsidR="00D215BD" w:rsidRPr="001314CA" w14:paraId="3AFC0B49"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4E30B66E" w14:textId="77777777" w:rsidR="00D215BD" w:rsidRPr="001314CA" w:rsidRDefault="00D215BD" w:rsidP="00D215BD">
            <w:pPr>
              <w:tabs>
                <w:tab w:val="clear" w:pos="567"/>
                <w:tab w:val="clear" w:pos="1134"/>
                <w:tab w:val="clear" w:pos="1701"/>
                <w:tab w:val="clear" w:pos="2268"/>
                <w:tab w:val="clear" w:pos="2835"/>
              </w:tabs>
              <w:spacing w:before="20" w:after="20"/>
              <w:rPr>
                <w:sz w:val="20"/>
              </w:rPr>
            </w:pPr>
            <w:r w:rsidRPr="001314CA">
              <w:rPr>
                <w:bCs/>
                <w:sz w:val="20"/>
              </w:rPr>
              <w:t>Nicaragua</w:t>
            </w:r>
          </w:p>
        </w:tc>
        <w:tc>
          <w:tcPr>
            <w:tcW w:w="1701" w:type="dxa"/>
            <w:tcBorders>
              <w:top w:val="nil"/>
              <w:left w:val="single" w:sz="4" w:space="0" w:color="auto"/>
              <w:bottom w:val="nil"/>
              <w:right w:val="single" w:sz="4" w:space="0" w:color="auto"/>
            </w:tcBorders>
            <w:shd w:val="clear" w:color="auto" w:fill="auto"/>
            <w:noWrap/>
            <w:vAlign w:val="bottom"/>
            <w:hideMark/>
          </w:tcPr>
          <w:p w14:paraId="3DD3760C" w14:textId="77777777" w:rsidR="00D215BD" w:rsidRPr="001314CA" w:rsidRDefault="00D215BD" w:rsidP="00D215BD">
            <w:pPr>
              <w:rPr>
                <w:sz w:val="20"/>
              </w:rPr>
            </w:pPr>
            <w:proofErr w:type="spellStart"/>
            <w:r w:rsidRPr="001314CA">
              <w:rPr>
                <w:sz w:val="20"/>
              </w:rPr>
              <w:t>Rés</w:t>
            </w:r>
            <w:proofErr w:type="spellEnd"/>
            <w:r w:rsidRPr="001314CA">
              <w:rPr>
                <w:sz w:val="20"/>
              </w:rPr>
              <w:t>. 41 – 2016</w:t>
            </w:r>
          </w:p>
        </w:tc>
        <w:tc>
          <w:tcPr>
            <w:tcW w:w="1701" w:type="dxa"/>
            <w:noWrap/>
            <w:vAlign w:val="bottom"/>
          </w:tcPr>
          <w:p w14:paraId="74648D4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1 462 488,98</w:t>
            </w:r>
          </w:p>
        </w:tc>
        <w:tc>
          <w:tcPr>
            <w:tcW w:w="1506" w:type="dxa"/>
            <w:tcBorders>
              <w:top w:val="nil"/>
              <w:left w:val="single" w:sz="4" w:space="0" w:color="auto"/>
              <w:bottom w:val="nil"/>
              <w:right w:val="single" w:sz="4" w:space="0" w:color="auto"/>
            </w:tcBorders>
            <w:noWrap/>
            <w:vAlign w:val="bottom"/>
          </w:tcPr>
          <w:p w14:paraId="508C3A8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1 846 068,38</w:t>
            </w:r>
          </w:p>
        </w:tc>
        <w:tc>
          <w:tcPr>
            <w:tcW w:w="1612" w:type="dxa"/>
            <w:noWrap/>
            <w:vAlign w:val="bottom"/>
          </w:tcPr>
          <w:p w14:paraId="2EAF0CC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0C89710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110 764,10</w:t>
            </w:r>
          </w:p>
        </w:tc>
        <w:tc>
          <w:tcPr>
            <w:tcW w:w="1395" w:type="dxa"/>
            <w:tcBorders>
              <w:top w:val="nil"/>
              <w:left w:val="nil"/>
              <w:bottom w:val="nil"/>
              <w:right w:val="single" w:sz="4" w:space="0" w:color="auto"/>
            </w:tcBorders>
            <w:noWrap/>
            <w:vAlign w:val="bottom"/>
          </w:tcPr>
          <w:p w14:paraId="0FC0F6E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78CBBC1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1 956 832,48</w:t>
            </w:r>
          </w:p>
        </w:tc>
      </w:tr>
      <w:tr w:rsidR="00D215BD" w:rsidRPr="001314CA" w14:paraId="644C956D"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tcPr>
          <w:p w14:paraId="7249C143" w14:textId="77777777" w:rsidR="00D215BD" w:rsidRPr="001314CA" w:rsidRDefault="00D215BD" w:rsidP="00D215BD">
            <w:pPr>
              <w:tabs>
                <w:tab w:val="clear" w:pos="567"/>
                <w:tab w:val="clear" w:pos="1134"/>
                <w:tab w:val="clear" w:pos="1701"/>
                <w:tab w:val="clear" w:pos="2268"/>
                <w:tab w:val="clear" w:pos="2835"/>
              </w:tabs>
              <w:spacing w:before="20" w:after="20"/>
              <w:rPr>
                <w:sz w:val="20"/>
              </w:rPr>
            </w:pPr>
            <w:r w:rsidRPr="001314CA">
              <w:rPr>
                <w:bCs/>
                <w:sz w:val="20"/>
              </w:rPr>
              <w:t>Guinée équatoriale</w:t>
            </w:r>
          </w:p>
        </w:tc>
        <w:tc>
          <w:tcPr>
            <w:tcW w:w="1701" w:type="dxa"/>
            <w:tcBorders>
              <w:top w:val="nil"/>
              <w:left w:val="single" w:sz="4" w:space="0" w:color="auto"/>
              <w:bottom w:val="nil"/>
              <w:right w:val="single" w:sz="4" w:space="0" w:color="auto"/>
            </w:tcBorders>
            <w:shd w:val="clear" w:color="auto" w:fill="auto"/>
            <w:noWrap/>
            <w:vAlign w:val="bottom"/>
          </w:tcPr>
          <w:p w14:paraId="12882E10" w14:textId="77777777" w:rsidR="00D215BD" w:rsidRPr="001314CA" w:rsidRDefault="00D215BD" w:rsidP="00D215BD">
            <w:pPr>
              <w:rPr>
                <w:sz w:val="20"/>
              </w:rPr>
            </w:pPr>
            <w:proofErr w:type="spellStart"/>
            <w:r w:rsidRPr="001314CA">
              <w:rPr>
                <w:sz w:val="20"/>
              </w:rPr>
              <w:t>Rés</w:t>
            </w:r>
            <w:proofErr w:type="spellEnd"/>
            <w:r w:rsidRPr="001314CA">
              <w:rPr>
                <w:sz w:val="20"/>
              </w:rPr>
              <w:t>. 41 – 2018</w:t>
            </w:r>
          </w:p>
        </w:tc>
        <w:tc>
          <w:tcPr>
            <w:tcW w:w="1701" w:type="dxa"/>
            <w:noWrap/>
            <w:vAlign w:val="bottom"/>
          </w:tcPr>
          <w:p w14:paraId="0D5BE61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118 043,75</w:t>
            </w:r>
          </w:p>
        </w:tc>
        <w:tc>
          <w:tcPr>
            <w:tcW w:w="1506" w:type="dxa"/>
            <w:tcBorders>
              <w:top w:val="nil"/>
              <w:left w:val="single" w:sz="4" w:space="0" w:color="auto"/>
              <w:bottom w:val="nil"/>
              <w:right w:val="single" w:sz="4" w:space="0" w:color="auto"/>
            </w:tcBorders>
            <w:noWrap/>
            <w:vAlign w:val="bottom"/>
          </w:tcPr>
          <w:p w14:paraId="1995F43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125 126,40</w:t>
            </w:r>
          </w:p>
        </w:tc>
        <w:tc>
          <w:tcPr>
            <w:tcW w:w="1612" w:type="dxa"/>
            <w:noWrap/>
            <w:vAlign w:val="bottom"/>
          </w:tcPr>
          <w:p w14:paraId="28C7AEB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0F8755B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7 507,60</w:t>
            </w:r>
          </w:p>
        </w:tc>
        <w:tc>
          <w:tcPr>
            <w:tcW w:w="1395" w:type="dxa"/>
            <w:tcBorders>
              <w:top w:val="nil"/>
              <w:left w:val="nil"/>
              <w:bottom w:val="nil"/>
              <w:right w:val="single" w:sz="4" w:space="0" w:color="auto"/>
            </w:tcBorders>
            <w:noWrap/>
            <w:vAlign w:val="bottom"/>
          </w:tcPr>
          <w:p w14:paraId="55EF104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4F50A81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132 634,00</w:t>
            </w:r>
          </w:p>
        </w:tc>
      </w:tr>
      <w:tr w:rsidR="00D215BD" w:rsidRPr="001314CA" w14:paraId="578C8EB2"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tcPr>
          <w:p w14:paraId="690D5D19" w14:textId="77777777" w:rsidR="00D215BD" w:rsidRPr="001314CA" w:rsidRDefault="00D215BD" w:rsidP="00D215BD">
            <w:pPr>
              <w:tabs>
                <w:tab w:val="clear" w:pos="567"/>
                <w:tab w:val="clear" w:pos="1134"/>
                <w:tab w:val="clear" w:pos="1701"/>
                <w:tab w:val="clear" w:pos="2268"/>
                <w:tab w:val="clear" w:pos="2835"/>
              </w:tabs>
              <w:spacing w:before="20" w:after="20"/>
              <w:rPr>
                <w:sz w:val="20"/>
              </w:rPr>
            </w:pPr>
            <w:r w:rsidRPr="001314CA">
              <w:rPr>
                <w:sz w:val="20"/>
              </w:rPr>
              <w:t>Comores</w:t>
            </w:r>
          </w:p>
        </w:tc>
        <w:tc>
          <w:tcPr>
            <w:tcW w:w="1701" w:type="dxa"/>
            <w:tcBorders>
              <w:top w:val="nil"/>
              <w:left w:val="single" w:sz="4" w:space="0" w:color="auto"/>
              <w:bottom w:val="nil"/>
              <w:right w:val="single" w:sz="4" w:space="0" w:color="auto"/>
            </w:tcBorders>
            <w:shd w:val="clear" w:color="auto" w:fill="auto"/>
            <w:noWrap/>
            <w:vAlign w:val="bottom"/>
          </w:tcPr>
          <w:p w14:paraId="40B97481" w14:textId="77777777" w:rsidR="00D215BD" w:rsidRPr="001314CA" w:rsidRDefault="00D215BD" w:rsidP="00D215BD">
            <w:pPr>
              <w:rPr>
                <w:sz w:val="20"/>
              </w:rPr>
            </w:pPr>
            <w:r w:rsidRPr="001314CA">
              <w:rPr>
                <w:sz w:val="20"/>
              </w:rPr>
              <w:t>Rés.41 – 2019</w:t>
            </w:r>
          </w:p>
        </w:tc>
        <w:tc>
          <w:tcPr>
            <w:tcW w:w="1701" w:type="dxa"/>
            <w:noWrap/>
            <w:vAlign w:val="bottom"/>
          </w:tcPr>
          <w:p w14:paraId="25B74C5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210 094,66</w:t>
            </w:r>
          </w:p>
        </w:tc>
        <w:tc>
          <w:tcPr>
            <w:tcW w:w="1506" w:type="dxa"/>
            <w:tcBorders>
              <w:top w:val="nil"/>
              <w:left w:val="single" w:sz="4" w:space="0" w:color="auto"/>
              <w:bottom w:val="nil"/>
              <w:right w:val="single" w:sz="4" w:space="0" w:color="auto"/>
            </w:tcBorders>
            <w:noWrap/>
            <w:vAlign w:val="bottom"/>
          </w:tcPr>
          <w:p w14:paraId="03F8400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210 094,66</w:t>
            </w:r>
          </w:p>
        </w:tc>
        <w:tc>
          <w:tcPr>
            <w:tcW w:w="1612" w:type="dxa"/>
            <w:noWrap/>
            <w:vAlign w:val="bottom"/>
          </w:tcPr>
          <w:p w14:paraId="65BE377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4D63D7E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12 605,70</w:t>
            </w:r>
          </w:p>
        </w:tc>
        <w:tc>
          <w:tcPr>
            <w:tcW w:w="1395" w:type="dxa"/>
            <w:tcBorders>
              <w:top w:val="nil"/>
              <w:left w:val="nil"/>
              <w:bottom w:val="nil"/>
              <w:right w:val="single" w:sz="4" w:space="0" w:color="auto"/>
            </w:tcBorders>
            <w:noWrap/>
            <w:vAlign w:val="bottom"/>
          </w:tcPr>
          <w:p w14:paraId="0A5DBD4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49337E9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222 700,36</w:t>
            </w:r>
          </w:p>
        </w:tc>
      </w:tr>
      <w:tr w:rsidR="00D215BD" w:rsidRPr="001314CA" w14:paraId="5080EA46"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tcPr>
          <w:p w14:paraId="464B17B5" w14:textId="77777777" w:rsidR="00D215BD" w:rsidRPr="001314CA" w:rsidRDefault="00D215BD" w:rsidP="00D215BD">
            <w:pPr>
              <w:tabs>
                <w:tab w:val="clear" w:pos="567"/>
                <w:tab w:val="clear" w:pos="1134"/>
                <w:tab w:val="clear" w:pos="1701"/>
                <w:tab w:val="clear" w:pos="2268"/>
                <w:tab w:val="clear" w:pos="2835"/>
              </w:tabs>
              <w:spacing w:before="20" w:after="20"/>
              <w:rPr>
                <w:sz w:val="20"/>
              </w:rPr>
            </w:pPr>
            <w:r w:rsidRPr="001314CA">
              <w:rPr>
                <w:sz w:val="20"/>
              </w:rPr>
              <w:t>Gambie</w:t>
            </w:r>
          </w:p>
        </w:tc>
        <w:tc>
          <w:tcPr>
            <w:tcW w:w="1701" w:type="dxa"/>
            <w:tcBorders>
              <w:top w:val="nil"/>
              <w:left w:val="single" w:sz="4" w:space="0" w:color="auto"/>
              <w:bottom w:val="nil"/>
              <w:right w:val="single" w:sz="4" w:space="0" w:color="auto"/>
            </w:tcBorders>
            <w:shd w:val="clear" w:color="auto" w:fill="auto"/>
            <w:noWrap/>
            <w:vAlign w:val="bottom"/>
          </w:tcPr>
          <w:p w14:paraId="49D95AD0" w14:textId="77777777" w:rsidR="00D215BD" w:rsidRPr="001314CA" w:rsidRDefault="00D215BD" w:rsidP="00D215BD">
            <w:pPr>
              <w:rPr>
                <w:sz w:val="20"/>
              </w:rPr>
            </w:pPr>
            <w:proofErr w:type="spellStart"/>
            <w:r w:rsidRPr="001314CA">
              <w:rPr>
                <w:sz w:val="20"/>
              </w:rPr>
              <w:t>Rés</w:t>
            </w:r>
            <w:proofErr w:type="spellEnd"/>
            <w:r w:rsidRPr="001314CA">
              <w:rPr>
                <w:sz w:val="20"/>
              </w:rPr>
              <w:t>. 41 – 2019</w:t>
            </w:r>
          </w:p>
        </w:tc>
        <w:tc>
          <w:tcPr>
            <w:tcW w:w="1701" w:type="dxa"/>
            <w:noWrap/>
            <w:vAlign w:val="bottom"/>
          </w:tcPr>
          <w:p w14:paraId="327DB22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255 414,83</w:t>
            </w:r>
          </w:p>
        </w:tc>
        <w:tc>
          <w:tcPr>
            <w:tcW w:w="1506" w:type="dxa"/>
            <w:tcBorders>
              <w:top w:val="nil"/>
              <w:left w:val="single" w:sz="4" w:space="0" w:color="auto"/>
              <w:bottom w:val="nil"/>
              <w:right w:val="single" w:sz="4" w:space="0" w:color="auto"/>
            </w:tcBorders>
            <w:noWrap/>
            <w:vAlign w:val="bottom"/>
          </w:tcPr>
          <w:p w14:paraId="1B28852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255 414,83</w:t>
            </w:r>
          </w:p>
        </w:tc>
        <w:tc>
          <w:tcPr>
            <w:tcW w:w="1612" w:type="dxa"/>
            <w:noWrap/>
            <w:vAlign w:val="bottom"/>
          </w:tcPr>
          <w:p w14:paraId="7C88A36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20F15A6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15 324,90</w:t>
            </w:r>
          </w:p>
        </w:tc>
        <w:tc>
          <w:tcPr>
            <w:tcW w:w="1395" w:type="dxa"/>
            <w:tcBorders>
              <w:top w:val="nil"/>
              <w:left w:val="nil"/>
              <w:bottom w:val="nil"/>
              <w:right w:val="single" w:sz="4" w:space="0" w:color="auto"/>
            </w:tcBorders>
            <w:noWrap/>
            <w:vAlign w:val="bottom"/>
          </w:tcPr>
          <w:p w14:paraId="6626971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717FD7A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270 739,73</w:t>
            </w:r>
          </w:p>
        </w:tc>
      </w:tr>
      <w:tr w:rsidR="00D215BD" w:rsidRPr="001314CA" w14:paraId="5567839B"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tcPr>
          <w:p w14:paraId="7CA859B7" w14:textId="77777777" w:rsidR="00D215BD" w:rsidRPr="001314CA" w:rsidRDefault="00D215BD" w:rsidP="00D215BD">
            <w:pPr>
              <w:tabs>
                <w:tab w:val="clear" w:pos="567"/>
                <w:tab w:val="clear" w:pos="1134"/>
                <w:tab w:val="clear" w:pos="1701"/>
                <w:tab w:val="clear" w:pos="2268"/>
                <w:tab w:val="clear" w:pos="2835"/>
              </w:tabs>
              <w:spacing w:before="20" w:after="20"/>
              <w:rPr>
                <w:sz w:val="20"/>
              </w:rPr>
            </w:pPr>
            <w:r w:rsidRPr="001314CA">
              <w:rPr>
                <w:sz w:val="20"/>
              </w:rPr>
              <w:t>Guinée-Bissau</w:t>
            </w:r>
          </w:p>
        </w:tc>
        <w:tc>
          <w:tcPr>
            <w:tcW w:w="1701" w:type="dxa"/>
            <w:tcBorders>
              <w:top w:val="nil"/>
              <w:left w:val="single" w:sz="4" w:space="0" w:color="auto"/>
              <w:bottom w:val="nil"/>
              <w:right w:val="single" w:sz="4" w:space="0" w:color="auto"/>
            </w:tcBorders>
            <w:shd w:val="clear" w:color="auto" w:fill="auto"/>
            <w:noWrap/>
            <w:vAlign w:val="bottom"/>
          </w:tcPr>
          <w:p w14:paraId="6186BCF6" w14:textId="77777777" w:rsidR="00D215BD" w:rsidRPr="001314CA" w:rsidRDefault="00D215BD" w:rsidP="00D215BD">
            <w:pPr>
              <w:rPr>
                <w:sz w:val="20"/>
              </w:rPr>
            </w:pPr>
            <w:proofErr w:type="spellStart"/>
            <w:r w:rsidRPr="001314CA">
              <w:rPr>
                <w:sz w:val="20"/>
              </w:rPr>
              <w:t>Rés</w:t>
            </w:r>
            <w:proofErr w:type="spellEnd"/>
            <w:r w:rsidRPr="001314CA">
              <w:rPr>
                <w:sz w:val="20"/>
              </w:rPr>
              <w:t>. 41 – 2019</w:t>
            </w:r>
          </w:p>
        </w:tc>
        <w:tc>
          <w:tcPr>
            <w:tcW w:w="1701" w:type="dxa"/>
            <w:noWrap/>
            <w:vAlign w:val="bottom"/>
          </w:tcPr>
          <w:p w14:paraId="090C106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4 416 613,50</w:t>
            </w:r>
          </w:p>
        </w:tc>
        <w:tc>
          <w:tcPr>
            <w:tcW w:w="1506" w:type="dxa"/>
            <w:tcBorders>
              <w:top w:val="nil"/>
              <w:left w:val="single" w:sz="4" w:space="0" w:color="auto"/>
              <w:bottom w:val="nil"/>
              <w:right w:val="single" w:sz="4" w:space="0" w:color="auto"/>
            </w:tcBorders>
            <w:noWrap/>
            <w:vAlign w:val="bottom"/>
          </w:tcPr>
          <w:p w14:paraId="2EDDC32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4 416 613,50</w:t>
            </w:r>
          </w:p>
        </w:tc>
        <w:tc>
          <w:tcPr>
            <w:tcW w:w="1612" w:type="dxa"/>
            <w:noWrap/>
            <w:vAlign w:val="bottom"/>
          </w:tcPr>
          <w:p w14:paraId="0C94FF3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4B10D75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264 996,80</w:t>
            </w:r>
          </w:p>
        </w:tc>
        <w:tc>
          <w:tcPr>
            <w:tcW w:w="1395" w:type="dxa"/>
            <w:tcBorders>
              <w:top w:val="nil"/>
              <w:left w:val="nil"/>
              <w:bottom w:val="nil"/>
              <w:right w:val="single" w:sz="4" w:space="0" w:color="auto"/>
            </w:tcBorders>
            <w:noWrap/>
            <w:vAlign w:val="bottom"/>
          </w:tcPr>
          <w:p w14:paraId="602150E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7929D89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4 681 610,30</w:t>
            </w:r>
          </w:p>
        </w:tc>
      </w:tr>
      <w:tr w:rsidR="00D215BD" w:rsidRPr="001314CA" w14:paraId="15822AD6"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tcPr>
          <w:p w14:paraId="7F30AE4B" w14:textId="77777777" w:rsidR="00D215BD" w:rsidRPr="001314CA" w:rsidRDefault="00D215BD" w:rsidP="00D215BD">
            <w:pPr>
              <w:tabs>
                <w:tab w:val="clear" w:pos="567"/>
                <w:tab w:val="clear" w:pos="1134"/>
                <w:tab w:val="clear" w:pos="1701"/>
                <w:tab w:val="clear" w:pos="2268"/>
                <w:tab w:val="clear" w:pos="2835"/>
              </w:tabs>
              <w:spacing w:before="20" w:after="20"/>
              <w:rPr>
                <w:sz w:val="20"/>
              </w:rPr>
            </w:pPr>
            <w:r w:rsidRPr="001314CA">
              <w:rPr>
                <w:sz w:val="20"/>
              </w:rPr>
              <w:t>Libéria</w:t>
            </w:r>
          </w:p>
        </w:tc>
        <w:tc>
          <w:tcPr>
            <w:tcW w:w="1701" w:type="dxa"/>
            <w:tcBorders>
              <w:top w:val="nil"/>
              <w:left w:val="single" w:sz="4" w:space="0" w:color="auto"/>
              <w:bottom w:val="nil"/>
              <w:right w:val="single" w:sz="4" w:space="0" w:color="auto"/>
            </w:tcBorders>
            <w:shd w:val="clear" w:color="auto" w:fill="auto"/>
            <w:noWrap/>
            <w:vAlign w:val="bottom"/>
          </w:tcPr>
          <w:p w14:paraId="099B5D0C" w14:textId="77777777" w:rsidR="00D215BD" w:rsidRPr="001314CA" w:rsidRDefault="00D215BD" w:rsidP="00D215BD">
            <w:pPr>
              <w:rPr>
                <w:sz w:val="20"/>
              </w:rPr>
            </w:pPr>
            <w:proofErr w:type="spellStart"/>
            <w:r w:rsidRPr="001314CA">
              <w:rPr>
                <w:sz w:val="20"/>
              </w:rPr>
              <w:t>Rés</w:t>
            </w:r>
            <w:proofErr w:type="spellEnd"/>
            <w:r w:rsidRPr="001314CA">
              <w:rPr>
                <w:sz w:val="20"/>
              </w:rPr>
              <w:t>. 41 – 2019</w:t>
            </w:r>
          </w:p>
        </w:tc>
        <w:tc>
          <w:tcPr>
            <w:tcW w:w="1701" w:type="dxa"/>
            <w:noWrap/>
            <w:vAlign w:val="bottom"/>
          </w:tcPr>
          <w:p w14:paraId="284D5B1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4 769 016,24</w:t>
            </w:r>
          </w:p>
        </w:tc>
        <w:tc>
          <w:tcPr>
            <w:tcW w:w="1506" w:type="dxa"/>
            <w:tcBorders>
              <w:top w:val="nil"/>
              <w:left w:val="single" w:sz="4" w:space="0" w:color="auto"/>
              <w:bottom w:val="nil"/>
              <w:right w:val="single" w:sz="4" w:space="0" w:color="auto"/>
            </w:tcBorders>
            <w:noWrap/>
            <w:vAlign w:val="bottom"/>
          </w:tcPr>
          <w:p w14:paraId="3AAD6BD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4 792 861,34</w:t>
            </w:r>
          </w:p>
        </w:tc>
        <w:tc>
          <w:tcPr>
            <w:tcW w:w="1612" w:type="dxa"/>
            <w:noWrap/>
            <w:vAlign w:val="bottom"/>
          </w:tcPr>
          <w:p w14:paraId="2A0FA83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–4 792 861,34</w:t>
            </w:r>
          </w:p>
        </w:tc>
        <w:tc>
          <w:tcPr>
            <w:tcW w:w="1324" w:type="dxa"/>
            <w:tcBorders>
              <w:top w:val="nil"/>
              <w:left w:val="single" w:sz="4" w:space="0" w:color="auto"/>
              <w:bottom w:val="nil"/>
              <w:right w:val="single" w:sz="4" w:space="0" w:color="auto"/>
            </w:tcBorders>
            <w:noWrap/>
            <w:vAlign w:val="bottom"/>
          </w:tcPr>
          <w:p w14:paraId="35B5494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395" w:type="dxa"/>
            <w:tcBorders>
              <w:top w:val="nil"/>
              <w:left w:val="nil"/>
              <w:bottom w:val="nil"/>
              <w:right w:val="single" w:sz="4" w:space="0" w:color="auto"/>
            </w:tcBorders>
            <w:noWrap/>
            <w:vAlign w:val="bottom"/>
          </w:tcPr>
          <w:p w14:paraId="06C8257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4751504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r>
      <w:tr w:rsidR="00D215BD" w:rsidRPr="001314CA" w14:paraId="6C0CF000"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tcPr>
          <w:p w14:paraId="3DB20233" w14:textId="77777777" w:rsidR="00D215BD" w:rsidRPr="001314CA" w:rsidRDefault="00D215BD" w:rsidP="00D215BD">
            <w:pPr>
              <w:tabs>
                <w:tab w:val="clear" w:pos="567"/>
                <w:tab w:val="clear" w:pos="1134"/>
                <w:tab w:val="clear" w:pos="1701"/>
                <w:tab w:val="clear" w:pos="2268"/>
                <w:tab w:val="clear" w:pos="2835"/>
              </w:tabs>
              <w:spacing w:before="20" w:after="20"/>
              <w:rPr>
                <w:bCs/>
                <w:sz w:val="20"/>
              </w:rPr>
            </w:pPr>
            <w:r w:rsidRPr="001314CA">
              <w:rPr>
                <w:bCs/>
                <w:sz w:val="20"/>
              </w:rPr>
              <w:t>Sierra Leone</w:t>
            </w:r>
          </w:p>
        </w:tc>
        <w:tc>
          <w:tcPr>
            <w:tcW w:w="1701" w:type="dxa"/>
            <w:tcBorders>
              <w:top w:val="nil"/>
              <w:left w:val="single" w:sz="4" w:space="0" w:color="auto"/>
              <w:bottom w:val="nil"/>
              <w:right w:val="single" w:sz="4" w:space="0" w:color="auto"/>
            </w:tcBorders>
            <w:shd w:val="clear" w:color="auto" w:fill="auto"/>
            <w:noWrap/>
            <w:vAlign w:val="bottom"/>
          </w:tcPr>
          <w:p w14:paraId="710B29AE" w14:textId="77777777" w:rsidR="00D215BD" w:rsidRPr="001314CA" w:rsidRDefault="00D215BD" w:rsidP="00D215BD">
            <w:pPr>
              <w:rPr>
                <w:sz w:val="20"/>
              </w:rPr>
            </w:pPr>
            <w:proofErr w:type="spellStart"/>
            <w:r w:rsidRPr="001314CA">
              <w:rPr>
                <w:sz w:val="20"/>
              </w:rPr>
              <w:t>Rés</w:t>
            </w:r>
            <w:proofErr w:type="spellEnd"/>
            <w:r w:rsidRPr="001314CA">
              <w:rPr>
                <w:sz w:val="20"/>
              </w:rPr>
              <w:t>. 41 – 2019</w:t>
            </w:r>
          </w:p>
        </w:tc>
        <w:tc>
          <w:tcPr>
            <w:tcW w:w="1701" w:type="dxa"/>
            <w:noWrap/>
            <w:vAlign w:val="bottom"/>
          </w:tcPr>
          <w:p w14:paraId="544AD92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2 731 266,28</w:t>
            </w:r>
          </w:p>
        </w:tc>
        <w:tc>
          <w:tcPr>
            <w:tcW w:w="1506" w:type="dxa"/>
            <w:tcBorders>
              <w:top w:val="nil"/>
              <w:left w:val="single" w:sz="4" w:space="0" w:color="auto"/>
              <w:bottom w:val="nil"/>
              <w:right w:val="single" w:sz="4" w:space="0" w:color="auto"/>
            </w:tcBorders>
            <w:noWrap/>
            <w:vAlign w:val="bottom"/>
          </w:tcPr>
          <w:p w14:paraId="567A224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2 731 266,28</w:t>
            </w:r>
          </w:p>
        </w:tc>
        <w:tc>
          <w:tcPr>
            <w:tcW w:w="1612" w:type="dxa"/>
            <w:noWrap/>
            <w:vAlign w:val="bottom"/>
          </w:tcPr>
          <w:p w14:paraId="26811D7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425314E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163 876,00</w:t>
            </w:r>
          </w:p>
        </w:tc>
        <w:tc>
          <w:tcPr>
            <w:tcW w:w="1395" w:type="dxa"/>
            <w:tcBorders>
              <w:top w:val="nil"/>
              <w:left w:val="nil"/>
              <w:bottom w:val="nil"/>
              <w:right w:val="single" w:sz="4" w:space="0" w:color="auto"/>
            </w:tcBorders>
            <w:noWrap/>
            <w:vAlign w:val="bottom"/>
          </w:tcPr>
          <w:p w14:paraId="085592C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55EC79E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2 895 142,28</w:t>
            </w:r>
          </w:p>
        </w:tc>
      </w:tr>
      <w:tr w:rsidR="00D215BD" w:rsidRPr="001314CA" w14:paraId="6B9868C4"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tcPr>
          <w:p w14:paraId="4760177A" w14:textId="77777777" w:rsidR="00D215BD" w:rsidRPr="001314CA" w:rsidRDefault="00D215BD" w:rsidP="00D215BD">
            <w:pPr>
              <w:tabs>
                <w:tab w:val="clear" w:pos="567"/>
                <w:tab w:val="clear" w:pos="1134"/>
                <w:tab w:val="clear" w:pos="1701"/>
                <w:tab w:val="clear" w:pos="2268"/>
                <w:tab w:val="clear" w:pos="2835"/>
              </w:tabs>
              <w:spacing w:before="20" w:after="20"/>
              <w:rPr>
                <w:bCs/>
                <w:sz w:val="20"/>
              </w:rPr>
            </w:pPr>
            <w:r w:rsidRPr="001314CA">
              <w:rPr>
                <w:bCs/>
                <w:sz w:val="20"/>
              </w:rPr>
              <w:t>République centrafricaine</w:t>
            </w:r>
          </w:p>
        </w:tc>
        <w:tc>
          <w:tcPr>
            <w:tcW w:w="1701" w:type="dxa"/>
            <w:tcBorders>
              <w:top w:val="nil"/>
              <w:left w:val="single" w:sz="4" w:space="0" w:color="auto"/>
              <w:bottom w:val="nil"/>
              <w:right w:val="single" w:sz="4" w:space="0" w:color="auto"/>
            </w:tcBorders>
            <w:shd w:val="clear" w:color="auto" w:fill="auto"/>
            <w:noWrap/>
            <w:vAlign w:val="bottom"/>
          </w:tcPr>
          <w:p w14:paraId="4C717751" w14:textId="77777777" w:rsidR="00D215BD" w:rsidRPr="001314CA" w:rsidRDefault="00D215BD" w:rsidP="00D215BD">
            <w:pPr>
              <w:rPr>
                <w:sz w:val="20"/>
              </w:rPr>
            </w:pPr>
            <w:proofErr w:type="spellStart"/>
            <w:r w:rsidRPr="001314CA">
              <w:rPr>
                <w:sz w:val="20"/>
              </w:rPr>
              <w:t>Rés</w:t>
            </w:r>
            <w:proofErr w:type="spellEnd"/>
            <w:r w:rsidRPr="001314CA">
              <w:rPr>
                <w:sz w:val="20"/>
              </w:rPr>
              <w:t>. 41 – 2020</w:t>
            </w:r>
          </w:p>
        </w:tc>
        <w:tc>
          <w:tcPr>
            <w:tcW w:w="1701" w:type="dxa"/>
            <w:noWrap/>
            <w:vAlign w:val="bottom"/>
          </w:tcPr>
          <w:p w14:paraId="37FB29A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109 952,30</w:t>
            </w:r>
          </w:p>
        </w:tc>
        <w:tc>
          <w:tcPr>
            <w:tcW w:w="1506" w:type="dxa"/>
            <w:tcBorders>
              <w:top w:val="nil"/>
              <w:left w:val="single" w:sz="4" w:space="0" w:color="auto"/>
              <w:bottom w:val="nil"/>
              <w:right w:val="single" w:sz="4" w:space="0" w:color="auto"/>
            </w:tcBorders>
            <w:noWrap/>
            <w:vAlign w:val="bottom"/>
          </w:tcPr>
          <w:p w14:paraId="3979D39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0,00</w:t>
            </w:r>
          </w:p>
        </w:tc>
        <w:tc>
          <w:tcPr>
            <w:tcW w:w="1612" w:type="dxa"/>
            <w:noWrap/>
            <w:vAlign w:val="bottom"/>
          </w:tcPr>
          <w:p w14:paraId="11B7459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109 952,30</w:t>
            </w:r>
          </w:p>
        </w:tc>
        <w:tc>
          <w:tcPr>
            <w:tcW w:w="1324" w:type="dxa"/>
            <w:tcBorders>
              <w:top w:val="nil"/>
              <w:left w:val="single" w:sz="4" w:space="0" w:color="auto"/>
              <w:bottom w:val="nil"/>
              <w:right w:val="single" w:sz="4" w:space="0" w:color="auto"/>
            </w:tcBorders>
            <w:noWrap/>
            <w:vAlign w:val="bottom"/>
          </w:tcPr>
          <w:p w14:paraId="3EF55D6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1 630,95</w:t>
            </w:r>
          </w:p>
        </w:tc>
        <w:tc>
          <w:tcPr>
            <w:tcW w:w="1395" w:type="dxa"/>
            <w:tcBorders>
              <w:top w:val="nil"/>
              <w:left w:val="nil"/>
              <w:bottom w:val="nil"/>
              <w:right w:val="single" w:sz="4" w:space="0" w:color="auto"/>
            </w:tcBorders>
            <w:noWrap/>
            <w:vAlign w:val="bottom"/>
          </w:tcPr>
          <w:p w14:paraId="660C8D4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0A94053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111 583,25</w:t>
            </w:r>
          </w:p>
        </w:tc>
      </w:tr>
      <w:tr w:rsidR="00D215BD" w:rsidRPr="001314CA" w14:paraId="4B4657A9"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tcPr>
          <w:p w14:paraId="50F80EFA" w14:textId="77777777" w:rsidR="00D215BD" w:rsidRPr="001314CA" w:rsidRDefault="00D215BD" w:rsidP="00D215BD">
            <w:pPr>
              <w:tabs>
                <w:tab w:val="clear" w:pos="567"/>
                <w:tab w:val="clear" w:pos="1134"/>
                <w:tab w:val="clear" w:pos="1701"/>
                <w:tab w:val="clear" w:pos="2268"/>
                <w:tab w:val="clear" w:pos="2835"/>
              </w:tabs>
              <w:spacing w:before="20" w:after="20"/>
              <w:rPr>
                <w:bCs/>
                <w:sz w:val="20"/>
              </w:rPr>
            </w:pPr>
            <w:r w:rsidRPr="001314CA">
              <w:rPr>
                <w:bCs/>
                <w:sz w:val="20"/>
              </w:rPr>
              <w:t>Gabon</w:t>
            </w:r>
          </w:p>
        </w:tc>
        <w:tc>
          <w:tcPr>
            <w:tcW w:w="1701" w:type="dxa"/>
            <w:tcBorders>
              <w:top w:val="nil"/>
              <w:left w:val="single" w:sz="4" w:space="0" w:color="auto"/>
              <w:bottom w:val="nil"/>
              <w:right w:val="single" w:sz="4" w:space="0" w:color="auto"/>
            </w:tcBorders>
            <w:shd w:val="clear" w:color="auto" w:fill="auto"/>
            <w:noWrap/>
            <w:vAlign w:val="bottom"/>
          </w:tcPr>
          <w:p w14:paraId="57637CB0" w14:textId="77777777" w:rsidR="00D215BD" w:rsidRPr="001314CA" w:rsidRDefault="00D215BD" w:rsidP="00D215BD">
            <w:pPr>
              <w:rPr>
                <w:sz w:val="20"/>
              </w:rPr>
            </w:pPr>
            <w:proofErr w:type="spellStart"/>
            <w:r w:rsidRPr="001314CA">
              <w:rPr>
                <w:sz w:val="20"/>
              </w:rPr>
              <w:t>Rés</w:t>
            </w:r>
            <w:proofErr w:type="spellEnd"/>
            <w:r w:rsidRPr="001314CA">
              <w:rPr>
                <w:sz w:val="20"/>
              </w:rPr>
              <w:t>. 41 – 2020</w:t>
            </w:r>
          </w:p>
        </w:tc>
        <w:tc>
          <w:tcPr>
            <w:tcW w:w="1701" w:type="dxa"/>
            <w:noWrap/>
            <w:vAlign w:val="bottom"/>
          </w:tcPr>
          <w:p w14:paraId="1EB34D0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267 633,89</w:t>
            </w:r>
          </w:p>
        </w:tc>
        <w:tc>
          <w:tcPr>
            <w:tcW w:w="1506" w:type="dxa"/>
            <w:tcBorders>
              <w:top w:val="nil"/>
              <w:left w:val="single" w:sz="4" w:space="0" w:color="auto"/>
              <w:bottom w:val="nil"/>
              <w:right w:val="single" w:sz="4" w:space="0" w:color="auto"/>
            </w:tcBorders>
            <w:noWrap/>
            <w:vAlign w:val="bottom"/>
          </w:tcPr>
          <w:p w14:paraId="5F9F886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0,00</w:t>
            </w:r>
          </w:p>
        </w:tc>
        <w:tc>
          <w:tcPr>
            <w:tcW w:w="1612" w:type="dxa"/>
            <w:noWrap/>
            <w:vAlign w:val="bottom"/>
          </w:tcPr>
          <w:p w14:paraId="0641608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267 633,89</w:t>
            </w:r>
          </w:p>
        </w:tc>
        <w:tc>
          <w:tcPr>
            <w:tcW w:w="1324" w:type="dxa"/>
            <w:tcBorders>
              <w:top w:val="nil"/>
              <w:left w:val="single" w:sz="4" w:space="0" w:color="auto"/>
              <w:bottom w:val="nil"/>
              <w:right w:val="single" w:sz="4" w:space="0" w:color="auto"/>
            </w:tcBorders>
            <w:noWrap/>
            <w:vAlign w:val="bottom"/>
          </w:tcPr>
          <w:p w14:paraId="1520742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2 676,35</w:t>
            </w:r>
          </w:p>
        </w:tc>
        <w:tc>
          <w:tcPr>
            <w:tcW w:w="1395" w:type="dxa"/>
            <w:tcBorders>
              <w:top w:val="nil"/>
              <w:left w:val="nil"/>
              <w:bottom w:val="nil"/>
              <w:right w:val="single" w:sz="4" w:space="0" w:color="auto"/>
            </w:tcBorders>
            <w:noWrap/>
            <w:vAlign w:val="bottom"/>
          </w:tcPr>
          <w:p w14:paraId="1914F1F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53930C2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270 310,24</w:t>
            </w:r>
          </w:p>
        </w:tc>
      </w:tr>
      <w:tr w:rsidR="00D215BD" w:rsidRPr="001314CA" w14:paraId="463B62DA"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tcPr>
          <w:p w14:paraId="649DD545" w14:textId="77777777" w:rsidR="00D215BD" w:rsidRPr="001314CA" w:rsidRDefault="00D215BD" w:rsidP="00D215BD">
            <w:pPr>
              <w:tabs>
                <w:tab w:val="clear" w:pos="567"/>
                <w:tab w:val="clear" w:pos="1134"/>
                <w:tab w:val="clear" w:pos="1701"/>
                <w:tab w:val="clear" w:pos="2268"/>
                <w:tab w:val="clear" w:pos="2835"/>
              </w:tabs>
              <w:spacing w:before="20" w:after="20"/>
              <w:rPr>
                <w:bCs/>
                <w:sz w:val="20"/>
              </w:rPr>
            </w:pPr>
            <w:r w:rsidRPr="001314CA">
              <w:rPr>
                <w:bCs/>
                <w:sz w:val="20"/>
              </w:rPr>
              <w:t>Somalie</w:t>
            </w:r>
          </w:p>
        </w:tc>
        <w:tc>
          <w:tcPr>
            <w:tcW w:w="1701" w:type="dxa"/>
            <w:tcBorders>
              <w:top w:val="nil"/>
              <w:left w:val="single" w:sz="4" w:space="0" w:color="auto"/>
              <w:bottom w:val="nil"/>
              <w:right w:val="single" w:sz="4" w:space="0" w:color="auto"/>
            </w:tcBorders>
            <w:shd w:val="clear" w:color="auto" w:fill="auto"/>
            <w:noWrap/>
            <w:vAlign w:val="bottom"/>
          </w:tcPr>
          <w:p w14:paraId="160BA0F8" w14:textId="77777777" w:rsidR="00D215BD" w:rsidRPr="001314CA" w:rsidRDefault="00D215BD" w:rsidP="00D215BD">
            <w:pPr>
              <w:rPr>
                <w:sz w:val="20"/>
              </w:rPr>
            </w:pPr>
            <w:proofErr w:type="spellStart"/>
            <w:r w:rsidRPr="001314CA">
              <w:rPr>
                <w:sz w:val="20"/>
              </w:rPr>
              <w:t>Rés</w:t>
            </w:r>
            <w:proofErr w:type="spellEnd"/>
            <w:r w:rsidRPr="001314CA">
              <w:rPr>
                <w:sz w:val="20"/>
              </w:rPr>
              <w:t>. 41 – 2020</w:t>
            </w:r>
          </w:p>
        </w:tc>
        <w:tc>
          <w:tcPr>
            <w:tcW w:w="1701" w:type="dxa"/>
            <w:noWrap/>
            <w:vAlign w:val="bottom"/>
          </w:tcPr>
          <w:p w14:paraId="572B08F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2 093 262,73</w:t>
            </w:r>
          </w:p>
        </w:tc>
        <w:tc>
          <w:tcPr>
            <w:tcW w:w="1506" w:type="dxa"/>
            <w:tcBorders>
              <w:top w:val="nil"/>
              <w:left w:val="single" w:sz="4" w:space="0" w:color="auto"/>
              <w:bottom w:val="nil"/>
              <w:right w:val="single" w:sz="4" w:space="0" w:color="auto"/>
            </w:tcBorders>
            <w:noWrap/>
            <w:vAlign w:val="bottom"/>
          </w:tcPr>
          <w:p w14:paraId="2903880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0,00</w:t>
            </w:r>
          </w:p>
        </w:tc>
        <w:tc>
          <w:tcPr>
            <w:tcW w:w="1612" w:type="dxa"/>
            <w:noWrap/>
            <w:vAlign w:val="bottom"/>
          </w:tcPr>
          <w:p w14:paraId="07874DE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2 093 262,73</w:t>
            </w:r>
          </w:p>
        </w:tc>
        <w:tc>
          <w:tcPr>
            <w:tcW w:w="1324" w:type="dxa"/>
            <w:tcBorders>
              <w:top w:val="nil"/>
              <w:left w:val="single" w:sz="4" w:space="0" w:color="auto"/>
              <w:bottom w:val="nil"/>
              <w:right w:val="single" w:sz="4" w:space="0" w:color="auto"/>
            </w:tcBorders>
            <w:noWrap/>
            <w:vAlign w:val="bottom"/>
          </w:tcPr>
          <w:p w14:paraId="6CC3DE4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31 050,05</w:t>
            </w:r>
          </w:p>
        </w:tc>
        <w:tc>
          <w:tcPr>
            <w:tcW w:w="1395" w:type="dxa"/>
            <w:tcBorders>
              <w:top w:val="nil"/>
              <w:left w:val="nil"/>
              <w:bottom w:val="nil"/>
              <w:right w:val="single" w:sz="4" w:space="0" w:color="auto"/>
            </w:tcBorders>
            <w:noWrap/>
            <w:vAlign w:val="bottom"/>
          </w:tcPr>
          <w:p w14:paraId="3132F0F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0A53A70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1314CA">
              <w:rPr>
                <w:rFonts w:cs="Calibri"/>
                <w:sz w:val="20"/>
                <w:lang w:eastAsia="en-GB"/>
              </w:rPr>
              <w:t>2 124 312,78</w:t>
            </w:r>
          </w:p>
        </w:tc>
      </w:tr>
      <w:tr w:rsidR="00D215BD" w:rsidRPr="001314CA" w14:paraId="76105E2A" w14:textId="77777777" w:rsidTr="00D215BD">
        <w:trPr>
          <w:trHeight w:val="230"/>
        </w:trPr>
        <w:tc>
          <w:tcPr>
            <w:tcW w:w="3163" w:type="dxa"/>
            <w:tcBorders>
              <w:top w:val="nil"/>
              <w:left w:val="single" w:sz="4" w:space="0" w:color="auto"/>
              <w:bottom w:val="nil"/>
              <w:right w:val="single" w:sz="4" w:space="0" w:color="auto"/>
            </w:tcBorders>
            <w:shd w:val="clear" w:color="auto" w:fill="auto"/>
            <w:noWrap/>
            <w:vAlign w:val="bottom"/>
          </w:tcPr>
          <w:p w14:paraId="6F4C1E95" w14:textId="77777777" w:rsidR="00D215BD" w:rsidRPr="001314CA" w:rsidRDefault="00D215BD" w:rsidP="00D215BD">
            <w:pPr>
              <w:tabs>
                <w:tab w:val="clear" w:pos="567"/>
                <w:tab w:val="clear" w:pos="1134"/>
                <w:tab w:val="clear" w:pos="1701"/>
                <w:tab w:val="clear" w:pos="2268"/>
                <w:tab w:val="clear" w:pos="2835"/>
              </w:tabs>
              <w:spacing w:before="20" w:after="20"/>
              <w:rPr>
                <w:b/>
                <w:sz w:val="20"/>
              </w:rPr>
            </w:pPr>
          </w:p>
        </w:tc>
        <w:tc>
          <w:tcPr>
            <w:tcW w:w="1701" w:type="dxa"/>
            <w:tcBorders>
              <w:top w:val="nil"/>
              <w:left w:val="single" w:sz="4" w:space="0" w:color="auto"/>
              <w:bottom w:val="nil"/>
              <w:right w:val="single" w:sz="4" w:space="0" w:color="auto"/>
            </w:tcBorders>
            <w:shd w:val="clear" w:color="auto" w:fill="auto"/>
            <w:noWrap/>
            <w:vAlign w:val="bottom"/>
          </w:tcPr>
          <w:p w14:paraId="563E2EB7" w14:textId="77777777" w:rsidR="00D215BD" w:rsidRPr="001314CA" w:rsidRDefault="00D215BD" w:rsidP="00D215BD">
            <w:pPr>
              <w:jc w:val="center"/>
              <w:rPr>
                <w:b/>
                <w:bCs/>
                <w:sz w:val="20"/>
              </w:rPr>
            </w:pPr>
          </w:p>
        </w:tc>
        <w:tc>
          <w:tcPr>
            <w:tcW w:w="1701" w:type="dxa"/>
            <w:tcBorders>
              <w:top w:val="nil"/>
              <w:left w:val="single" w:sz="4" w:space="0" w:color="auto"/>
              <w:bottom w:val="nil"/>
              <w:right w:val="single" w:sz="4" w:space="0" w:color="auto"/>
            </w:tcBorders>
            <w:shd w:val="clear" w:color="auto" w:fill="auto"/>
            <w:noWrap/>
            <w:vAlign w:val="bottom"/>
          </w:tcPr>
          <w:p w14:paraId="2A931499" w14:textId="77777777" w:rsidR="00D215BD" w:rsidRPr="001314CA" w:rsidRDefault="00D215BD" w:rsidP="00D215BD">
            <w:pPr>
              <w:rPr>
                <w:rFonts w:ascii="Times New Roman" w:hAnsi="Times New Roman"/>
                <w:sz w:val="20"/>
              </w:rPr>
            </w:pPr>
          </w:p>
        </w:tc>
        <w:tc>
          <w:tcPr>
            <w:tcW w:w="1506" w:type="dxa"/>
            <w:tcBorders>
              <w:top w:val="nil"/>
              <w:left w:val="single" w:sz="4" w:space="0" w:color="auto"/>
              <w:bottom w:val="nil"/>
              <w:right w:val="single" w:sz="4" w:space="0" w:color="auto"/>
            </w:tcBorders>
            <w:shd w:val="clear" w:color="auto" w:fill="auto"/>
            <w:noWrap/>
            <w:vAlign w:val="bottom"/>
          </w:tcPr>
          <w:p w14:paraId="6789FD8F" w14:textId="77777777" w:rsidR="00D215BD" w:rsidRPr="001314CA" w:rsidRDefault="00D215BD" w:rsidP="00D215BD">
            <w:pPr>
              <w:rPr>
                <w:rFonts w:ascii="Times New Roman" w:hAnsi="Times New Roman"/>
                <w:sz w:val="20"/>
              </w:rPr>
            </w:pPr>
          </w:p>
        </w:tc>
        <w:tc>
          <w:tcPr>
            <w:tcW w:w="1612" w:type="dxa"/>
            <w:tcBorders>
              <w:top w:val="nil"/>
              <w:left w:val="single" w:sz="4" w:space="0" w:color="auto"/>
              <w:bottom w:val="nil"/>
              <w:right w:val="single" w:sz="4" w:space="0" w:color="auto"/>
            </w:tcBorders>
            <w:shd w:val="clear" w:color="auto" w:fill="auto"/>
            <w:noWrap/>
            <w:vAlign w:val="bottom"/>
          </w:tcPr>
          <w:p w14:paraId="33D137D5" w14:textId="77777777" w:rsidR="00D215BD" w:rsidRPr="001314CA" w:rsidRDefault="00D215BD" w:rsidP="00D215BD">
            <w:pPr>
              <w:rPr>
                <w:rFonts w:ascii="Times New Roman" w:hAnsi="Times New Roman"/>
                <w:sz w:val="20"/>
              </w:rPr>
            </w:pPr>
          </w:p>
        </w:tc>
        <w:tc>
          <w:tcPr>
            <w:tcW w:w="1324" w:type="dxa"/>
            <w:tcBorders>
              <w:top w:val="nil"/>
              <w:left w:val="single" w:sz="4" w:space="0" w:color="auto"/>
              <w:bottom w:val="nil"/>
              <w:right w:val="single" w:sz="4" w:space="0" w:color="auto"/>
            </w:tcBorders>
            <w:shd w:val="clear" w:color="auto" w:fill="auto"/>
            <w:noWrap/>
            <w:vAlign w:val="bottom"/>
          </w:tcPr>
          <w:p w14:paraId="7C57BAE5" w14:textId="77777777" w:rsidR="00D215BD" w:rsidRPr="001314CA" w:rsidRDefault="00D215BD" w:rsidP="00D215BD">
            <w:pPr>
              <w:rPr>
                <w:rFonts w:ascii="Times New Roman" w:hAnsi="Times New Roman"/>
                <w:sz w:val="20"/>
              </w:rPr>
            </w:pPr>
          </w:p>
        </w:tc>
        <w:tc>
          <w:tcPr>
            <w:tcW w:w="1395" w:type="dxa"/>
            <w:tcBorders>
              <w:top w:val="nil"/>
              <w:left w:val="single" w:sz="4" w:space="0" w:color="auto"/>
              <w:bottom w:val="nil"/>
              <w:right w:val="single" w:sz="4" w:space="0" w:color="auto"/>
            </w:tcBorders>
            <w:shd w:val="clear" w:color="auto" w:fill="auto"/>
            <w:noWrap/>
            <w:vAlign w:val="bottom"/>
          </w:tcPr>
          <w:p w14:paraId="4CA9DF33" w14:textId="77777777" w:rsidR="00D215BD" w:rsidRPr="001314CA" w:rsidRDefault="00D215BD" w:rsidP="00D215BD">
            <w:pPr>
              <w:rPr>
                <w:rFonts w:ascii="Times New Roman" w:hAnsi="Times New Roman"/>
                <w:sz w:val="20"/>
              </w:rPr>
            </w:pPr>
          </w:p>
        </w:tc>
        <w:tc>
          <w:tcPr>
            <w:tcW w:w="1512" w:type="dxa"/>
            <w:tcBorders>
              <w:top w:val="nil"/>
              <w:left w:val="single" w:sz="4" w:space="0" w:color="auto"/>
              <w:bottom w:val="nil"/>
              <w:right w:val="single" w:sz="4" w:space="0" w:color="auto"/>
            </w:tcBorders>
            <w:shd w:val="clear" w:color="auto" w:fill="auto"/>
            <w:noWrap/>
            <w:vAlign w:val="bottom"/>
          </w:tcPr>
          <w:p w14:paraId="2BE472AF" w14:textId="77777777" w:rsidR="00D215BD" w:rsidRPr="001314CA" w:rsidRDefault="00D215BD" w:rsidP="00D215BD">
            <w:pPr>
              <w:rPr>
                <w:rFonts w:ascii="Times New Roman" w:hAnsi="Times New Roman"/>
                <w:sz w:val="20"/>
              </w:rPr>
            </w:pPr>
          </w:p>
        </w:tc>
      </w:tr>
      <w:tr w:rsidR="00D215BD" w:rsidRPr="001314CA" w14:paraId="6559B00B"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6CF9731B" w14:textId="77777777" w:rsidR="00D215BD" w:rsidRPr="001314CA" w:rsidRDefault="00D215BD" w:rsidP="00D215BD">
            <w:pPr>
              <w:tabs>
                <w:tab w:val="clear" w:pos="567"/>
                <w:tab w:val="clear" w:pos="1134"/>
                <w:tab w:val="clear" w:pos="1701"/>
                <w:tab w:val="clear" w:pos="2268"/>
                <w:tab w:val="clear" w:pos="2835"/>
              </w:tabs>
              <w:spacing w:before="20" w:after="20"/>
              <w:rPr>
                <w:b/>
                <w:sz w:val="20"/>
              </w:rPr>
            </w:pPr>
            <w:r w:rsidRPr="001314CA">
              <w:rPr>
                <w:b/>
                <w:sz w:val="20"/>
              </w:rPr>
              <w:t>Membres de Secteur/Entreprises</w:t>
            </w:r>
          </w:p>
        </w:tc>
        <w:tc>
          <w:tcPr>
            <w:tcW w:w="1701" w:type="dxa"/>
            <w:tcBorders>
              <w:top w:val="nil"/>
              <w:left w:val="single" w:sz="4" w:space="0" w:color="auto"/>
              <w:bottom w:val="nil"/>
              <w:right w:val="single" w:sz="4" w:space="0" w:color="auto"/>
            </w:tcBorders>
            <w:shd w:val="clear" w:color="auto" w:fill="auto"/>
            <w:noWrap/>
            <w:vAlign w:val="bottom"/>
            <w:hideMark/>
          </w:tcPr>
          <w:p w14:paraId="38C1CAC5" w14:textId="77777777" w:rsidR="00D215BD" w:rsidRPr="001314CA" w:rsidRDefault="00D215BD" w:rsidP="00D215BD">
            <w:pPr>
              <w:jc w:val="center"/>
              <w:rPr>
                <w:b/>
                <w:bCs/>
                <w:sz w:val="20"/>
              </w:rPr>
            </w:pPr>
          </w:p>
        </w:tc>
        <w:tc>
          <w:tcPr>
            <w:tcW w:w="1701" w:type="dxa"/>
            <w:tcBorders>
              <w:top w:val="nil"/>
              <w:left w:val="single" w:sz="4" w:space="0" w:color="auto"/>
              <w:bottom w:val="nil"/>
              <w:right w:val="single" w:sz="4" w:space="0" w:color="auto"/>
            </w:tcBorders>
            <w:shd w:val="clear" w:color="auto" w:fill="auto"/>
            <w:noWrap/>
            <w:vAlign w:val="bottom"/>
            <w:hideMark/>
          </w:tcPr>
          <w:p w14:paraId="7D8CBA0F" w14:textId="77777777" w:rsidR="00D215BD" w:rsidRPr="001314CA" w:rsidRDefault="00D215BD" w:rsidP="00D215BD">
            <w:pPr>
              <w:rPr>
                <w:rFonts w:ascii="Times New Roman" w:hAnsi="Times New Roman"/>
                <w:sz w:val="20"/>
              </w:rPr>
            </w:pPr>
          </w:p>
        </w:tc>
        <w:tc>
          <w:tcPr>
            <w:tcW w:w="1506" w:type="dxa"/>
            <w:tcBorders>
              <w:top w:val="nil"/>
              <w:left w:val="single" w:sz="4" w:space="0" w:color="auto"/>
              <w:bottom w:val="nil"/>
              <w:right w:val="single" w:sz="4" w:space="0" w:color="auto"/>
            </w:tcBorders>
            <w:shd w:val="clear" w:color="auto" w:fill="auto"/>
            <w:noWrap/>
            <w:vAlign w:val="bottom"/>
            <w:hideMark/>
          </w:tcPr>
          <w:p w14:paraId="1ACAD121" w14:textId="77777777" w:rsidR="00D215BD" w:rsidRPr="001314CA" w:rsidRDefault="00D215BD" w:rsidP="00D215BD">
            <w:pPr>
              <w:rPr>
                <w:rFonts w:ascii="Times New Roman" w:hAnsi="Times New Roman"/>
                <w:sz w:val="20"/>
              </w:rPr>
            </w:pPr>
          </w:p>
        </w:tc>
        <w:tc>
          <w:tcPr>
            <w:tcW w:w="1612" w:type="dxa"/>
            <w:tcBorders>
              <w:top w:val="nil"/>
              <w:left w:val="single" w:sz="4" w:space="0" w:color="auto"/>
              <w:bottom w:val="nil"/>
              <w:right w:val="single" w:sz="4" w:space="0" w:color="auto"/>
            </w:tcBorders>
            <w:shd w:val="clear" w:color="auto" w:fill="auto"/>
            <w:noWrap/>
            <w:vAlign w:val="bottom"/>
            <w:hideMark/>
          </w:tcPr>
          <w:p w14:paraId="71C5A63E" w14:textId="77777777" w:rsidR="00D215BD" w:rsidRPr="001314CA" w:rsidRDefault="00D215BD" w:rsidP="00D215BD">
            <w:pPr>
              <w:rPr>
                <w:rFonts w:ascii="Times New Roman" w:hAnsi="Times New Roman"/>
                <w:sz w:val="20"/>
              </w:rPr>
            </w:pPr>
          </w:p>
        </w:tc>
        <w:tc>
          <w:tcPr>
            <w:tcW w:w="1324" w:type="dxa"/>
            <w:tcBorders>
              <w:top w:val="nil"/>
              <w:left w:val="single" w:sz="4" w:space="0" w:color="auto"/>
              <w:bottom w:val="nil"/>
              <w:right w:val="single" w:sz="4" w:space="0" w:color="auto"/>
            </w:tcBorders>
            <w:shd w:val="clear" w:color="auto" w:fill="auto"/>
            <w:noWrap/>
            <w:vAlign w:val="bottom"/>
            <w:hideMark/>
          </w:tcPr>
          <w:p w14:paraId="46878EC3" w14:textId="77777777" w:rsidR="00D215BD" w:rsidRPr="001314CA" w:rsidRDefault="00D215BD" w:rsidP="00D215BD">
            <w:pPr>
              <w:rPr>
                <w:rFonts w:ascii="Times New Roman" w:hAnsi="Times New Roman"/>
                <w:sz w:val="20"/>
              </w:rPr>
            </w:pPr>
          </w:p>
        </w:tc>
        <w:tc>
          <w:tcPr>
            <w:tcW w:w="1395" w:type="dxa"/>
            <w:tcBorders>
              <w:top w:val="nil"/>
              <w:left w:val="single" w:sz="4" w:space="0" w:color="auto"/>
              <w:bottom w:val="nil"/>
              <w:right w:val="single" w:sz="4" w:space="0" w:color="auto"/>
            </w:tcBorders>
            <w:shd w:val="clear" w:color="auto" w:fill="auto"/>
            <w:noWrap/>
            <w:vAlign w:val="bottom"/>
            <w:hideMark/>
          </w:tcPr>
          <w:p w14:paraId="597C9A97" w14:textId="77777777" w:rsidR="00D215BD" w:rsidRPr="001314CA" w:rsidRDefault="00D215BD" w:rsidP="00D215BD">
            <w:pPr>
              <w:rPr>
                <w:rFonts w:ascii="Times New Roman" w:hAnsi="Times New Roman"/>
                <w:sz w:val="20"/>
              </w:rPr>
            </w:pPr>
          </w:p>
        </w:tc>
        <w:tc>
          <w:tcPr>
            <w:tcW w:w="1512" w:type="dxa"/>
            <w:tcBorders>
              <w:top w:val="nil"/>
              <w:left w:val="single" w:sz="4" w:space="0" w:color="auto"/>
              <w:bottom w:val="nil"/>
              <w:right w:val="single" w:sz="4" w:space="0" w:color="auto"/>
            </w:tcBorders>
            <w:shd w:val="clear" w:color="auto" w:fill="auto"/>
            <w:noWrap/>
            <w:vAlign w:val="bottom"/>
            <w:hideMark/>
          </w:tcPr>
          <w:p w14:paraId="1C438533" w14:textId="77777777" w:rsidR="00D215BD" w:rsidRPr="001314CA" w:rsidRDefault="00D215BD" w:rsidP="00D215BD">
            <w:pPr>
              <w:rPr>
                <w:rFonts w:ascii="Times New Roman" w:hAnsi="Times New Roman"/>
                <w:sz w:val="20"/>
              </w:rPr>
            </w:pPr>
          </w:p>
        </w:tc>
      </w:tr>
      <w:tr w:rsidR="00D215BD" w:rsidRPr="001314CA" w14:paraId="555F5E5F"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tcPr>
          <w:p w14:paraId="3CC390E1" w14:textId="77777777" w:rsidR="00D215BD" w:rsidRPr="001314CA" w:rsidRDefault="00D215BD" w:rsidP="00D215BD">
            <w:pPr>
              <w:tabs>
                <w:tab w:val="clear" w:pos="567"/>
                <w:tab w:val="clear" w:pos="1134"/>
                <w:tab w:val="clear" w:pos="1701"/>
                <w:tab w:val="clear" w:pos="2268"/>
                <w:tab w:val="clear" w:pos="2835"/>
              </w:tabs>
              <w:spacing w:before="20" w:after="20"/>
              <w:rPr>
                <w:sz w:val="20"/>
              </w:rPr>
            </w:pPr>
            <w:r w:rsidRPr="001314CA">
              <w:rPr>
                <w:sz w:val="20"/>
              </w:rPr>
              <w:t>TIT, Liban</w:t>
            </w:r>
          </w:p>
        </w:tc>
        <w:tc>
          <w:tcPr>
            <w:tcW w:w="1701" w:type="dxa"/>
            <w:tcBorders>
              <w:top w:val="nil"/>
              <w:left w:val="single" w:sz="4" w:space="0" w:color="auto"/>
              <w:bottom w:val="nil"/>
              <w:right w:val="single" w:sz="4" w:space="0" w:color="auto"/>
            </w:tcBorders>
            <w:shd w:val="clear" w:color="auto" w:fill="auto"/>
            <w:noWrap/>
            <w:vAlign w:val="bottom"/>
          </w:tcPr>
          <w:p w14:paraId="3599DD62" w14:textId="77777777" w:rsidR="00D215BD" w:rsidRPr="001314CA" w:rsidRDefault="00D215BD" w:rsidP="00D215BD">
            <w:pPr>
              <w:rPr>
                <w:sz w:val="20"/>
              </w:rPr>
            </w:pPr>
            <w:proofErr w:type="spellStart"/>
            <w:r w:rsidRPr="001314CA">
              <w:rPr>
                <w:sz w:val="20"/>
              </w:rPr>
              <w:t>Rés</w:t>
            </w:r>
            <w:proofErr w:type="spellEnd"/>
            <w:r w:rsidRPr="001314CA">
              <w:rPr>
                <w:sz w:val="20"/>
              </w:rPr>
              <w:t>. 41 – 2008</w:t>
            </w:r>
          </w:p>
        </w:tc>
        <w:tc>
          <w:tcPr>
            <w:tcW w:w="1701" w:type="dxa"/>
            <w:noWrap/>
            <w:vAlign w:val="bottom"/>
          </w:tcPr>
          <w:p w14:paraId="6ACEC3A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25 000,00</w:t>
            </w:r>
          </w:p>
        </w:tc>
        <w:tc>
          <w:tcPr>
            <w:tcW w:w="1506" w:type="dxa"/>
            <w:tcBorders>
              <w:top w:val="nil"/>
              <w:left w:val="single" w:sz="4" w:space="0" w:color="auto"/>
              <w:bottom w:val="nil"/>
              <w:right w:val="single" w:sz="4" w:space="0" w:color="auto"/>
            </w:tcBorders>
            <w:noWrap/>
            <w:vAlign w:val="bottom"/>
          </w:tcPr>
          <w:p w14:paraId="1935C43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47 457,35</w:t>
            </w:r>
          </w:p>
        </w:tc>
        <w:tc>
          <w:tcPr>
            <w:tcW w:w="1612" w:type="dxa"/>
            <w:noWrap/>
            <w:vAlign w:val="bottom"/>
          </w:tcPr>
          <w:p w14:paraId="3EB4B83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360BC7B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2 847,45</w:t>
            </w:r>
          </w:p>
        </w:tc>
        <w:tc>
          <w:tcPr>
            <w:tcW w:w="1395" w:type="dxa"/>
            <w:tcBorders>
              <w:top w:val="nil"/>
              <w:left w:val="nil"/>
              <w:bottom w:val="nil"/>
              <w:right w:val="single" w:sz="4" w:space="0" w:color="auto"/>
            </w:tcBorders>
            <w:noWrap/>
            <w:vAlign w:val="bottom"/>
          </w:tcPr>
          <w:p w14:paraId="7CFA422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27C8974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50 304,80</w:t>
            </w:r>
          </w:p>
        </w:tc>
      </w:tr>
      <w:tr w:rsidR="00D215BD" w:rsidRPr="001314CA" w14:paraId="03D671CD"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46B44079" w14:textId="77777777" w:rsidR="00D215BD" w:rsidRPr="001314CA" w:rsidRDefault="00D215BD" w:rsidP="00D215BD">
            <w:pPr>
              <w:tabs>
                <w:tab w:val="clear" w:pos="567"/>
                <w:tab w:val="clear" w:pos="1134"/>
                <w:tab w:val="clear" w:pos="1701"/>
                <w:tab w:val="clear" w:pos="2268"/>
                <w:tab w:val="clear" w:pos="2835"/>
              </w:tabs>
              <w:spacing w:before="20" w:after="20"/>
              <w:rPr>
                <w:sz w:val="20"/>
              </w:rPr>
            </w:pPr>
            <w:proofErr w:type="spellStart"/>
            <w:r w:rsidRPr="001314CA">
              <w:rPr>
                <w:sz w:val="20"/>
              </w:rPr>
              <w:t>Cameroon</w:t>
            </w:r>
            <w:proofErr w:type="spellEnd"/>
            <w:r w:rsidRPr="001314CA">
              <w:rPr>
                <w:sz w:val="20"/>
              </w:rPr>
              <w:t xml:space="preserve"> </w:t>
            </w:r>
            <w:proofErr w:type="spellStart"/>
            <w:r w:rsidRPr="001314CA">
              <w:rPr>
                <w:sz w:val="20"/>
              </w:rPr>
              <w:t>Telecomm</w:t>
            </w:r>
            <w:proofErr w:type="spellEnd"/>
            <w:r w:rsidRPr="001314CA">
              <w:rPr>
                <w:sz w:val="20"/>
              </w:rPr>
              <w:t>., Cameroun</w:t>
            </w:r>
          </w:p>
        </w:tc>
        <w:tc>
          <w:tcPr>
            <w:tcW w:w="1701" w:type="dxa"/>
            <w:tcBorders>
              <w:top w:val="nil"/>
              <w:left w:val="single" w:sz="4" w:space="0" w:color="auto"/>
              <w:bottom w:val="nil"/>
              <w:right w:val="single" w:sz="4" w:space="0" w:color="auto"/>
            </w:tcBorders>
            <w:shd w:val="clear" w:color="auto" w:fill="auto"/>
            <w:noWrap/>
            <w:vAlign w:val="bottom"/>
            <w:hideMark/>
          </w:tcPr>
          <w:p w14:paraId="0C1A3342" w14:textId="77777777" w:rsidR="00D215BD" w:rsidRPr="001314CA" w:rsidRDefault="00D215BD" w:rsidP="00D215BD">
            <w:pPr>
              <w:rPr>
                <w:sz w:val="20"/>
              </w:rPr>
            </w:pPr>
            <w:proofErr w:type="spellStart"/>
            <w:r w:rsidRPr="001314CA">
              <w:rPr>
                <w:sz w:val="20"/>
              </w:rPr>
              <w:t>Rés</w:t>
            </w:r>
            <w:proofErr w:type="spellEnd"/>
            <w:r w:rsidRPr="001314CA">
              <w:rPr>
                <w:sz w:val="20"/>
              </w:rPr>
              <w:t>. 41 – 2014</w:t>
            </w:r>
          </w:p>
        </w:tc>
        <w:tc>
          <w:tcPr>
            <w:tcW w:w="1701" w:type="dxa"/>
            <w:noWrap/>
            <w:vAlign w:val="bottom"/>
          </w:tcPr>
          <w:p w14:paraId="642D218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149 588,50</w:t>
            </w:r>
          </w:p>
        </w:tc>
        <w:tc>
          <w:tcPr>
            <w:tcW w:w="1506" w:type="dxa"/>
            <w:tcBorders>
              <w:top w:val="nil"/>
              <w:left w:val="single" w:sz="4" w:space="0" w:color="auto"/>
              <w:bottom w:val="nil"/>
              <w:right w:val="single" w:sz="4" w:space="0" w:color="auto"/>
            </w:tcBorders>
            <w:noWrap/>
            <w:vAlign w:val="bottom"/>
          </w:tcPr>
          <w:p w14:paraId="326BF48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179 512,90</w:t>
            </w:r>
          </w:p>
        </w:tc>
        <w:tc>
          <w:tcPr>
            <w:tcW w:w="1612" w:type="dxa"/>
            <w:noWrap/>
            <w:vAlign w:val="bottom"/>
          </w:tcPr>
          <w:p w14:paraId="72900F7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1BAE4C2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10 770,80</w:t>
            </w:r>
          </w:p>
        </w:tc>
        <w:tc>
          <w:tcPr>
            <w:tcW w:w="1395" w:type="dxa"/>
            <w:tcBorders>
              <w:top w:val="nil"/>
              <w:left w:val="nil"/>
              <w:bottom w:val="nil"/>
              <w:right w:val="single" w:sz="4" w:space="0" w:color="auto"/>
            </w:tcBorders>
            <w:noWrap/>
            <w:vAlign w:val="bottom"/>
          </w:tcPr>
          <w:p w14:paraId="08AD559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7CB9ED6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190 283,70</w:t>
            </w:r>
          </w:p>
        </w:tc>
      </w:tr>
      <w:tr w:rsidR="00D215BD" w:rsidRPr="001314CA" w14:paraId="13DFFF97" w14:textId="77777777" w:rsidTr="00D215BD">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54D87B0C" w14:textId="77777777" w:rsidR="00D215BD" w:rsidRPr="001314CA" w:rsidRDefault="00D215BD" w:rsidP="00D215BD">
            <w:pPr>
              <w:tabs>
                <w:tab w:val="clear" w:pos="567"/>
                <w:tab w:val="clear" w:pos="1134"/>
                <w:tab w:val="clear" w:pos="1701"/>
                <w:tab w:val="clear" w:pos="2268"/>
                <w:tab w:val="clear" w:pos="2835"/>
              </w:tabs>
              <w:spacing w:before="20" w:after="20"/>
              <w:rPr>
                <w:sz w:val="20"/>
              </w:rPr>
            </w:pPr>
            <w:proofErr w:type="spellStart"/>
            <w:r w:rsidRPr="001314CA">
              <w:rPr>
                <w:sz w:val="20"/>
              </w:rPr>
              <w:t>Ellipsat</w:t>
            </w:r>
            <w:proofErr w:type="spellEnd"/>
            <w:r w:rsidRPr="001314CA">
              <w:rPr>
                <w:sz w:val="20"/>
              </w:rPr>
              <w:t xml:space="preserve"> Inc., États-Unis</w:t>
            </w:r>
          </w:p>
        </w:tc>
        <w:tc>
          <w:tcPr>
            <w:tcW w:w="1701" w:type="dxa"/>
            <w:tcBorders>
              <w:top w:val="nil"/>
              <w:left w:val="single" w:sz="4" w:space="0" w:color="auto"/>
              <w:bottom w:val="nil"/>
              <w:right w:val="single" w:sz="4" w:space="0" w:color="auto"/>
            </w:tcBorders>
            <w:shd w:val="clear" w:color="auto" w:fill="auto"/>
            <w:noWrap/>
            <w:vAlign w:val="bottom"/>
            <w:hideMark/>
          </w:tcPr>
          <w:p w14:paraId="0FF55055" w14:textId="77777777" w:rsidR="00D215BD" w:rsidRPr="001314CA" w:rsidRDefault="00D215BD" w:rsidP="00D215BD">
            <w:pPr>
              <w:rPr>
                <w:sz w:val="20"/>
              </w:rPr>
            </w:pPr>
            <w:proofErr w:type="spellStart"/>
            <w:r w:rsidRPr="001314CA">
              <w:rPr>
                <w:sz w:val="20"/>
              </w:rPr>
              <w:t>Rés</w:t>
            </w:r>
            <w:proofErr w:type="spellEnd"/>
            <w:r w:rsidRPr="001314CA">
              <w:rPr>
                <w:sz w:val="20"/>
              </w:rPr>
              <w:t>. 41 – 2015</w:t>
            </w:r>
          </w:p>
        </w:tc>
        <w:tc>
          <w:tcPr>
            <w:tcW w:w="1701" w:type="dxa"/>
            <w:noWrap/>
            <w:vAlign w:val="bottom"/>
          </w:tcPr>
          <w:p w14:paraId="51177F9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27 865,90</w:t>
            </w:r>
          </w:p>
        </w:tc>
        <w:tc>
          <w:tcPr>
            <w:tcW w:w="1506" w:type="dxa"/>
            <w:tcBorders>
              <w:top w:val="nil"/>
              <w:left w:val="single" w:sz="4" w:space="0" w:color="auto"/>
              <w:bottom w:val="nil"/>
              <w:right w:val="single" w:sz="4" w:space="0" w:color="auto"/>
            </w:tcBorders>
            <w:noWrap/>
            <w:vAlign w:val="bottom"/>
          </w:tcPr>
          <w:p w14:paraId="0D87360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31 310,10</w:t>
            </w:r>
          </w:p>
        </w:tc>
        <w:tc>
          <w:tcPr>
            <w:tcW w:w="1612" w:type="dxa"/>
            <w:noWrap/>
            <w:vAlign w:val="bottom"/>
          </w:tcPr>
          <w:p w14:paraId="1730606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35EFB35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1 878,60</w:t>
            </w:r>
          </w:p>
        </w:tc>
        <w:tc>
          <w:tcPr>
            <w:tcW w:w="1395" w:type="dxa"/>
            <w:tcBorders>
              <w:top w:val="nil"/>
              <w:left w:val="nil"/>
              <w:bottom w:val="nil"/>
              <w:right w:val="single" w:sz="4" w:space="0" w:color="auto"/>
            </w:tcBorders>
            <w:noWrap/>
            <w:vAlign w:val="bottom"/>
          </w:tcPr>
          <w:p w14:paraId="47C04C4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373C003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33 188,70</w:t>
            </w:r>
          </w:p>
        </w:tc>
      </w:tr>
      <w:tr w:rsidR="00D215BD" w:rsidRPr="001314CA" w14:paraId="4F92642E" w14:textId="77777777" w:rsidTr="00D215BD">
        <w:trPr>
          <w:trHeight w:val="255"/>
        </w:trPr>
        <w:tc>
          <w:tcPr>
            <w:tcW w:w="3163" w:type="dxa"/>
            <w:tcBorders>
              <w:top w:val="nil"/>
              <w:left w:val="single" w:sz="4" w:space="0" w:color="auto"/>
              <w:bottom w:val="nil"/>
              <w:right w:val="single" w:sz="4" w:space="0" w:color="auto"/>
            </w:tcBorders>
            <w:shd w:val="clear" w:color="auto" w:fill="auto"/>
            <w:vAlign w:val="bottom"/>
            <w:hideMark/>
          </w:tcPr>
          <w:p w14:paraId="135D08A5" w14:textId="77777777" w:rsidR="00D215BD" w:rsidRPr="001314CA" w:rsidRDefault="00D215BD" w:rsidP="00D215BD">
            <w:pPr>
              <w:tabs>
                <w:tab w:val="clear" w:pos="567"/>
                <w:tab w:val="clear" w:pos="1134"/>
                <w:tab w:val="clear" w:pos="1701"/>
                <w:tab w:val="clear" w:pos="2268"/>
                <w:tab w:val="clear" w:pos="2835"/>
              </w:tabs>
              <w:spacing w:before="20" w:after="20"/>
              <w:rPr>
                <w:sz w:val="20"/>
              </w:rPr>
            </w:pPr>
            <w:r w:rsidRPr="001314CA">
              <w:rPr>
                <w:sz w:val="20"/>
              </w:rPr>
              <w:t>Apprentissages sans Frontières, Suisse</w:t>
            </w:r>
          </w:p>
        </w:tc>
        <w:tc>
          <w:tcPr>
            <w:tcW w:w="1701" w:type="dxa"/>
            <w:tcBorders>
              <w:top w:val="nil"/>
              <w:left w:val="single" w:sz="4" w:space="0" w:color="auto"/>
              <w:bottom w:val="nil"/>
              <w:right w:val="single" w:sz="4" w:space="0" w:color="auto"/>
            </w:tcBorders>
            <w:shd w:val="clear" w:color="auto" w:fill="auto"/>
            <w:noWrap/>
            <w:vAlign w:val="bottom"/>
            <w:hideMark/>
          </w:tcPr>
          <w:p w14:paraId="73214BAC" w14:textId="77777777" w:rsidR="00D215BD" w:rsidRPr="001314CA" w:rsidRDefault="00D215BD" w:rsidP="00D215BD">
            <w:pPr>
              <w:rPr>
                <w:sz w:val="20"/>
              </w:rPr>
            </w:pPr>
            <w:proofErr w:type="spellStart"/>
            <w:r w:rsidRPr="001314CA">
              <w:rPr>
                <w:sz w:val="20"/>
              </w:rPr>
              <w:t>Rés</w:t>
            </w:r>
            <w:proofErr w:type="spellEnd"/>
            <w:r w:rsidRPr="001314CA">
              <w:rPr>
                <w:sz w:val="20"/>
              </w:rPr>
              <w:t>. 41 – 2016</w:t>
            </w:r>
          </w:p>
        </w:tc>
        <w:tc>
          <w:tcPr>
            <w:tcW w:w="1701" w:type="dxa"/>
            <w:noWrap/>
            <w:vAlign w:val="bottom"/>
          </w:tcPr>
          <w:p w14:paraId="5F610C5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6 658,15</w:t>
            </w:r>
          </w:p>
        </w:tc>
        <w:tc>
          <w:tcPr>
            <w:tcW w:w="1506" w:type="dxa"/>
            <w:tcBorders>
              <w:top w:val="nil"/>
              <w:left w:val="single" w:sz="4" w:space="0" w:color="auto"/>
              <w:bottom w:val="nil"/>
              <w:right w:val="single" w:sz="4" w:space="0" w:color="auto"/>
            </w:tcBorders>
            <w:noWrap/>
            <w:vAlign w:val="bottom"/>
          </w:tcPr>
          <w:p w14:paraId="2923D71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8 167,90</w:t>
            </w:r>
          </w:p>
        </w:tc>
        <w:tc>
          <w:tcPr>
            <w:tcW w:w="1612" w:type="dxa"/>
            <w:noWrap/>
            <w:vAlign w:val="bottom"/>
          </w:tcPr>
          <w:p w14:paraId="5EFFC45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151BBA1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490,10</w:t>
            </w:r>
          </w:p>
        </w:tc>
        <w:tc>
          <w:tcPr>
            <w:tcW w:w="1395" w:type="dxa"/>
            <w:tcBorders>
              <w:top w:val="nil"/>
              <w:left w:val="nil"/>
              <w:bottom w:val="nil"/>
              <w:right w:val="single" w:sz="4" w:space="0" w:color="auto"/>
            </w:tcBorders>
            <w:noWrap/>
            <w:vAlign w:val="bottom"/>
          </w:tcPr>
          <w:p w14:paraId="63BEA33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0,00</w:t>
            </w:r>
          </w:p>
        </w:tc>
        <w:tc>
          <w:tcPr>
            <w:tcW w:w="1512" w:type="dxa"/>
            <w:tcBorders>
              <w:top w:val="nil"/>
              <w:left w:val="nil"/>
              <w:bottom w:val="nil"/>
              <w:right w:val="single" w:sz="4" w:space="0" w:color="auto"/>
            </w:tcBorders>
            <w:noWrap/>
            <w:vAlign w:val="bottom"/>
          </w:tcPr>
          <w:p w14:paraId="2388BB9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rFonts w:cs="Calibri"/>
                <w:sz w:val="20"/>
                <w:lang w:eastAsia="en-GB"/>
              </w:rPr>
              <w:t>8 658,00</w:t>
            </w:r>
          </w:p>
        </w:tc>
      </w:tr>
      <w:tr w:rsidR="00D215BD" w:rsidRPr="001314CA" w14:paraId="1449C9E4" w14:textId="77777777" w:rsidTr="00D215BD">
        <w:trPr>
          <w:trHeight w:val="255"/>
        </w:trPr>
        <w:tc>
          <w:tcPr>
            <w:tcW w:w="3163" w:type="dxa"/>
            <w:tcBorders>
              <w:top w:val="nil"/>
              <w:left w:val="single" w:sz="4" w:space="0" w:color="auto"/>
              <w:bottom w:val="single" w:sz="4" w:space="0" w:color="auto"/>
              <w:right w:val="single" w:sz="4" w:space="0" w:color="auto"/>
            </w:tcBorders>
            <w:shd w:val="clear" w:color="auto" w:fill="auto"/>
            <w:noWrap/>
            <w:vAlign w:val="bottom"/>
          </w:tcPr>
          <w:p w14:paraId="3E1A1300" w14:textId="77777777" w:rsidR="00D215BD" w:rsidRPr="001314CA" w:rsidRDefault="00D215BD" w:rsidP="00D215BD">
            <w:pPr>
              <w:tabs>
                <w:tab w:val="clear" w:pos="567"/>
                <w:tab w:val="clear" w:pos="1134"/>
                <w:tab w:val="clear" w:pos="1701"/>
                <w:tab w:val="clear" w:pos="2268"/>
                <w:tab w:val="clear" w:pos="2835"/>
              </w:tabs>
              <w:spacing w:before="20" w:after="20"/>
              <w:rPr>
                <w:sz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957BC1F" w14:textId="77777777" w:rsidR="00D215BD" w:rsidRPr="001314CA" w:rsidRDefault="00D215BD" w:rsidP="00D215BD">
            <w:pPr>
              <w:rPr>
                <w:rFonts w:ascii="Times New Roman" w:hAnsi="Times New Roman"/>
                <w:sz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5D8B1EE" w14:textId="77777777" w:rsidR="00D215BD" w:rsidRPr="001314CA" w:rsidRDefault="00D215BD" w:rsidP="00D215BD">
            <w:pPr>
              <w:rPr>
                <w:rFonts w:ascii="Times New Roman" w:hAnsi="Times New Roman"/>
                <w:sz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tcPr>
          <w:p w14:paraId="652EA192" w14:textId="77777777" w:rsidR="00D215BD" w:rsidRPr="001314CA" w:rsidRDefault="00D215BD" w:rsidP="00D215BD">
            <w:pPr>
              <w:rPr>
                <w:rFonts w:ascii="Times New Roman" w:hAnsi="Times New Roman"/>
                <w:sz w:val="20"/>
              </w:rPr>
            </w:pPr>
          </w:p>
        </w:tc>
        <w:tc>
          <w:tcPr>
            <w:tcW w:w="1612" w:type="dxa"/>
            <w:tcBorders>
              <w:top w:val="nil"/>
              <w:left w:val="single" w:sz="4" w:space="0" w:color="auto"/>
              <w:bottom w:val="single" w:sz="4" w:space="0" w:color="auto"/>
              <w:right w:val="single" w:sz="4" w:space="0" w:color="auto"/>
            </w:tcBorders>
            <w:shd w:val="clear" w:color="auto" w:fill="auto"/>
            <w:noWrap/>
            <w:vAlign w:val="bottom"/>
          </w:tcPr>
          <w:p w14:paraId="48F93B06" w14:textId="77777777" w:rsidR="00D215BD" w:rsidRPr="001314CA" w:rsidRDefault="00D215BD" w:rsidP="00D215BD">
            <w:pPr>
              <w:rPr>
                <w:rFonts w:ascii="Times New Roman" w:hAnsi="Times New Roman"/>
                <w:sz w:val="20"/>
              </w:rPr>
            </w:pPr>
          </w:p>
        </w:tc>
        <w:tc>
          <w:tcPr>
            <w:tcW w:w="1324" w:type="dxa"/>
            <w:tcBorders>
              <w:top w:val="nil"/>
              <w:left w:val="single" w:sz="4" w:space="0" w:color="auto"/>
              <w:bottom w:val="single" w:sz="4" w:space="0" w:color="auto"/>
              <w:right w:val="single" w:sz="4" w:space="0" w:color="auto"/>
            </w:tcBorders>
            <w:shd w:val="clear" w:color="auto" w:fill="auto"/>
            <w:noWrap/>
            <w:vAlign w:val="bottom"/>
          </w:tcPr>
          <w:p w14:paraId="1C5A3EFB" w14:textId="77777777" w:rsidR="00D215BD" w:rsidRPr="001314CA" w:rsidRDefault="00D215BD" w:rsidP="00D215BD">
            <w:pPr>
              <w:rPr>
                <w:rFonts w:ascii="Times New Roman" w:hAnsi="Times New Roman"/>
                <w:sz w:val="20"/>
              </w:rPr>
            </w:pPr>
          </w:p>
        </w:tc>
        <w:tc>
          <w:tcPr>
            <w:tcW w:w="1395" w:type="dxa"/>
            <w:tcBorders>
              <w:top w:val="nil"/>
              <w:left w:val="single" w:sz="4" w:space="0" w:color="auto"/>
              <w:bottom w:val="single" w:sz="4" w:space="0" w:color="auto"/>
              <w:right w:val="single" w:sz="4" w:space="0" w:color="auto"/>
            </w:tcBorders>
            <w:shd w:val="clear" w:color="auto" w:fill="auto"/>
            <w:noWrap/>
            <w:vAlign w:val="bottom"/>
          </w:tcPr>
          <w:p w14:paraId="4D2EE8F1" w14:textId="77777777" w:rsidR="00D215BD" w:rsidRPr="001314CA" w:rsidRDefault="00D215BD" w:rsidP="00D215BD">
            <w:pPr>
              <w:rPr>
                <w:rFonts w:ascii="Times New Roman" w:hAnsi="Times New Roman"/>
                <w:sz w:val="20"/>
              </w:rPr>
            </w:pPr>
          </w:p>
        </w:tc>
        <w:tc>
          <w:tcPr>
            <w:tcW w:w="1512" w:type="dxa"/>
            <w:tcBorders>
              <w:top w:val="nil"/>
              <w:left w:val="single" w:sz="4" w:space="0" w:color="auto"/>
              <w:bottom w:val="single" w:sz="4" w:space="0" w:color="auto"/>
              <w:right w:val="single" w:sz="4" w:space="0" w:color="auto"/>
            </w:tcBorders>
            <w:shd w:val="clear" w:color="auto" w:fill="auto"/>
            <w:noWrap/>
            <w:vAlign w:val="bottom"/>
          </w:tcPr>
          <w:p w14:paraId="1BAB4383" w14:textId="77777777" w:rsidR="00D215BD" w:rsidRPr="001314CA" w:rsidRDefault="00D215BD" w:rsidP="00D215BD">
            <w:pPr>
              <w:rPr>
                <w:rFonts w:ascii="Times New Roman" w:hAnsi="Times New Roman"/>
                <w:sz w:val="20"/>
              </w:rPr>
            </w:pPr>
          </w:p>
        </w:tc>
      </w:tr>
      <w:tr w:rsidR="00D215BD" w:rsidRPr="001314CA" w14:paraId="4CFB8EA4" w14:textId="77777777" w:rsidTr="00D215BD">
        <w:trPr>
          <w:trHeight w:val="255"/>
        </w:trPr>
        <w:tc>
          <w:tcPr>
            <w:tcW w:w="3163" w:type="dxa"/>
            <w:tcBorders>
              <w:top w:val="single" w:sz="4" w:space="0" w:color="auto"/>
              <w:left w:val="single" w:sz="4" w:space="0" w:color="auto"/>
              <w:bottom w:val="single" w:sz="4" w:space="0" w:color="auto"/>
              <w:right w:val="nil"/>
            </w:tcBorders>
            <w:shd w:val="clear" w:color="auto" w:fill="auto"/>
            <w:noWrap/>
            <w:vAlign w:val="bottom"/>
            <w:hideMark/>
          </w:tcPr>
          <w:p w14:paraId="6DD2E660" w14:textId="77777777" w:rsidR="00D215BD" w:rsidRPr="001314CA" w:rsidRDefault="00D215BD" w:rsidP="00D215BD">
            <w:pPr>
              <w:rPr>
                <w:b/>
                <w:bCs/>
                <w:sz w:val="20"/>
              </w:rPr>
            </w:pPr>
            <w:r w:rsidRPr="001314CA">
              <w:rPr>
                <w:b/>
                <w:bCs/>
                <w:sz w:val="20"/>
              </w:rPr>
              <w:t>Total au 31 décembre 2020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DCD3B4" w14:textId="77777777" w:rsidR="00D215BD" w:rsidRPr="001314CA" w:rsidRDefault="00D215BD" w:rsidP="00D215BD">
            <w:pPr>
              <w:rPr>
                <w:b/>
                <w:bCs/>
                <w:sz w:val="20"/>
              </w:rPr>
            </w:pPr>
          </w:p>
        </w:tc>
        <w:tc>
          <w:tcPr>
            <w:tcW w:w="1701" w:type="dxa"/>
            <w:tcBorders>
              <w:top w:val="nil"/>
              <w:left w:val="nil"/>
              <w:bottom w:val="single" w:sz="4" w:space="0" w:color="auto"/>
              <w:right w:val="nil"/>
            </w:tcBorders>
            <w:noWrap/>
            <w:vAlign w:val="bottom"/>
          </w:tcPr>
          <w:p w14:paraId="08B290B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1314CA">
              <w:rPr>
                <w:rFonts w:cs="Calibri"/>
                <w:b/>
                <w:bCs/>
                <w:sz w:val="20"/>
                <w:u w:val="single"/>
                <w:lang w:eastAsia="en-GB"/>
              </w:rPr>
              <w:t>16 642 899,71</w:t>
            </w:r>
          </w:p>
        </w:tc>
        <w:tc>
          <w:tcPr>
            <w:tcW w:w="1506" w:type="dxa"/>
            <w:tcBorders>
              <w:top w:val="nil"/>
              <w:left w:val="single" w:sz="4" w:space="0" w:color="auto"/>
              <w:bottom w:val="single" w:sz="4" w:space="0" w:color="auto"/>
              <w:right w:val="single" w:sz="4" w:space="0" w:color="auto"/>
            </w:tcBorders>
            <w:noWrap/>
            <w:vAlign w:val="bottom"/>
          </w:tcPr>
          <w:p w14:paraId="4566544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1314CA">
              <w:rPr>
                <w:rFonts w:cs="Calibri"/>
                <w:b/>
                <w:bCs/>
                <w:sz w:val="20"/>
                <w:u w:val="single"/>
                <w:lang w:eastAsia="en-GB"/>
              </w:rPr>
              <w:t>14 643 893,64</w:t>
            </w:r>
          </w:p>
        </w:tc>
        <w:tc>
          <w:tcPr>
            <w:tcW w:w="1612" w:type="dxa"/>
            <w:tcBorders>
              <w:top w:val="nil"/>
              <w:left w:val="nil"/>
              <w:bottom w:val="single" w:sz="4" w:space="0" w:color="auto"/>
              <w:right w:val="nil"/>
            </w:tcBorders>
            <w:noWrap/>
            <w:vAlign w:val="bottom"/>
          </w:tcPr>
          <w:p w14:paraId="01BD2B6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1314CA">
              <w:rPr>
                <w:rFonts w:cs="Calibri"/>
                <w:b/>
                <w:bCs/>
                <w:sz w:val="20"/>
                <w:u w:val="single"/>
                <w:lang w:eastAsia="en-GB"/>
              </w:rPr>
              <w:t>–2 322 012,42</w:t>
            </w:r>
          </w:p>
        </w:tc>
        <w:tc>
          <w:tcPr>
            <w:tcW w:w="1324" w:type="dxa"/>
            <w:tcBorders>
              <w:top w:val="nil"/>
              <w:left w:val="single" w:sz="4" w:space="0" w:color="auto"/>
              <w:bottom w:val="single" w:sz="4" w:space="0" w:color="auto"/>
              <w:right w:val="single" w:sz="4" w:space="0" w:color="auto"/>
            </w:tcBorders>
            <w:noWrap/>
            <w:vAlign w:val="bottom"/>
          </w:tcPr>
          <w:p w14:paraId="5136B39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1314CA">
              <w:rPr>
                <w:rFonts w:cs="Calibri"/>
                <w:b/>
                <w:bCs/>
                <w:sz w:val="20"/>
                <w:u w:val="single"/>
                <w:lang w:eastAsia="en-GB"/>
              </w:rPr>
              <w:t>626 419,40</w:t>
            </w:r>
          </w:p>
        </w:tc>
        <w:tc>
          <w:tcPr>
            <w:tcW w:w="1395" w:type="dxa"/>
            <w:tcBorders>
              <w:top w:val="nil"/>
              <w:left w:val="nil"/>
              <w:bottom w:val="single" w:sz="4" w:space="0" w:color="auto"/>
              <w:right w:val="nil"/>
            </w:tcBorders>
            <w:noWrap/>
            <w:vAlign w:val="bottom"/>
          </w:tcPr>
          <w:p w14:paraId="3A94389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1314CA">
              <w:rPr>
                <w:rFonts w:cs="Calibri"/>
                <w:b/>
                <w:bCs/>
                <w:sz w:val="20"/>
                <w:u w:val="single"/>
                <w:lang w:eastAsia="en-GB"/>
              </w:rPr>
              <w:t>0,00</w:t>
            </w:r>
          </w:p>
        </w:tc>
        <w:tc>
          <w:tcPr>
            <w:tcW w:w="1512" w:type="dxa"/>
            <w:tcBorders>
              <w:top w:val="nil"/>
              <w:left w:val="single" w:sz="4" w:space="0" w:color="auto"/>
              <w:bottom w:val="single" w:sz="4" w:space="0" w:color="auto"/>
              <w:right w:val="single" w:sz="4" w:space="0" w:color="auto"/>
            </w:tcBorders>
            <w:noWrap/>
            <w:vAlign w:val="bottom"/>
          </w:tcPr>
          <w:p w14:paraId="634AF08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1314CA">
              <w:rPr>
                <w:rFonts w:cs="Calibri"/>
                <w:b/>
                <w:bCs/>
                <w:sz w:val="20"/>
                <w:u w:val="single"/>
                <w:lang w:eastAsia="en-GB"/>
              </w:rPr>
              <w:t>12 948 300,62</w:t>
            </w:r>
          </w:p>
        </w:tc>
      </w:tr>
    </w:tbl>
    <w:p w14:paraId="699C0A9C" w14:textId="77777777" w:rsidR="00D215BD" w:rsidRPr="001314CA" w:rsidRDefault="00D215BD" w:rsidP="00D215BD">
      <w:pPr>
        <w:sectPr w:rsidR="00D215BD" w:rsidRPr="001314CA" w:rsidSect="00D215BD">
          <w:headerReference w:type="default" r:id="rId87"/>
          <w:footerReference w:type="default" r:id="rId88"/>
          <w:pgSz w:w="16840" w:h="11907" w:orient="landscape" w:code="9"/>
          <w:pgMar w:top="1134" w:right="1418" w:bottom="1134" w:left="1418" w:header="720" w:footer="720" w:gutter="0"/>
          <w:cols w:space="708"/>
          <w:docGrid w:linePitch="360"/>
        </w:sectPr>
      </w:pPr>
    </w:p>
    <w:p w14:paraId="224FE521" w14:textId="77777777" w:rsidR="00D215BD" w:rsidRPr="001314CA" w:rsidRDefault="00D215BD" w:rsidP="00D215BD">
      <w:pPr>
        <w:pStyle w:val="Tabletitle"/>
        <w:spacing w:before="120" w:after="240"/>
        <w:rPr>
          <w:sz w:val="28"/>
          <w:szCs w:val="28"/>
        </w:rPr>
      </w:pPr>
      <w:r w:rsidRPr="001314CA">
        <w:rPr>
          <w:sz w:val="28"/>
          <w:szCs w:val="28"/>
        </w:rPr>
        <w:lastRenderedPageBreak/>
        <w:t xml:space="preserve">Montants dus concernant les factures établies pour </w:t>
      </w:r>
      <w:r w:rsidRPr="001314CA">
        <w:rPr>
          <w:sz w:val="28"/>
          <w:szCs w:val="28"/>
        </w:rPr>
        <w:br/>
        <w:t>les fiches de notification des réseaux à satellite</w:t>
      </w:r>
    </w:p>
    <w:tbl>
      <w:tblPr>
        <w:tblW w:w="9880" w:type="dxa"/>
        <w:jc w:val="center"/>
        <w:tblLook w:val="04A0" w:firstRow="1" w:lastRow="0" w:firstColumn="1" w:lastColumn="0" w:noHBand="0" w:noVBand="1"/>
        <w:tblCaption w:val="MONTANTS DUS CONCERNANT LES FACTURES ÉTABLIES POUR LES FICHES DE NOTIFICATION DES RÉSEAUX À SATELLITE"/>
      </w:tblPr>
      <w:tblGrid>
        <w:gridCol w:w="3201"/>
        <w:gridCol w:w="4113"/>
        <w:gridCol w:w="1176"/>
        <w:gridCol w:w="1390"/>
      </w:tblGrid>
      <w:tr w:rsidR="00D215BD" w:rsidRPr="001314CA" w14:paraId="71355C85" w14:textId="77777777" w:rsidTr="00D215BD">
        <w:trPr>
          <w:trHeight w:val="300"/>
          <w:jc w:val="center"/>
        </w:trPr>
        <w:tc>
          <w:tcPr>
            <w:tcW w:w="3201" w:type="dxa"/>
            <w:tcBorders>
              <w:top w:val="single" w:sz="4" w:space="0" w:color="auto"/>
              <w:left w:val="single" w:sz="4" w:space="0" w:color="auto"/>
              <w:bottom w:val="single" w:sz="4" w:space="0" w:color="auto"/>
              <w:right w:val="single" w:sz="4" w:space="0" w:color="auto"/>
            </w:tcBorders>
            <w:shd w:val="clear" w:color="auto" w:fill="auto"/>
            <w:noWrap/>
            <w:hideMark/>
          </w:tcPr>
          <w:p w14:paraId="6E15F063" w14:textId="77777777" w:rsidR="00D215BD" w:rsidRPr="001314CA" w:rsidRDefault="00D215BD" w:rsidP="00D215BD">
            <w:pPr>
              <w:tabs>
                <w:tab w:val="clear" w:pos="567"/>
                <w:tab w:val="clear" w:pos="1134"/>
                <w:tab w:val="clear" w:pos="1701"/>
                <w:tab w:val="clear" w:pos="2268"/>
                <w:tab w:val="clear" w:pos="2835"/>
              </w:tabs>
              <w:spacing w:after="120"/>
              <w:jc w:val="center"/>
              <w:rPr>
                <w:b/>
                <w:sz w:val="22"/>
                <w:szCs w:val="22"/>
              </w:rPr>
            </w:pPr>
            <w:r w:rsidRPr="001314CA">
              <w:rPr>
                <w:b/>
                <w:sz w:val="22"/>
                <w:szCs w:val="22"/>
              </w:rPr>
              <w:t>Administration notificatrice</w:t>
            </w:r>
          </w:p>
        </w:tc>
        <w:tc>
          <w:tcPr>
            <w:tcW w:w="4113" w:type="dxa"/>
            <w:tcBorders>
              <w:top w:val="single" w:sz="4" w:space="0" w:color="auto"/>
              <w:left w:val="nil"/>
              <w:bottom w:val="single" w:sz="4" w:space="0" w:color="auto"/>
              <w:right w:val="single" w:sz="4" w:space="0" w:color="auto"/>
            </w:tcBorders>
            <w:shd w:val="clear" w:color="auto" w:fill="auto"/>
            <w:noWrap/>
            <w:hideMark/>
          </w:tcPr>
          <w:p w14:paraId="5AB3F827" w14:textId="77777777" w:rsidR="00D215BD" w:rsidRPr="001314CA" w:rsidRDefault="00D215BD" w:rsidP="00D215BD">
            <w:pPr>
              <w:tabs>
                <w:tab w:val="clear" w:pos="567"/>
                <w:tab w:val="clear" w:pos="1134"/>
                <w:tab w:val="clear" w:pos="1701"/>
                <w:tab w:val="clear" w:pos="2268"/>
                <w:tab w:val="clear" w:pos="2835"/>
              </w:tabs>
              <w:spacing w:after="120"/>
              <w:jc w:val="center"/>
              <w:rPr>
                <w:b/>
                <w:sz w:val="22"/>
                <w:szCs w:val="22"/>
              </w:rPr>
            </w:pPr>
            <w:r w:rsidRPr="001314CA">
              <w:rPr>
                <w:b/>
                <w:sz w:val="22"/>
                <w:szCs w:val="22"/>
              </w:rPr>
              <w:t>Entité exploitante</w:t>
            </w:r>
          </w:p>
        </w:tc>
        <w:tc>
          <w:tcPr>
            <w:tcW w:w="1176" w:type="dxa"/>
            <w:tcBorders>
              <w:top w:val="single" w:sz="4" w:space="0" w:color="auto"/>
              <w:left w:val="nil"/>
              <w:bottom w:val="single" w:sz="4" w:space="0" w:color="auto"/>
              <w:right w:val="single" w:sz="4" w:space="0" w:color="auto"/>
            </w:tcBorders>
            <w:shd w:val="clear" w:color="auto" w:fill="auto"/>
            <w:noWrap/>
            <w:hideMark/>
          </w:tcPr>
          <w:p w14:paraId="4543E97A" w14:textId="77777777" w:rsidR="00D215BD" w:rsidRPr="001314CA" w:rsidRDefault="00D215BD" w:rsidP="00D215BD">
            <w:pPr>
              <w:tabs>
                <w:tab w:val="clear" w:pos="567"/>
                <w:tab w:val="clear" w:pos="1134"/>
                <w:tab w:val="clear" w:pos="1701"/>
                <w:tab w:val="clear" w:pos="2268"/>
                <w:tab w:val="clear" w:pos="2835"/>
              </w:tabs>
              <w:spacing w:after="120"/>
              <w:jc w:val="center"/>
              <w:rPr>
                <w:b/>
                <w:sz w:val="22"/>
                <w:szCs w:val="22"/>
              </w:rPr>
            </w:pPr>
            <w:r w:rsidRPr="001314CA">
              <w:rPr>
                <w:b/>
                <w:sz w:val="22"/>
                <w:szCs w:val="22"/>
              </w:rPr>
              <w:t>Année</w:t>
            </w:r>
          </w:p>
        </w:tc>
        <w:tc>
          <w:tcPr>
            <w:tcW w:w="1390" w:type="dxa"/>
            <w:tcBorders>
              <w:top w:val="single" w:sz="4" w:space="0" w:color="auto"/>
              <w:left w:val="nil"/>
              <w:bottom w:val="single" w:sz="4" w:space="0" w:color="auto"/>
              <w:right w:val="single" w:sz="4" w:space="0" w:color="auto"/>
            </w:tcBorders>
            <w:shd w:val="clear" w:color="auto" w:fill="auto"/>
            <w:noWrap/>
            <w:hideMark/>
          </w:tcPr>
          <w:p w14:paraId="5960CA15" w14:textId="77777777" w:rsidR="00D215BD" w:rsidRPr="001314CA" w:rsidRDefault="00D215BD" w:rsidP="00D215BD">
            <w:pPr>
              <w:tabs>
                <w:tab w:val="clear" w:pos="567"/>
                <w:tab w:val="clear" w:pos="1134"/>
                <w:tab w:val="clear" w:pos="1701"/>
                <w:tab w:val="clear" w:pos="2268"/>
                <w:tab w:val="clear" w:pos="2835"/>
              </w:tabs>
              <w:spacing w:after="120"/>
              <w:jc w:val="center"/>
              <w:rPr>
                <w:b/>
                <w:sz w:val="22"/>
                <w:szCs w:val="22"/>
              </w:rPr>
            </w:pPr>
            <w:r w:rsidRPr="001314CA">
              <w:rPr>
                <w:b/>
                <w:sz w:val="22"/>
                <w:szCs w:val="22"/>
              </w:rPr>
              <w:t>Montant dû en CHF</w:t>
            </w:r>
          </w:p>
        </w:tc>
      </w:tr>
      <w:tr w:rsidR="00D215BD" w:rsidRPr="001314CA" w14:paraId="6C8E1145" w14:textId="77777777" w:rsidTr="00D215BD">
        <w:trPr>
          <w:trHeight w:val="600"/>
          <w:jc w:val="center"/>
        </w:trPr>
        <w:tc>
          <w:tcPr>
            <w:tcW w:w="3201" w:type="dxa"/>
            <w:tcBorders>
              <w:top w:val="nil"/>
              <w:left w:val="single" w:sz="4" w:space="0" w:color="auto"/>
              <w:bottom w:val="nil"/>
              <w:right w:val="single" w:sz="4" w:space="0" w:color="auto"/>
            </w:tcBorders>
            <w:shd w:val="clear" w:color="auto" w:fill="auto"/>
            <w:noWrap/>
            <w:vAlign w:val="center"/>
          </w:tcPr>
          <w:p w14:paraId="272B52CE" w14:textId="77777777" w:rsidR="00D215BD" w:rsidRPr="001314CA" w:rsidRDefault="00D215BD" w:rsidP="00D215BD">
            <w:pPr>
              <w:tabs>
                <w:tab w:val="clear" w:pos="567"/>
                <w:tab w:val="clear" w:pos="1134"/>
                <w:tab w:val="clear" w:pos="1701"/>
                <w:tab w:val="clear" w:pos="2268"/>
                <w:tab w:val="clear" w:pos="2835"/>
              </w:tabs>
              <w:spacing w:before="60" w:after="60"/>
              <w:rPr>
                <w:b/>
                <w:bCs/>
                <w:sz w:val="22"/>
                <w:szCs w:val="22"/>
              </w:rPr>
            </w:pPr>
            <w:r w:rsidRPr="001314CA">
              <w:rPr>
                <w:b/>
                <w:bCs/>
                <w:sz w:val="22"/>
                <w:szCs w:val="22"/>
              </w:rPr>
              <w:t>Chine</w:t>
            </w:r>
          </w:p>
        </w:tc>
        <w:tc>
          <w:tcPr>
            <w:tcW w:w="4113" w:type="dxa"/>
            <w:tcBorders>
              <w:top w:val="nil"/>
              <w:left w:val="nil"/>
              <w:bottom w:val="nil"/>
              <w:right w:val="single" w:sz="4" w:space="0" w:color="auto"/>
            </w:tcBorders>
            <w:shd w:val="clear" w:color="auto" w:fill="auto"/>
            <w:vAlign w:val="bottom"/>
          </w:tcPr>
          <w:p w14:paraId="44145F4F" w14:textId="77777777" w:rsidR="00D215BD" w:rsidRPr="001314CA" w:rsidRDefault="00D215BD" w:rsidP="00D215BD">
            <w:pPr>
              <w:tabs>
                <w:tab w:val="clear" w:pos="567"/>
                <w:tab w:val="clear" w:pos="1134"/>
                <w:tab w:val="clear" w:pos="1701"/>
                <w:tab w:val="clear" w:pos="2268"/>
                <w:tab w:val="clear" w:pos="2835"/>
              </w:tabs>
              <w:spacing w:before="60" w:after="60"/>
              <w:rPr>
                <w:color w:val="000000"/>
                <w:sz w:val="22"/>
                <w:szCs w:val="22"/>
              </w:rPr>
            </w:pPr>
            <w:r w:rsidRPr="001314CA">
              <w:rPr>
                <w:rFonts w:cs="Calibri"/>
                <w:sz w:val="22"/>
                <w:szCs w:val="22"/>
                <w:lang w:eastAsia="en-GB"/>
              </w:rPr>
              <w:t xml:space="preserve">Département </w:t>
            </w:r>
            <w:r w:rsidRPr="001314CA">
              <w:rPr>
                <w:color w:val="000000"/>
                <w:sz w:val="22"/>
                <w:szCs w:val="22"/>
              </w:rPr>
              <w:t xml:space="preserve">de la réglementation </w:t>
            </w:r>
            <w:r w:rsidRPr="001314CA">
              <w:rPr>
                <w:rFonts w:cs="Calibri"/>
                <w:sz w:val="22"/>
                <w:szCs w:val="22"/>
                <w:lang w:eastAsia="en-GB"/>
              </w:rPr>
              <w:t>des radiocommunications (RRD), Ministère de l'industrie de l'information</w:t>
            </w:r>
          </w:p>
        </w:tc>
        <w:tc>
          <w:tcPr>
            <w:tcW w:w="1176" w:type="dxa"/>
            <w:tcBorders>
              <w:top w:val="nil"/>
              <w:left w:val="nil"/>
              <w:bottom w:val="nil"/>
              <w:right w:val="single" w:sz="4" w:space="0" w:color="auto"/>
            </w:tcBorders>
            <w:shd w:val="clear" w:color="auto" w:fill="auto"/>
            <w:noWrap/>
            <w:vAlign w:val="center"/>
          </w:tcPr>
          <w:p w14:paraId="5C99358F"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rPr>
            </w:pPr>
            <w:r w:rsidRPr="001314CA">
              <w:rPr>
                <w:rFonts w:cs="Calibri"/>
                <w:sz w:val="22"/>
                <w:szCs w:val="22"/>
                <w:lang w:eastAsia="en-GB"/>
              </w:rPr>
              <w:t>2019</w:t>
            </w:r>
          </w:p>
        </w:tc>
        <w:tc>
          <w:tcPr>
            <w:tcW w:w="1390" w:type="dxa"/>
            <w:tcBorders>
              <w:top w:val="nil"/>
              <w:left w:val="nil"/>
              <w:bottom w:val="nil"/>
              <w:right w:val="single" w:sz="4" w:space="0" w:color="auto"/>
            </w:tcBorders>
            <w:shd w:val="clear" w:color="auto" w:fill="auto"/>
            <w:noWrap/>
            <w:vAlign w:val="center"/>
          </w:tcPr>
          <w:p w14:paraId="7CA8A34F"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szCs w:val="22"/>
              </w:rPr>
            </w:pPr>
            <w:r w:rsidRPr="001314CA">
              <w:rPr>
                <w:rFonts w:cs="Calibri"/>
                <w:sz w:val="22"/>
                <w:szCs w:val="22"/>
                <w:lang w:eastAsia="en-GB"/>
              </w:rPr>
              <w:t>106,60</w:t>
            </w:r>
          </w:p>
        </w:tc>
      </w:tr>
      <w:tr w:rsidR="00D215BD" w:rsidRPr="001314CA" w14:paraId="065C8ADB" w14:textId="77777777" w:rsidTr="00D215BD">
        <w:trPr>
          <w:trHeight w:val="600"/>
          <w:jc w:val="center"/>
        </w:trPr>
        <w:tc>
          <w:tcPr>
            <w:tcW w:w="3201" w:type="dxa"/>
            <w:tcBorders>
              <w:top w:val="nil"/>
              <w:left w:val="single" w:sz="4" w:space="0" w:color="auto"/>
              <w:bottom w:val="nil"/>
              <w:right w:val="single" w:sz="4" w:space="0" w:color="auto"/>
            </w:tcBorders>
            <w:shd w:val="clear" w:color="auto" w:fill="auto"/>
            <w:noWrap/>
            <w:vAlign w:val="center"/>
            <w:hideMark/>
          </w:tcPr>
          <w:p w14:paraId="213982C6" w14:textId="77777777" w:rsidR="00D215BD" w:rsidRPr="001314CA" w:rsidRDefault="00D215BD" w:rsidP="00D215BD">
            <w:pPr>
              <w:tabs>
                <w:tab w:val="clear" w:pos="567"/>
                <w:tab w:val="clear" w:pos="1134"/>
                <w:tab w:val="clear" w:pos="1701"/>
                <w:tab w:val="clear" w:pos="2268"/>
                <w:tab w:val="clear" w:pos="2835"/>
              </w:tabs>
              <w:spacing w:before="60" w:after="60"/>
              <w:rPr>
                <w:b/>
                <w:bCs/>
                <w:sz w:val="22"/>
                <w:szCs w:val="22"/>
              </w:rPr>
            </w:pPr>
            <w:r w:rsidRPr="001314CA">
              <w:rPr>
                <w:b/>
                <w:bCs/>
                <w:sz w:val="22"/>
                <w:szCs w:val="22"/>
              </w:rPr>
              <w:t>Nigéria</w:t>
            </w:r>
          </w:p>
        </w:tc>
        <w:tc>
          <w:tcPr>
            <w:tcW w:w="4113" w:type="dxa"/>
            <w:tcBorders>
              <w:top w:val="nil"/>
              <w:left w:val="nil"/>
              <w:bottom w:val="nil"/>
              <w:right w:val="single" w:sz="4" w:space="0" w:color="auto"/>
            </w:tcBorders>
            <w:shd w:val="clear" w:color="auto" w:fill="auto"/>
            <w:hideMark/>
          </w:tcPr>
          <w:p w14:paraId="365A9F67" w14:textId="77777777" w:rsidR="00D215BD" w:rsidRPr="001314CA" w:rsidRDefault="00D215BD" w:rsidP="00D215BD">
            <w:pPr>
              <w:tabs>
                <w:tab w:val="clear" w:pos="567"/>
                <w:tab w:val="clear" w:pos="1134"/>
                <w:tab w:val="clear" w:pos="1701"/>
                <w:tab w:val="clear" w:pos="2268"/>
                <w:tab w:val="clear" w:pos="2835"/>
              </w:tabs>
              <w:spacing w:before="60" w:after="60"/>
              <w:rPr>
                <w:sz w:val="22"/>
                <w:szCs w:val="22"/>
              </w:rPr>
            </w:pPr>
            <w:r w:rsidRPr="001314CA">
              <w:rPr>
                <w:color w:val="000000"/>
                <w:sz w:val="22"/>
                <w:szCs w:val="22"/>
              </w:rPr>
              <w:t>Ministère fédéral des technologies de la communication</w:t>
            </w:r>
            <w:r w:rsidRPr="001314CA">
              <w:rPr>
                <w:sz w:val="22"/>
                <w:szCs w:val="22"/>
              </w:rPr>
              <w:t>, Abuja</w:t>
            </w:r>
          </w:p>
        </w:tc>
        <w:tc>
          <w:tcPr>
            <w:tcW w:w="1176" w:type="dxa"/>
            <w:tcBorders>
              <w:top w:val="nil"/>
              <w:left w:val="nil"/>
              <w:bottom w:val="nil"/>
              <w:right w:val="single" w:sz="4" w:space="0" w:color="auto"/>
            </w:tcBorders>
            <w:shd w:val="clear" w:color="auto" w:fill="auto"/>
            <w:noWrap/>
            <w:vAlign w:val="center"/>
            <w:hideMark/>
          </w:tcPr>
          <w:p w14:paraId="4DA1F21B"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rPr>
            </w:pPr>
            <w:r w:rsidRPr="001314CA">
              <w:rPr>
                <w:sz w:val="22"/>
                <w:szCs w:val="22"/>
              </w:rPr>
              <w:t>2012</w:t>
            </w:r>
          </w:p>
        </w:tc>
        <w:tc>
          <w:tcPr>
            <w:tcW w:w="1390" w:type="dxa"/>
            <w:tcBorders>
              <w:top w:val="nil"/>
              <w:left w:val="nil"/>
              <w:bottom w:val="nil"/>
              <w:right w:val="single" w:sz="4" w:space="0" w:color="auto"/>
            </w:tcBorders>
            <w:shd w:val="clear" w:color="auto" w:fill="auto"/>
            <w:noWrap/>
            <w:vAlign w:val="center"/>
            <w:hideMark/>
          </w:tcPr>
          <w:p w14:paraId="58D1DEC8"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szCs w:val="22"/>
              </w:rPr>
            </w:pPr>
            <w:r w:rsidRPr="001314CA">
              <w:rPr>
                <w:rFonts w:cs="Calibri"/>
                <w:sz w:val="22"/>
                <w:szCs w:val="22"/>
                <w:lang w:eastAsia="en-GB"/>
              </w:rPr>
              <w:t>2 440,40</w:t>
            </w:r>
          </w:p>
        </w:tc>
      </w:tr>
      <w:tr w:rsidR="00D215BD" w:rsidRPr="001314CA" w14:paraId="18A4CEA9" w14:textId="77777777" w:rsidTr="00D215BD">
        <w:trPr>
          <w:trHeight w:val="121"/>
          <w:jc w:val="center"/>
        </w:trPr>
        <w:tc>
          <w:tcPr>
            <w:tcW w:w="3201" w:type="dxa"/>
            <w:tcBorders>
              <w:top w:val="nil"/>
              <w:left w:val="single" w:sz="4" w:space="0" w:color="auto"/>
              <w:bottom w:val="nil"/>
              <w:right w:val="single" w:sz="4" w:space="0" w:color="auto"/>
            </w:tcBorders>
            <w:shd w:val="clear" w:color="auto" w:fill="auto"/>
            <w:noWrap/>
            <w:vAlign w:val="center"/>
          </w:tcPr>
          <w:p w14:paraId="2747B220" w14:textId="77777777" w:rsidR="00D215BD" w:rsidRPr="001314CA" w:rsidRDefault="00D215BD" w:rsidP="00D215BD">
            <w:pPr>
              <w:tabs>
                <w:tab w:val="clear" w:pos="567"/>
                <w:tab w:val="clear" w:pos="1134"/>
                <w:tab w:val="clear" w:pos="1701"/>
                <w:tab w:val="clear" w:pos="2268"/>
                <w:tab w:val="clear" w:pos="2835"/>
              </w:tabs>
              <w:spacing w:before="60" w:after="60"/>
              <w:rPr>
                <w:b/>
                <w:bCs/>
                <w:sz w:val="22"/>
                <w:szCs w:val="22"/>
              </w:rPr>
            </w:pPr>
          </w:p>
        </w:tc>
        <w:tc>
          <w:tcPr>
            <w:tcW w:w="4113" w:type="dxa"/>
            <w:tcBorders>
              <w:top w:val="nil"/>
              <w:left w:val="nil"/>
              <w:bottom w:val="nil"/>
              <w:right w:val="single" w:sz="4" w:space="0" w:color="auto"/>
            </w:tcBorders>
            <w:shd w:val="clear" w:color="auto" w:fill="auto"/>
            <w:noWrap/>
          </w:tcPr>
          <w:p w14:paraId="048942CE" w14:textId="77777777" w:rsidR="00D215BD" w:rsidRPr="001314CA" w:rsidRDefault="00D215BD" w:rsidP="00D215BD">
            <w:pPr>
              <w:tabs>
                <w:tab w:val="clear" w:pos="567"/>
                <w:tab w:val="clear" w:pos="1134"/>
                <w:tab w:val="clear" w:pos="1701"/>
                <w:tab w:val="clear" w:pos="2268"/>
                <w:tab w:val="clear" w:pos="2835"/>
              </w:tabs>
              <w:spacing w:before="60" w:after="60"/>
              <w:rPr>
                <w:sz w:val="22"/>
                <w:szCs w:val="22"/>
              </w:rPr>
            </w:pPr>
          </w:p>
        </w:tc>
        <w:tc>
          <w:tcPr>
            <w:tcW w:w="1176" w:type="dxa"/>
            <w:tcBorders>
              <w:top w:val="nil"/>
              <w:left w:val="nil"/>
              <w:bottom w:val="nil"/>
              <w:right w:val="single" w:sz="4" w:space="0" w:color="auto"/>
            </w:tcBorders>
            <w:shd w:val="clear" w:color="auto" w:fill="auto"/>
            <w:noWrap/>
            <w:vAlign w:val="center"/>
          </w:tcPr>
          <w:p w14:paraId="20D48FC3"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rPr>
            </w:pPr>
          </w:p>
        </w:tc>
        <w:tc>
          <w:tcPr>
            <w:tcW w:w="1390" w:type="dxa"/>
            <w:tcBorders>
              <w:top w:val="nil"/>
              <w:left w:val="nil"/>
              <w:bottom w:val="nil"/>
              <w:right w:val="single" w:sz="4" w:space="0" w:color="auto"/>
            </w:tcBorders>
            <w:shd w:val="clear" w:color="auto" w:fill="auto"/>
            <w:noWrap/>
            <w:vAlign w:val="center"/>
          </w:tcPr>
          <w:p w14:paraId="159BE4CA"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szCs w:val="22"/>
              </w:rPr>
            </w:pPr>
          </w:p>
        </w:tc>
      </w:tr>
      <w:tr w:rsidR="00D215BD" w:rsidRPr="001314CA" w14:paraId="177D726F" w14:textId="77777777" w:rsidTr="00D215BD">
        <w:trPr>
          <w:trHeight w:val="300"/>
          <w:jc w:val="center"/>
        </w:trPr>
        <w:tc>
          <w:tcPr>
            <w:tcW w:w="3201" w:type="dxa"/>
            <w:tcBorders>
              <w:top w:val="nil"/>
              <w:left w:val="single" w:sz="4" w:space="0" w:color="auto"/>
              <w:bottom w:val="nil"/>
              <w:right w:val="single" w:sz="4" w:space="0" w:color="auto"/>
            </w:tcBorders>
            <w:shd w:val="clear" w:color="auto" w:fill="auto"/>
            <w:noWrap/>
            <w:vAlign w:val="center"/>
            <w:hideMark/>
          </w:tcPr>
          <w:p w14:paraId="0598E27E" w14:textId="77777777" w:rsidR="00D215BD" w:rsidRPr="001314CA" w:rsidRDefault="00D215BD" w:rsidP="00D215BD">
            <w:pPr>
              <w:tabs>
                <w:tab w:val="clear" w:pos="567"/>
                <w:tab w:val="clear" w:pos="1134"/>
                <w:tab w:val="clear" w:pos="1701"/>
                <w:tab w:val="clear" w:pos="2268"/>
                <w:tab w:val="clear" w:pos="2835"/>
              </w:tabs>
              <w:spacing w:before="60" w:after="60"/>
              <w:rPr>
                <w:b/>
                <w:bCs/>
                <w:sz w:val="22"/>
                <w:szCs w:val="22"/>
              </w:rPr>
            </w:pPr>
            <w:r w:rsidRPr="001314CA">
              <w:rPr>
                <w:b/>
                <w:bCs/>
                <w:sz w:val="22"/>
                <w:szCs w:val="22"/>
              </w:rPr>
              <w:t>Fédération de Russie</w:t>
            </w:r>
          </w:p>
        </w:tc>
        <w:tc>
          <w:tcPr>
            <w:tcW w:w="4113" w:type="dxa"/>
            <w:tcBorders>
              <w:top w:val="nil"/>
              <w:left w:val="nil"/>
              <w:bottom w:val="nil"/>
              <w:right w:val="single" w:sz="4" w:space="0" w:color="auto"/>
            </w:tcBorders>
            <w:shd w:val="clear" w:color="auto" w:fill="auto"/>
            <w:noWrap/>
            <w:hideMark/>
          </w:tcPr>
          <w:p w14:paraId="5535BEFC" w14:textId="77777777" w:rsidR="00D215BD" w:rsidRPr="00513163" w:rsidRDefault="00D215BD" w:rsidP="00D215BD">
            <w:pPr>
              <w:tabs>
                <w:tab w:val="clear" w:pos="567"/>
                <w:tab w:val="clear" w:pos="1134"/>
                <w:tab w:val="clear" w:pos="1701"/>
                <w:tab w:val="clear" w:pos="2268"/>
                <w:tab w:val="clear" w:pos="2835"/>
              </w:tabs>
              <w:spacing w:before="60" w:after="60"/>
              <w:rPr>
                <w:sz w:val="22"/>
                <w:szCs w:val="22"/>
                <w:lang w:val="en-US"/>
              </w:rPr>
            </w:pPr>
            <w:r w:rsidRPr="00513163">
              <w:rPr>
                <w:sz w:val="22"/>
                <w:szCs w:val="22"/>
                <w:lang w:val="en-US"/>
              </w:rPr>
              <w:t xml:space="preserve">EA SAT Closed Joint Stock Company, </w:t>
            </w:r>
            <w:proofErr w:type="spellStart"/>
            <w:r w:rsidRPr="00513163">
              <w:rPr>
                <w:sz w:val="22"/>
                <w:szCs w:val="22"/>
                <w:lang w:val="en-US"/>
              </w:rPr>
              <w:t>Moscou</w:t>
            </w:r>
            <w:proofErr w:type="spellEnd"/>
          </w:p>
        </w:tc>
        <w:tc>
          <w:tcPr>
            <w:tcW w:w="1176" w:type="dxa"/>
            <w:tcBorders>
              <w:top w:val="nil"/>
              <w:left w:val="nil"/>
              <w:bottom w:val="nil"/>
              <w:right w:val="single" w:sz="4" w:space="0" w:color="auto"/>
            </w:tcBorders>
            <w:shd w:val="clear" w:color="auto" w:fill="auto"/>
            <w:noWrap/>
            <w:vAlign w:val="center"/>
            <w:hideMark/>
          </w:tcPr>
          <w:p w14:paraId="09ECA0C4"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rPr>
            </w:pPr>
            <w:r w:rsidRPr="001314CA">
              <w:rPr>
                <w:sz w:val="22"/>
                <w:szCs w:val="22"/>
              </w:rPr>
              <w:t>2014</w:t>
            </w:r>
          </w:p>
        </w:tc>
        <w:tc>
          <w:tcPr>
            <w:tcW w:w="1390" w:type="dxa"/>
            <w:tcBorders>
              <w:top w:val="nil"/>
              <w:left w:val="nil"/>
              <w:bottom w:val="nil"/>
              <w:right w:val="single" w:sz="4" w:space="0" w:color="auto"/>
            </w:tcBorders>
            <w:shd w:val="clear" w:color="auto" w:fill="auto"/>
            <w:noWrap/>
            <w:vAlign w:val="center"/>
            <w:hideMark/>
          </w:tcPr>
          <w:p w14:paraId="55E0432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szCs w:val="22"/>
              </w:rPr>
            </w:pPr>
            <w:r w:rsidRPr="001314CA">
              <w:rPr>
                <w:rFonts w:cs="Calibri"/>
                <w:sz w:val="22"/>
                <w:szCs w:val="22"/>
                <w:lang w:eastAsia="en-GB"/>
              </w:rPr>
              <w:t>104 722,40</w:t>
            </w:r>
          </w:p>
        </w:tc>
      </w:tr>
      <w:tr w:rsidR="00D215BD" w:rsidRPr="001314CA" w14:paraId="7A235D16" w14:textId="77777777" w:rsidTr="00D215BD">
        <w:trPr>
          <w:trHeight w:val="300"/>
          <w:jc w:val="center"/>
        </w:trPr>
        <w:tc>
          <w:tcPr>
            <w:tcW w:w="3201" w:type="dxa"/>
            <w:tcBorders>
              <w:top w:val="nil"/>
              <w:left w:val="single" w:sz="4" w:space="0" w:color="auto"/>
              <w:right w:val="single" w:sz="4" w:space="0" w:color="auto"/>
            </w:tcBorders>
            <w:shd w:val="clear" w:color="auto" w:fill="auto"/>
            <w:noWrap/>
            <w:vAlign w:val="center"/>
          </w:tcPr>
          <w:p w14:paraId="429BCD70" w14:textId="77777777" w:rsidR="00D215BD" w:rsidRPr="001314CA" w:rsidRDefault="00D215BD" w:rsidP="00D215BD">
            <w:pPr>
              <w:tabs>
                <w:tab w:val="clear" w:pos="567"/>
                <w:tab w:val="clear" w:pos="1134"/>
                <w:tab w:val="clear" w:pos="1701"/>
                <w:tab w:val="clear" w:pos="2268"/>
                <w:tab w:val="clear" w:pos="2835"/>
              </w:tabs>
              <w:spacing w:before="60" w:after="60"/>
              <w:rPr>
                <w:b/>
                <w:bCs/>
                <w:sz w:val="22"/>
                <w:szCs w:val="22"/>
              </w:rPr>
            </w:pPr>
          </w:p>
        </w:tc>
        <w:tc>
          <w:tcPr>
            <w:tcW w:w="4113" w:type="dxa"/>
            <w:tcBorders>
              <w:top w:val="nil"/>
              <w:left w:val="nil"/>
              <w:right w:val="single" w:sz="4" w:space="0" w:color="auto"/>
            </w:tcBorders>
            <w:shd w:val="clear" w:color="auto" w:fill="auto"/>
            <w:noWrap/>
          </w:tcPr>
          <w:p w14:paraId="6E25159B" w14:textId="77777777" w:rsidR="00D215BD" w:rsidRPr="001314CA" w:rsidRDefault="00D215BD" w:rsidP="00D215BD">
            <w:pPr>
              <w:tabs>
                <w:tab w:val="clear" w:pos="567"/>
                <w:tab w:val="clear" w:pos="1134"/>
                <w:tab w:val="clear" w:pos="1701"/>
                <w:tab w:val="clear" w:pos="2268"/>
                <w:tab w:val="clear" w:pos="2835"/>
              </w:tabs>
              <w:spacing w:before="60" w:after="60"/>
              <w:rPr>
                <w:sz w:val="22"/>
                <w:szCs w:val="22"/>
              </w:rPr>
            </w:pPr>
          </w:p>
        </w:tc>
        <w:tc>
          <w:tcPr>
            <w:tcW w:w="1176" w:type="dxa"/>
            <w:tcBorders>
              <w:top w:val="nil"/>
              <w:left w:val="nil"/>
              <w:right w:val="single" w:sz="4" w:space="0" w:color="auto"/>
            </w:tcBorders>
            <w:shd w:val="clear" w:color="auto" w:fill="auto"/>
            <w:noWrap/>
            <w:vAlign w:val="center"/>
          </w:tcPr>
          <w:p w14:paraId="1FBAC5EF"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rPr>
            </w:pPr>
          </w:p>
        </w:tc>
        <w:tc>
          <w:tcPr>
            <w:tcW w:w="1390" w:type="dxa"/>
            <w:tcBorders>
              <w:top w:val="nil"/>
              <w:left w:val="nil"/>
              <w:right w:val="single" w:sz="4" w:space="0" w:color="auto"/>
            </w:tcBorders>
            <w:shd w:val="clear" w:color="auto" w:fill="auto"/>
            <w:noWrap/>
            <w:vAlign w:val="center"/>
          </w:tcPr>
          <w:p w14:paraId="5B48279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szCs w:val="22"/>
              </w:rPr>
            </w:pPr>
          </w:p>
        </w:tc>
      </w:tr>
      <w:tr w:rsidR="00D215BD" w:rsidRPr="001314CA" w14:paraId="674022A8" w14:textId="77777777" w:rsidTr="00D215BD">
        <w:trPr>
          <w:trHeight w:val="300"/>
          <w:jc w:val="center"/>
        </w:trPr>
        <w:tc>
          <w:tcPr>
            <w:tcW w:w="3201" w:type="dxa"/>
            <w:tcBorders>
              <w:left w:val="single" w:sz="4" w:space="0" w:color="auto"/>
              <w:right w:val="single" w:sz="4" w:space="0" w:color="auto"/>
            </w:tcBorders>
            <w:shd w:val="clear" w:color="auto" w:fill="auto"/>
            <w:noWrap/>
            <w:vAlign w:val="center"/>
            <w:hideMark/>
          </w:tcPr>
          <w:p w14:paraId="39B70CA7" w14:textId="77777777" w:rsidR="00D215BD" w:rsidRPr="001314CA" w:rsidRDefault="00D215BD" w:rsidP="00D215BD">
            <w:pPr>
              <w:tabs>
                <w:tab w:val="clear" w:pos="567"/>
                <w:tab w:val="clear" w:pos="1134"/>
                <w:tab w:val="clear" w:pos="1701"/>
                <w:tab w:val="clear" w:pos="2268"/>
                <w:tab w:val="clear" w:pos="2835"/>
              </w:tabs>
              <w:spacing w:before="60" w:after="60"/>
              <w:rPr>
                <w:b/>
                <w:bCs/>
                <w:sz w:val="22"/>
                <w:szCs w:val="22"/>
              </w:rPr>
            </w:pPr>
            <w:r w:rsidRPr="001314CA">
              <w:rPr>
                <w:b/>
                <w:bCs/>
                <w:sz w:val="22"/>
                <w:szCs w:val="22"/>
              </w:rPr>
              <w:t>États-Unis d'Amérique</w:t>
            </w:r>
          </w:p>
        </w:tc>
        <w:tc>
          <w:tcPr>
            <w:tcW w:w="4113" w:type="dxa"/>
            <w:tcBorders>
              <w:left w:val="nil"/>
              <w:right w:val="single" w:sz="4" w:space="0" w:color="auto"/>
            </w:tcBorders>
            <w:shd w:val="clear" w:color="auto" w:fill="auto"/>
            <w:noWrap/>
          </w:tcPr>
          <w:p w14:paraId="3E6D3FA8" w14:textId="77777777" w:rsidR="00D215BD" w:rsidRPr="001314CA" w:rsidRDefault="00D215BD" w:rsidP="00D215BD">
            <w:pPr>
              <w:tabs>
                <w:tab w:val="clear" w:pos="567"/>
                <w:tab w:val="clear" w:pos="1134"/>
                <w:tab w:val="clear" w:pos="1701"/>
                <w:tab w:val="clear" w:pos="2268"/>
                <w:tab w:val="clear" w:pos="2835"/>
              </w:tabs>
              <w:spacing w:before="60" w:after="60"/>
              <w:rPr>
                <w:sz w:val="22"/>
                <w:szCs w:val="22"/>
              </w:rPr>
            </w:pPr>
            <w:r w:rsidRPr="001314CA">
              <w:rPr>
                <w:rFonts w:cs="Calibri"/>
                <w:sz w:val="22"/>
                <w:szCs w:val="22"/>
                <w:lang w:eastAsia="en-GB"/>
              </w:rPr>
              <w:t xml:space="preserve">Intelsat US LLC, </w:t>
            </w:r>
            <w:proofErr w:type="spellStart"/>
            <w:r w:rsidRPr="001314CA">
              <w:rPr>
                <w:rFonts w:cs="Calibri"/>
                <w:sz w:val="22"/>
                <w:szCs w:val="22"/>
                <w:lang w:eastAsia="en-GB"/>
              </w:rPr>
              <w:t>Mclean</w:t>
            </w:r>
            <w:proofErr w:type="spellEnd"/>
          </w:p>
        </w:tc>
        <w:tc>
          <w:tcPr>
            <w:tcW w:w="1176" w:type="dxa"/>
            <w:tcBorders>
              <w:left w:val="nil"/>
              <w:right w:val="single" w:sz="4" w:space="0" w:color="auto"/>
            </w:tcBorders>
            <w:shd w:val="clear" w:color="auto" w:fill="auto"/>
            <w:noWrap/>
            <w:hideMark/>
          </w:tcPr>
          <w:p w14:paraId="002FD379"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rPr>
            </w:pPr>
            <w:r w:rsidRPr="001314CA">
              <w:rPr>
                <w:rFonts w:cs="Calibri"/>
                <w:sz w:val="22"/>
                <w:szCs w:val="22"/>
                <w:lang w:eastAsia="en-GB"/>
              </w:rPr>
              <w:t>2019</w:t>
            </w:r>
          </w:p>
        </w:tc>
        <w:tc>
          <w:tcPr>
            <w:tcW w:w="1390" w:type="dxa"/>
            <w:tcBorders>
              <w:left w:val="nil"/>
              <w:right w:val="single" w:sz="4" w:space="0" w:color="auto"/>
            </w:tcBorders>
            <w:shd w:val="clear" w:color="auto" w:fill="auto"/>
            <w:noWrap/>
            <w:vAlign w:val="center"/>
            <w:hideMark/>
          </w:tcPr>
          <w:p w14:paraId="45D0685A"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szCs w:val="22"/>
              </w:rPr>
            </w:pPr>
            <w:r w:rsidRPr="001314CA">
              <w:rPr>
                <w:rFonts w:cs="Calibri"/>
                <w:sz w:val="22"/>
                <w:szCs w:val="22"/>
                <w:lang w:eastAsia="en-GB"/>
              </w:rPr>
              <w:t>39,35</w:t>
            </w:r>
          </w:p>
        </w:tc>
      </w:tr>
      <w:tr w:rsidR="00D215BD" w:rsidRPr="001314CA" w14:paraId="1ADCBCB1" w14:textId="77777777" w:rsidTr="00D215BD">
        <w:trPr>
          <w:trHeight w:val="300"/>
          <w:jc w:val="center"/>
        </w:trPr>
        <w:tc>
          <w:tcPr>
            <w:tcW w:w="3201" w:type="dxa"/>
            <w:tcBorders>
              <w:left w:val="single" w:sz="4" w:space="0" w:color="auto"/>
              <w:right w:val="single" w:sz="4" w:space="0" w:color="auto"/>
            </w:tcBorders>
            <w:shd w:val="clear" w:color="auto" w:fill="auto"/>
            <w:noWrap/>
            <w:vAlign w:val="center"/>
          </w:tcPr>
          <w:p w14:paraId="227E66B8" w14:textId="77777777" w:rsidR="00D215BD" w:rsidRPr="001314CA" w:rsidRDefault="00D215BD" w:rsidP="00D215BD">
            <w:pPr>
              <w:tabs>
                <w:tab w:val="clear" w:pos="567"/>
                <w:tab w:val="clear" w:pos="1134"/>
                <w:tab w:val="clear" w:pos="1701"/>
                <w:tab w:val="clear" w:pos="2268"/>
                <w:tab w:val="clear" w:pos="2835"/>
              </w:tabs>
              <w:spacing w:before="60" w:after="60"/>
              <w:rPr>
                <w:b/>
                <w:bCs/>
                <w:sz w:val="22"/>
                <w:szCs w:val="22"/>
              </w:rPr>
            </w:pPr>
          </w:p>
        </w:tc>
        <w:tc>
          <w:tcPr>
            <w:tcW w:w="4113" w:type="dxa"/>
            <w:tcBorders>
              <w:left w:val="nil"/>
              <w:right w:val="single" w:sz="4" w:space="0" w:color="auto"/>
            </w:tcBorders>
            <w:shd w:val="clear" w:color="auto" w:fill="auto"/>
            <w:noWrap/>
          </w:tcPr>
          <w:p w14:paraId="66375298" w14:textId="77777777" w:rsidR="00D215BD" w:rsidRPr="001314CA" w:rsidRDefault="00D215BD" w:rsidP="00D215BD">
            <w:pPr>
              <w:tabs>
                <w:tab w:val="clear" w:pos="567"/>
                <w:tab w:val="clear" w:pos="1134"/>
                <w:tab w:val="clear" w:pos="1701"/>
                <w:tab w:val="clear" w:pos="2268"/>
                <w:tab w:val="clear" w:pos="2835"/>
              </w:tabs>
              <w:spacing w:before="60" w:after="60"/>
              <w:rPr>
                <w:sz w:val="22"/>
                <w:szCs w:val="22"/>
              </w:rPr>
            </w:pPr>
            <w:r w:rsidRPr="001314CA">
              <w:rPr>
                <w:rFonts w:cs="Calibri"/>
                <w:sz w:val="22"/>
                <w:szCs w:val="22"/>
                <w:lang w:eastAsia="en-GB"/>
              </w:rPr>
              <w:t>Leading Technologies, LLC, Washington</w:t>
            </w:r>
          </w:p>
        </w:tc>
        <w:tc>
          <w:tcPr>
            <w:tcW w:w="1176" w:type="dxa"/>
            <w:tcBorders>
              <w:left w:val="nil"/>
              <w:right w:val="single" w:sz="4" w:space="0" w:color="auto"/>
            </w:tcBorders>
            <w:shd w:val="clear" w:color="auto" w:fill="auto"/>
            <w:noWrap/>
          </w:tcPr>
          <w:p w14:paraId="7368826F"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rPr>
            </w:pPr>
            <w:r w:rsidRPr="001314CA">
              <w:rPr>
                <w:rFonts w:cs="Calibri"/>
                <w:sz w:val="22"/>
                <w:szCs w:val="22"/>
                <w:lang w:eastAsia="en-GB"/>
              </w:rPr>
              <w:t>2008-2009</w:t>
            </w:r>
          </w:p>
        </w:tc>
        <w:tc>
          <w:tcPr>
            <w:tcW w:w="1390" w:type="dxa"/>
            <w:tcBorders>
              <w:left w:val="nil"/>
              <w:right w:val="single" w:sz="4" w:space="0" w:color="auto"/>
            </w:tcBorders>
            <w:shd w:val="clear" w:color="auto" w:fill="auto"/>
            <w:noWrap/>
            <w:vAlign w:val="center"/>
          </w:tcPr>
          <w:p w14:paraId="0B60C7C6"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szCs w:val="22"/>
              </w:rPr>
            </w:pPr>
            <w:r w:rsidRPr="001314CA">
              <w:rPr>
                <w:rFonts w:cs="Calibri"/>
                <w:sz w:val="22"/>
                <w:szCs w:val="22"/>
                <w:lang w:eastAsia="en-GB"/>
              </w:rPr>
              <w:t>144 486,50</w:t>
            </w:r>
          </w:p>
        </w:tc>
      </w:tr>
      <w:tr w:rsidR="00D215BD" w:rsidRPr="001314CA" w14:paraId="04F1DC76" w14:textId="77777777" w:rsidTr="00D215BD">
        <w:trPr>
          <w:trHeight w:val="300"/>
          <w:jc w:val="center"/>
        </w:trPr>
        <w:tc>
          <w:tcPr>
            <w:tcW w:w="3201" w:type="dxa"/>
            <w:tcBorders>
              <w:left w:val="single" w:sz="4" w:space="0" w:color="auto"/>
              <w:right w:val="single" w:sz="4" w:space="0" w:color="auto"/>
            </w:tcBorders>
            <w:shd w:val="clear" w:color="auto" w:fill="auto"/>
            <w:noWrap/>
            <w:vAlign w:val="center"/>
          </w:tcPr>
          <w:p w14:paraId="213F89E6" w14:textId="77777777" w:rsidR="00D215BD" w:rsidRPr="001314CA" w:rsidRDefault="00D215BD" w:rsidP="00D215BD">
            <w:pPr>
              <w:tabs>
                <w:tab w:val="clear" w:pos="567"/>
                <w:tab w:val="clear" w:pos="1134"/>
                <w:tab w:val="clear" w:pos="1701"/>
                <w:tab w:val="clear" w:pos="2268"/>
                <w:tab w:val="clear" w:pos="2835"/>
              </w:tabs>
              <w:spacing w:before="60" w:after="60"/>
              <w:rPr>
                <w:b/>
                <w:bCs/>
                <w:sz w:val="22"/>
                <w:szCs w:val="22"/>
              </w:rPr>
            </w:pPr>
          </w:p>
        </w:tc>
        <w:tc>
          <w:tcPr>
            <w:tcW w:w="4113" w:type="dxa"/>
            <w:tcBorders>
              <w:left w:val="nil"/>
              <w:right w:val="single" w:sz="4" w:space="0" w:color="auto"/>
            </w:tcBorders>
            <w:shd w:val="clear" w:color="auto" w:fill="auto"/>
            <w:noWrap/>
          </w:tcPr>
          <w:p w14:paraId="1D9A0DDB" w14:textId="77777777" w:rsidR="00D215BD" w:rsidRPr="001314CA" w:rsidRDefault="00D215BD" w:rsidP="00D215BD">
            <w:pPr>
              <w:tabs>
                <w:tab w:val="clear" w:pos="567"/>
                <w:tab w:val="clear" w:pos="1134"/>
                <w:tab w:val="clear" w:pos="1701"/>
                <w:tab w:val="clear" w:pos="2268"/>
                <w:tab w:val="clear" w:pos="2835"/>
              </w:tabs>
              <w:spacing w:before="60" w:after="60"/>
              <w:rPr>
                <w:sz w:val="22"/>
                <w:szCs w:val="22"/>
              </w:rPr>
            </w:pPr>
            <w:r w:rsidRPr="001314CA">
              <w:rPr>
                <w:rFonts w:cs="Calibri"/>
                <w:sz w:val="22"/>
                <w:szCs w:val="22"/>
                <w:lang w:eastAsia="en-GB"/>
              </w:rPr>
              <w:t>New Mexico Tech., Socorro</w:t>
            </w:r>
          </w:p>
        </w:tc>
        <w:tc>
          <w:tcPr>
            <w:tcW w:w="1176" w:type="dxa"/>
            <w:tcBorders>
              <w:left w:val="nil"/>
              <w:right w:val="single" w:sz="4" w:space="0" w:color="auto"/>
            </w:tcBorders>
            <w:shd w:val="clear" w:color="auto" w:fill="auto"/>
            <w:noWrap/>
          </w:tcPr>
          <w:p w14:paraId="3A12411B"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rPr>
            </w:pPr>
            <w:r w:rsidRPr="001314CA">
              <w:rPr>
                <w:rFonts w:cs="Calibri"/>
                <w:sz w:val="22"/>
                <w:szCs w:val="22"/>
                <w:lang w:eastAsia="en-GB"/>
              </w:rPr>
              <w:t>2018</w:t>
            </w:r>
          </w:p>
        </w:tc>
        <w:tc>
          <w:tcPr>
            <w:tcW w:w="1390" w:type="dxa"/>
            <w:tcBorders>
              <w:left w:val="nil"/>
              <w:right w:val="single" w:sz="4" w:space="0" w:color="auto"/>
            </w:tcBorders>
            <w:shd w:val="clear" w:color="auto" w:fill="auto"/>
            <w:noWrap/>
            <w:vAlign w:val="center"/>
          </w:tcPr>
          <w:p w14:paraId="69588BA3"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szCs w:val="22"/>
              </w:rPr>
            </w:pPr>
            <w:r w:rsidRPr="001314CA">
              <w:rPr>
                <w:rFonts w:cs="Calibri"/>
                <w:sz w:val="22"/>
                <w:szCs w:val="22"/>
                <w:lang w:eastAsia="en-GB"/>
              </w:rPr>
              <w:t>570,00</w:t>
            </w:r>
          </w:p>
        </w:tc>
      </w:tr>
      <w:tr w:rsidR="00D215BD" w:rsidRPr="001314CA" w14:paraId="3996BCFE" w14:textId="77777777" w:rsidTr="00D215BD">
        <w:trPr>
          <w:trHeight w:val="300"/>
          <w:jc w:val="center"/>
        </w:trPr>
        <w:tc>
          <w:tcPr>
            <w:tcW w:w="3201" w:type="dxa"/>
            <w:tcBorders>
              <w:left w:val="single" w:sz="4" w:space="0" w:color="auto"/>
              <w:right w:val="single" w:sz="4" w:space="0" w:color="auto"/>
            </w:tcBorders>
            <w:shd w:val="clear" w:color="auto" w:fill="auto"/>
            <w:noWrap/>
            <w:vAlign w:val="center"/>
          </w:tcPr>
          <w:p w14:paraId="4DA35217" w14:textId="77777777" w:rsidR="00D215BD" w:rsidRPr="001314CA" w:rsidRDefault="00D215BD" w:rsidP="00D215BD">
            <w:pPr>
              <w:tabs>
                <w:tab w:val="clear" w:pos="567"/>
                <w:tab w:val="clear" w:pos="1134"/>
                <w:tab w:val="clear" w:pos="1701"/>
                <w:tab w:val="clear" w:pos="2268"/>
                <w:tab w:val="clear" w:pos="2835"/>
              </w:tabs>
              <w:spacing w:before="60" w:after="60"/>
              <w:rPr>
                <w:b/>
                <w:bCs/>
                <w:sz w:val="22"/>
                <w:szCs w:val="22"/>
              </w:rPr>
            </w:pPr>
          </w:p>
        </w:tc>
        <w:tc>
          <w:tcPr>
            <w:tcW w:w="4113" w:type="dxa"/>
            <w:tcBorders>
              <w:left w:val="nil"/>
              <w:right w:val="single" w:sz="4" w:space="0" w:color="auto"/>
            </w:tcBorders>
            <w:shd w:val="clear" w:color="auto" w:fill="auto"/>
            <w:noWrap/>
          </w:tcPr>
          <w:p w14:paraId="0D91112D" w14:textId="77777777" w:rsidR="00D215BD" w:rsidRPr="00513163" w:rsidRDefault="00D215BD" w:rsidP="00D215BD">
            <w:pPr>
              <w:tabs>
                <w:tab w:val="clear" w:pos="567"/>
                <w:tab w:val="clear" w:pos="1134"/>
                <w:tab w:val="clear" w:pos="1701"/>
                <w:tab w:val="clear" w:pos="2268"/>
                <w:tab w:val="clear" w:pos="2835"/>
              </w:tabs>
              <w:spacing w:before="60" w:after="60"/>
              <w:rPr>
                <w:sz w:val="22"/>
                <w:szCs w:val="22"/>
                <w:lang w:val="en-US"/>
              </w:rPr>
            </w:pPr>
            <w:r w:rsidRPr="00513163">
              <w:rPr>
                <w:rFonts w:cs="Calibri"/>
                <w:sz w:val="22"/>
                <w:szCs w:val="22"/>
                <w:lang w:val="en-US" w:eastAsia="en-GB"/>
              </w:rPr>
              <w:t>Space AI, Incorporated, San Francisco</w:t>
            </w:r>
          </w:p>
        </w:tc>
        <w:tc>
          <w:tcPr>
            <w:tcW w:w="1176" w:type="dxa"/>
            <w:tcBorders>
              <w:left w:val="nil"/>
              <w:right w:val="single" w:sz="4" w:space="0" w:color="auto"/>
            </w:tcBorders>
            <w:shd w:val="clear" w:color="auto" w:fill="auto"/>
            <w:noWrap/>
          </w:tcPr>
          <w:p w14:paraId="114CB681"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rPr>
            </w:pPr>
            <w:r w:rsidRPr="001314CA">
              <w:rPr>
                <w:rFonts w:cs="Calibri"/>
                <w:sz w:val="22"/>
                <w:szCs w:val="22"/>
                <w:lang w:eastAsia="en-GB"/>
              </w:rPr>
              <w:t>2019</w:t>
            </w:r>
          </w:p>
        </w:tc>
        <w:tc>
          <w:tcPr>
            <w:tcW w:w="1390" w:type="dxa"/>
            <w:tcBorders>
              <w:left w:val="nil"/>
              <w:right w:val="single" w:sz="4" w:space="0" w:color="auto"/>
            </w:tcBorders>
            <w:shd w:val="clear" w:color="auto" w:fill="auto"/>
            <w:noWrap/>
            <w:vAlign w:val="center"/>
          </w:tcPr>
          <w:p w14:paraId="47022D75"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szCs w:val="22"/>
              </w:rPr>
            </w:pPr>
            <w:r w:rsidRPr="001314CA">
              <w:rPr>
                <w:rFonts w:cs="Calibri"/>
                <w:sz w:val="22"/>
                <w:szCs w:val="22"/>
                <w:lang w:eastAsia="en-GB"/>
              </w:rPr>
              <w:t>583,60</w:t>
            </w:r>
          </w:p>
        </w:tc>
      </w:tr>
      <w:tr w:rsidR="00D215BD" w:rsidRPr="001314CA" w14:paraId="4615C56A" w14:textId="77777777" w:rsidTr="00D215BD">
        <w:trPr>
          <w:trHeight w:val="300"/>
          <w:jc w:val="center"/>
        </w:trPr>
        <w:tc>
          <w:tcPr>
            <w:tcW w:w="3201" w:type="dxa"/>
            <w:tcBorders>
              <w:left w:val="single" w:sz="4" w:space="0" w:color="auto"/>
              <w:bottom w:val="single" w:sz="4" w:space="0" w:color="auto"/>
              <w:right w:val="single" w:sz="4" w:space="0" w:color="auto"/>
            </w:tcBorders>
            <w:shd w:val="clear" w:color="auto" w:fill="auto"/>
            <w:noWrap/>
            <w:vAlign w:val="center"/>
          </w:tcPr>
          <w:p w14:paraId="66DD2DCB" w14:textId="77777777" w:rsidR="00D215BD" w:rsidRPr="001314CA" w:rsidRDefault="00D215BD" w:rsidP="00D215BD">
            <w:pPr>
              <w:tabs>
                <w:tab w:val="clear" w:pos="567"/>
                <w:tab w:val="clear" w:pos="1134"/>
                <w:tab w:val="clear" w:pos="1701"/>
                <w:tab w:val="clear" w:pos="2268"/>
                <w:tab w:val="clear" w:pos="2835"/>
              </w:tabs>
              <w:spacing w:before="60" w:after="60"/>
              <w:rPr>
                <w:b/>
                <w:bCs/>
                <w:sz w:val="22"/>
                <w:szCs w:val="22"/>
              </w:rPr>
            </w:pPr>
          </w:p>
        </w:tc>
        <w:tc>
          <w:tcPr>
            <w:tcW w:w="4113" w:type="dxa"/>
            <w:tcBorders>
              <w:left w:val="nil"/>
              <w:bottom w:val="single" w:sz="4" w:space="0" w:color="auto"/>
              <w:right w:val="single" w:sz="4" w:space="0" w:color="auto"/>
            </w:tcBorders>
            <w:shd w:val="clear" w:color="auto" w:fill="auto"/>
            <w:noWrap/>
          </w:tcPr>
          <w:p w14:paraId="4E32B690" w14:textId="77777777" w:rsidR="00D215BD" w:rsidRPr="001314CA" w:rsidRDefault="00D215BD" w:rsidP="00D215BD">
            <w:pPr>
              <w:tabs>
                <w:tab w:val="clear" w:pos="567"/>
                <w:tab w:val="clear" w:pos="1134"/>
                <w:tab w:val="clear" w:pos="1701"/>
                <w:tab w:val="clear" w:pos="2268"/>
                <w:tab w:val="clear" w:pos="2835"/>
              </w:tabs>
              <w:spacing w:before="60" w:after="60"/>
              <w:rPr>
                <w:sz w:val="22"/>
                <w:szCs w:val="22"/>
              </w:rPr>
            </w:pPr>
            <w:proofErr w:type="spellStart"/>
            <w:r w:rsidRPr="001314CA">
              <w:rPr>
                <w:rFonts w:cs="Calibri"/>
                <w:sz w:val="22"/>
                <w:szCs w:val="22"/>
                <w:lang w:eastAsia="en-GB"/>
              </w:rPr>
              <w:t>Steptoe</w:t>
            </w:r>
            <w:proofErr w:type="spellEnd"/>
            <w:r w:rsidRPr="001314CA">
              <w:rPr>
                <w:rFonts w:cs="Calibri"/>
                <w:sz w:val="22"/>
                <w:szCs w:val="22"/>
                <w:lang w:eastAsia="en-GB"/>
              </w:rPr>
              <w:t xml:space="preserve"> &amp; Johnson LLP, Washington</w:t>
            </w:r>
          </w:p>
        </w:tc>
        <w:tc>
          <w:tcPr>
            <w:tcW w:w="1176" w:type="dxa"/>
            <w:tcBorders>
              <w:left w:val="nil"/>
              <w:bottom w:val="single" w:sz="4" w:space="0" w:color="auto"/>
              <w:right w:val="single" w:sz="4" w:space="0" w:color="auto"/>
            </w:tcBorders>
            <w:shd w:val="clear" w:color="auto" w:fill="auto"/>
            <w:noWrap/>
          </w:tcPr>
          <w:p w14:paraId="0A9288C9"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rPr>
            </w:pPr>
            <w:r w:rsidRPr="001314CA">
              <w:rPr>
                <w:rFonts w:cs="Calibri"/>
                <w:sz w:val="22"/>
                <w:szCs w:val="22"/>
                <w:lang w:eastAsia="en-GB"/>
              </w:rPr>
              <w:t>2017</w:t>
            </w:r>
          </w:p>
        </w:tc>
        <w:tc>
          <w:tcPr>
            <w:tcW w:w="1390" w:type="dxa"/>
            <w:tcBorders>
              <w:left w:val="nil"/>
              <w:bottom w:val="single" w:sz="4" w:space="0" w:color="auto"/>
              <w:right w:val="single" w:sz="4" w:space="0" w:color="auto"/>
            </w:tcBorders>
            <w:shd w:val="clear" w:color="auto" w:fill="auto"/>
            <w:noWrap/>
            <w:vAlign w:val="center"/>
          </w:tcPr>
          <w:p w14:paraId="32962BA9"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szCs w:val="22"/>
              </w:rPr>
            </w:pPr>
            <w:r w:rsidRPr="001314CA">
              <w:rPr>
                <w:rFonts w:cs="Calibri"/>
                <w:sz w:val="22"/>
                <w:szCs w:val="22"/>
                <w:lang w:eastAsia="en-GB"/>
              </w:rPr>
              <w:t>72,85</w:t>
            </w:r>
          </w:p>
        </w:tc>
      </w:tr>
      <w:tr w:rsidR="00D215BD" w:rsidRPr="001314CA" w14:paraId="11F45012" w14:textId="77777777" w:rsidTr="00D215BD">
        <w:trPr>
          <w:trHeight w:val="510"/>
          <w:jc w:val="center"/>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3573D" w14:textId="77777777" w:rsidR="00D215BD" w:rsidRPr="001314CA" w:rsidRDefault="00D215BD" w:rsidP="00D215BD">
            <w:pPr>
              <w:tabs>
                <w:tab w:val="clear" w:pos="567"/>
                <w:tab w:val="clear" w:pos="1134"/>
                <w:tab w:val="clear" w:pos="1701"/>
                <w:tab w:val="clear" w:pos="2268"/>
                <w:tab w:val="clear" w:pos="2835"/>
              </w:tabs>
              <w:spacing w:before="60" w:after="60"/>
              <w:rPr>
                <w:b/>
                <w:bCs/>
                <w:sz w:val="22"/>
                <w:szCs w:val="22"/>
              </w:rPr>
            </w:pPr>
            <w:r w:rsidRPr="001314CA">
              <w:rPr>
                <w:b/>
                <w:bCs/>
                <w:sz w:val="22"/>
                <w:szCs w:val="22"/>
              </w:rPr>
              <w:t>Total des arriérés au 31.12.2020</w:t>
            </w:r>
          </w:p>
        </w:tc>
        <w:tc>
          <w:tcPr>
            <w:tcW w:w="4113" w:type="dxa"/>
            <w:tcBorders>
              <w:top w:val="single" w:sz="4" w:space="0" w:color="auto"/>
              <w:left w:val="nil"/>
              <w:bottom w:val="single" w:sz="4" w:space="0" w:color="auto"/>
              <w:right w:val="single" w:sz="4" w:space="0" w:color="auto"/>
            </w:tcBorders>
            <w:shd w:val="clear" w:color="auto" w:fill="auto"/>
            <w:noWrap/>
            <w:vAlign w:val="bottom"/>
            <w:hideMark/>
          </w:tcPr>
          <w:p w14:paraId="4E768FEF" w14:textId="77777777" w:rsidR="00D215BD" w:rsidRPr="001314CA" w:rsidRDefault="00D215BD" w:rsidP="00D215BD">
            <w:pPr>
              <w:tabs>
                <w:tab w:val="clear" w:pos="567"/>
                <w:tab w:val="clear" w:pos="1134"/>
                <w:tab w:val="clear" w:pos="1701"/>
                <w:tab w:val="clear" w:pos="2268"/>
                <w:tab w:val="clear" w:pos="2835"/>
              </w:tabs>
              <w:spacing w:before="60" w:after="60"/>
              <w:rPr>
                <w:sz w:val="22"/>
                <w:szCs w:val="22"/>
              </w:rPr>
            </w:pPr>
            <w:r w:rsidRPr="001314CA">
              <w:rPr>
                <w:sz w:val="22"/>
                <w:szCs w:val="22"/>
              </w:rPr>
              <w:t> </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357C9652" w14:textId="77777777" w:rsidR="00D215BD" w:rsidRPr="001314CA" w:rsidRDefault="00D215BD" w:rsidP="00D215BD">
            <w:pPr>
              <w:tabs>
                <w:tab w:val="clear" w:pos="567"/>
                <w:tab w:val="clear" w:pos="1134"/>
                <w:tab w:val="clear" w:pos="1701"/>
                <w:tab w:val="clear" w:pos="2268"/>
                <w:tab w:val="clear" w:pos="2835"/>
              </w:tabs>
              <w:spacing w:before="60" w:after="60"/>
              <w:rPr>
                <w:sz w:val="22"/>
                <w:szCs w:val="22"/>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79FA11B" w14:textId="77777777" w:rsidR="00D215BD" w:rsidRPr="001314CA" w:rsidRDefault="00D215BD" w:rsidP="00D215BD">
            <w:pPr>
              <w:tabs>
                <w:tab w:val="clear" w:pos="567"/>
                <w:tab w:val="clear" w:pos="1134"/>
                <w:tab w:val="clear" w:pos="1701"/>
                <w:tab w:val="clear" w:pos="2268"/>
                <w:tab w:val="clear" w:pos="2835"/>
              </w:tabs>
              <w:spacing w:before="60" w:after="60"/>
              <w:jc w:val="right"/>
              <w:rPr>
                <w:rFonts w:asciiTheme="minorHAnsi" w:hAnsiTheme="minorHAnsi"/>
                <w:b/>
                <w:bCs/>
                <w:sz w:val="22"/>
                <w:szCs w:val="22"/>
              </w:rPr>
            </w:pPr>
            <w:r w:rsidRPr="001314CA">
              <w:rPr>
                <w:rFonts w:cs="Calibri"/>
                <w:b/>
                <w:bCs/>
                <w:sz w:val="22"/>
                <w:szCs w:val="22"/>
                <w:lang w:eastAsia="en-GB"/>
              </w:rPr>
              <w:t>253 021,70</w:t>
            </w:r>
          </w:p>
        </w:tc>
      </w:tr>
    </w:tbl>
    <w:p w14:paraId="64B06C0C" w14:textId="77777777" w:rsidR="00D215BD" w:rsidRPr="001314CA" w:rsidRDefault="00D215BD" w:rsidP="00D215BD">
      <w:pPr>
        <w:pStyle w:val="Tabletitle"/>
        <w:spacing w:before="360" w:after="240"/>
        <w:rPr>
          <w:sz w:val="28"/>
          <w:szCs w:val="28"/>
        </w:rPr>
      </w:pPr>
      <w:r w:rsidRPr="001314CA">
        <w:rPr>
          <w:sz w:val="28"/>
          <w:szCs w:val="28"/>
        </w:rPr>
        <w:t>Montants dus concernant des factures diverses</w:t>
      </w:r>
    </w:p>
    <w:tbl>
      <w:tblPr>
        <w:tblW w:w="9918" w:type="dxa"/>
        <w:jc w:val="center"/>
        <w:tblLook w:val="04A0" w:firstRow="1" w:lastRow="0" w:firstColumn="1" w:lastColumn="0" w:noHBand="0" w:noVBand="1"/>
        <w:tblCaption w:val="MONTANTS DUS CONCERNANT LES FACTURES DIVERSES"/>
      </w:tblPr>
      <w:tblGrid>
        <w:gridCol w:w="3352"/>
        <w:gridCol w:w="4060"/>
        <w:gridCol w:w="1134"/>
        <w:gridCol w:w="1372"/>
      </w:tblGrid>
      <w:tr w:rsidR="00D215BD" w:rsidRPr="001314CA" w14:paraId="48FB7B27" w14:textId="77777777" w:rsidTr="00D215BD">
        <w:trPr>
          <w:trHeight w:val="300"/>
          <w:jc w:val="center"/>
        </w:trPr>
        <w:tc>
          <w:tcPr>
            <w:tcW w:w="3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DFA53"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Pays</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01E9268F"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Entité</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78FEB5"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Année</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04D05FE5"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Montant dû</w:t>
            </w:r>
          </w:p>
        </w:tc>
      </w:tr>
      <w:tr w:rsidR="00D215BD" w:rsidRPr="001314CA" w14:paraId="68EE30AA" w14:textId="77777777" w:rsidTr="00D215BD">
        <w:trPr>
          <w:trHeight w:val="315"/>
          <w:jc w:val="center"/>
        </w:trPr>
        <w:tc>
          <w:tcPr>
            <w:tcW w:w="3352" w:type="dxa"/>
            <w:tcBorders>
              <w:top w:val="nil"/>
              <w:left w:val="single" w:sz="4" w:space="0" w:color="auto"/>
              <w:bottom w:val="nil"/>
              <w:right w:val="nil"/>
            </w:tcBorders>
            <w:shd w:val="clear" w:color="auto" w:fill="auto"/>
            <w:noWrap/>
            <w:vAlign w:val="bottom"/>
          </w:tcPr>
          <w:p w14:paraId="72B07263" w14:textId="77777777" w:rsidR="00D215BD" w:rsidRPr="001314CA" w:rsidRDefault="00D215BD" w:rsidP="00D215BD">
            <w:pPr>
              <w:tabs>
                <w:tab w:val="clear" w:pos="567"/>
                <w:tab w:val="clear" w:pos="1134"/>
                <w:tab w:val="clear" w:pos="1701"/>
                <w:tab w:val="clear" w:pos="2268"/>
                <w:tab w:val="clear" w:pos="2835"/>
              </w:tabs>
              <w:spacing w:before="60" w:after="60"/>
              <w:rPr>
                <w:b/>
                <w:bCs/>
                <w:sz w:val="22"/>
              </w:rPr>
            </w:pPr>
            <w:r w:rsidRPr="001314CA">
              <w:rPr>
                <w:b/>
                <w:bCs/>
                <w:sz w:val="22"/>
              </w:rPr>
              <w:t>Arabie saoudite</w:t>
            </w:r>
          </w:p>
        </w:tc>
        <w:tc>
          <w:tcPr>
            <w:tcW w:w="4060" w:type="dxa"/>
            <w:tcBorders>
              <w:top w:val="nil"/>
              <w:left w:val="single" w:sz="4" w:space="0" w:color="auto"/>
              <w:bottom w:val="nil"/>
              <w:right w:val="single" w:sz="4" w:space="0" w:color="auto"/>
            </w:tcBorders>
            <w:shd w:val="clear" w:color="auto" w:fill="auto"/>
            <w:vAlign w:val="bottom"/>
          </w:tcPr>
          <w:p w14:paraId="76213D64"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roofErr w:type="spellStart"/>
            <w:r w:rsidRPr="001314CA">
              <w:rPr>
                <w:sz w:val="22"/>
              </w:rPr>
              <w:t>Saudi</w:t>
            </w:r>
            <w:proofErr w:type="spellEnd"/>
            <w:r w:rsidRPr="001314CA">
              <w:rPr>
                <w:sz w:val="22"/>
              </w:rPr>
              <w:t xml:space="preserve"> Telecom, Riyad</w:t>
            </w:r>
          </w:p>
        </w:tc>
        <w:tc>
          <w:tcPr>
            <w:tcW w:w="1134" w:type="dxa"/>
            <w:tcBorders>
              <w:top w:val="nil"/>
              <w:left w:val="nil"/>
              <w:bottom w:val="nil"/>
              <w:right w:val="single" w:sz="4" w:space="0" w:color="auto"/>
            </w:tcBorders>
            <w:shd w:val="clear" w:color="auto" w:fill="auto"/>
            <w:noWrap/>
          </w:tcPr>
          <w:p w14:paraId="743D283A"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rPr>
            </w:pPr>
            <w:r w:rsidRPr="001314CA">
              <w:rPr>
                <w:sz w:val="22"/>
              </w:rPr>
              <w:t>2010</w:t>
            </w:r>
          </w:p>
        </w:tc>
        <w:tc>
          <w:tcPr>
            <w:tcW w:w="1372" w:type="dxa"/>
            <w:tcBorders>
              <w:top w:val="nil"/>
              <w:left w:val="nil"/>
              <w:right w:val="single" w:sz="4" w:space="0" w:color="auto"/>
            </w:tcBorders>
            <w:shd w:val="clear" w:color="auto" w:fill="auto"/>
            <w:noWrap/>
          </w:tcPr>
          <w:p w14:paraId="693D1F7F"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r w:rsidRPr="001314CA">
              <w:rPr>
                <w:sz w:val="22"/>
              </w:rPr>
              <w:t>62 560,00</w:t>
            </w:r>
          </w:p>
        </w:tc>
      </w:tr>
      <w:tr w:rsidR="00D215BD" w:rsidRPr="001314CA" w14:paraId="1F388DDB" w14:textId="77777777" w:rsidTr="00D215BD">
        <w:trPr>
          <w:trHeight w:val="315"/>
          <w:jc w:val="center"/>
        </w:trPr>
        <w:tc>
          <w:tcPr>
            <w:tcW w:w="3352" w:type="dxa"/>
            <w:tcBorders>
              <w:top w:val="nil"/>
              <w:left w:val="single" w:sz="4" w:space="0" w:color="auto"/>
              <w:bottom w:val="single" w:sz="4" w:space="0" w:color="auto"/>
              <w:right w:val="nil"/>
            </w:tcBorders>
            <w:shd w:val="clear" w:color="auto" w:fill="auto"/>
            <w:noWrap/>
          </w:tcPr>
          <w:p w14:paraId="14CDC852" w14:textId="77777777" w:rsidR="00D215BD" w:rsidRPr="001314CA" w:rsidRDefault="00D215BD" w:rsidP="00D215BD">
            <w:pPr>
              <w:tabs>
                <w:tab w:val="clear" w:pos="567"/>
                <w:tab w:val="clear" w:pos="1134"/>
                <w:tab w:val="clear" w:pos="1701"/>
                <w:tab w:val="clear" w:pos="2268"/>
                <w:tab w:val="clear" w:pos="2835"/>
              </w:tabs>
              <w:spacing w:before="60" w:after="60"/>
              <w:rPr>
                <w:b/>
                <w:bCs/>
                <w:sz w:val="22"/>
              </w:rPr>
            </w:pPr>
          </w:p>
        </w:tc>
        <w:tc>
          <w:tcPr>
            <w:tcW w:w="4060" w:type="dxa"/>
            <w:tcBorders>
              <w:top w:val="nil"/>
              <w:left w:val="single" w:sz="4" w:space="0" w:color="auto"/>
              <w:bottom w:val="single" w:sz="4" w:space="0" w:color="auto"/>
              <w:right w:val="single" w:sz="4" w:space="0" w:color="auto"/>
            </w:tcBorders>
            <w:shd w:val="clear" w:color="auto" w:fill="auto"/>
          </w:tcPr>
          <w:p w14:paraId="358AAE1B" w14:textId="77777777" w:rsidR="00D215BD" w:rsidRPr="001314CA" w:rsidRDefault="00D215BD" w:rsidP="00D215BD">
            <w:pPr>
              <w:tabs>
                <w:tab w:val="clear" w:pos="567"/>
                <w:tab w:val="clear" w:pos="1134"/>
                <w:tab w:val="clear" w:pos="1701"/>
                <w:tab w:val="clear" w:pos="2268"/>
                <w:tab w:val="clear" w:pos="2835"/>
              </w:tabs>
              <w:spacing w:before="60" w:after="60"/>
              <w:rPr>
                <w:sz w:val="22"/>
              </w:rPr>
            </w:pPr>
          </w:p>
        </w:tc>
        <w:tc>
          <w:tcPr>
            <w:tcW w:w="1134" w:type="dxa"/>
            <w:tcBorders>
              <w:top w:val="nil"/>
              <w:left w:val="nil"/>
              <w:bottom w:val="single" w:sz="4" w:space="0" w:color="auto"/>
              <w:right w:val="single" w:sz="4" w:space="0" w:color="auto"/>
            </w:tcBorders>
            <w:shd w:val="clear" w:color="auto" w:fill="auto"/>
            <w:noWrap/>
            <w:vAlign w:val="bottom"/>
          </w:tcPr>
          <w:p w14:paraId="2446241E"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rPr>
            </w:pPr>
          </w:p>
        </w:tc>
        <w:tc>
          <w:tcPr>
            <w:tcW w:w="1372" w:type="dxa"/>
            <w:tcBorders>
              <w:top w:val="nil"/>
              <w:left w:val="nil"/>
              <w:bottom w:val="single" w:sz="4" w:space="0" w:color="auto"/>
              <w:right w:val="single" w:sz="4" w:space="0" w:color="auto"/>
            </w:tcBorders>
            <w:shd w:val="clear" w:color="auto" w:fill="auto"/>
            <w:noWrap/>
            <w:vAlign w:val="bottom"/>
          </w:tcPr>
          <w:p w14:paraId="31E4525D" w14:textId="77777777" w:rsidR="00D215BD" w:rsidRPr="001314CA" w:rsidRDefault="00D215BD" w:rsidP="00D215BD">
            <w:pPr>
              <w:tabs>
                <w:tab w:val="clear" w:pos="567"/>
                <w:tab w:val="clear" w:pos="1134"/>
                <w:tab w:val="clear" w:pos="1701"/>
                <w:tab w:val="clear" w:pos="2268"/>
                <w:tab w:val="clear" w:pos="2835"/>
              </w:tabs>
              <w:spacing w:before="60" w:after="60"/>
              <w:jc w:val="right"/>
              <w:rPr>
                <w:sz w:val="22"/>
              </w:rPr>
            </w:pPr>
          </w:p>
        </w:tc>
      </w:tr>
      <w:tr w:rsidR="00D215BD" w:rsidRPr="001314CA" w14:paraId="01240056" w14:textId="77777777" w:rsidTr="00D215BD">
        <w:trPr>
          <w:trHeight w:val="300"/>
          <w:jc w:val="center"/>
        </w:trPr>
        <w:tc>
          <w:tcPr>
            <w:tcW w:w="3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DCC1" w14:textId="77777777" w:rsidR="00D215BD" w:rsidRPr="001314CA" w:rsidRDefault="00D215BD" w:rsidP="00D215BD">
            <w:pPr>
              <w:tabs>
                <w:tab w:val="clear" w:pos="567"/>
                <w:tab w:val="clear" w:pos="1134"/>
                <w:tab w:val="clear" w:pos="1701"/>
                <w:tab w:val="clear" w:pos="2268"/>
                <w:tab w:val="clear" w:pos="2835"/>
              </w:tabs>
              <w:spacing w:before="60" w:after="60"/>
              <w:rPr>
                <w:b/>
                <w:bCs/>
                <w:sz w:val="22"/>
              </w:rPr>
            </w:pPr>
            <w:r w:rsidRPr="001314CA">
              <w:rPr>
                <w:b/>
                <w:bCs/>
                <w:sz w:val="22"/>
              </w:rPr>
              <w:t>Total des arriérés au 31.12.2020</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376FBBEB"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88FE1C"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26896CE9"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2"/>
              </w:rPr>
            </w:pPr>
            <w:r w:rsidRPr="001314CA">
              <w:rPr>
                <w:b/>
                <w:bCs/>
                <w:sz w:val="22"/>
              </w:rPr>
              <w:t>62 560,00</w:t>
            </w:r>
          </w:p>
        </w:tc>
      </w:tr>
    </w:tbl>
    <w:p w14:paraId="5D2DA6FA" w14:textId="77777777" w:rsidR="00D215BD" w:rsidRPr="001314CA" w:rsidRDefault="00D215BD" w:rsidP="00D215BD"/>
    <w:p w14:paraId="3B6BA67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pPr>
      <w:r w:rsidRPr="001314CA">
        <w:br w:type="page"/>
      </w:r>
    </w:p>
    <w:p w14:paraId="2BDD8915" w14:textId="77777777" w:rsidR="00D215BD" w:rsidRPr="001314CA" w:rsidRDefault="00D215BD" w:rsidP="00D215BD">
      <w:pPr>
        <w:pStyle w:val="Tabletitle"/>
        <w:spacing w:before="120" w:after="240"/>
        <w:rPr>
          <w:sz w:val="28"/>
          <w:szCs w:val="28"/>
        </w:rPr>
      </w:pPr>
      <w:r w:rsidRPr="001314CA">
        <w:rPr>
          <w:sz w:val="28"/>
          <w:szCs w:val="28"/>
        </w:rPr>
        <w:lastRenderedPageBreak/>
        <w:t xml:space="preserve">MONTANTS DUS CONCERNANT LES NUMÉROS UNIVERSELS </w:t>
      </w:r>
      <w:r w:rsidRPr="001314CA">
        <w:rPr>
          <w:sz w:val="28"/>
          <w:szCs w:val="28"/>
        </w:rPr>
        <w:br/>
        <w:t>DE LIBRE APPEL INTERNATIONAL (UIFN)</w:t>
      </w:r>
    </w:p>
    <w:tbl>
      <w:tblPr>
        <w:tblW w:w="5000" w:type="pct"/>
        <w:tblLook w:val="04A0" w:firstRow="1" w:lastRow="0" w:firstColumn="1" w:lastColumn="0" w:noHBand="0" w:noVBand="1"/>
      </w:tblPr>
      <w:tblGrid>
        <w:gridCol w:w="2402"/>
        <w:gridCol w:w="4486"/>
        <w:gridCol w:w="1400"/>
        <w:gridCol w:w="1341"/>
      </w:tblGrid>
      <w:tr w:rsidR="00D215BD" w:rsidRPr="001314CA" w14:paraId="37DE4D64" w14:textId="77777777" w:rsidTr="00D215BD">
        <w:trPr>
          <w:trHeight w:val="585"/>
        </w:trPr>
        <w:tc>
          <w:tcPr>
            <w:tcW w:w="1270" w:type="pct"/>
            <w:tcBorders>
              <w:top w:val="single" w:sz="4" w:space="0" w:color="auto"/>
              <w:left w:val="single" w:sz="4" w:space="0" w:color="auto"/>
              <w:bottom w:val="single" w:sz="4" w:space="0" w:color="auto"/>
              <w:right w:val="single" w:sz="4" w:space="0" w:color="auto"/>
            </w:tcBorders>
            <w:shd w:val="clear" w:color="auto" w:fill="FFFFFF"/>
            <w:noWrap/>
            <w:hideMark/>
          </w:tcPr>
          <w:p w14:paraId="6CE0B568" w14:textId="77777777" w:rsidR="00D215BD" w:rsidRPr="001314CA" w:rsidRDefault="00D215BD" w:rsidP="00D215BD">
            <w:pPr>
              <w:tabs>
                <w:tab w:val="clear" w:pos="567"/>
                <w:tab w:val="clear" w:pos="1134"/>
                <w:tab w:val="clear" w:pos="1701"/>
                <w:tab w:val="clear" w:pos="2268"/>
                <w:tab w:val="clear" w:pos="2835"/>
              </w:tabs>
              <w:spacing w:after="120"/>
              <w:jc w:val="center"/>
              <w:rPr>
                <w:b/>
                <w:sz w:val="22"/>
                <w:lang w:eastAsia="en-GB"/>
              </w:rPr>
            </w:pPr>
            <w:r w:rsidRPr="001314CA">
              <w:rPr>
                <w:b/>
                <w:sz w:val="22"/>
                <w:lang w:eastAsia="en-GB"/>
              </w:rPr>
              <w:t>Pays</w:t>
            </w:r>
          </w:p>
        </w:tc>
        <w:tc>
          <w:tcPr>
            <w:tcW w:w="2261" w:type="pct"/>
            <w:tcBorders>
              <w:top w:val="single" w:sz="4" w:space="0" w:color="auto"/>
              <w:left w:val="nil"/>
              <w:bottom w:val="single" w:sz="4" w:space="0" w:color="auto"/>
              <w:right w:val="single" w:sz="4" w:space="0" w:color="auto"/>
            </w:tcBorders>
            <w:shd w:val="clear" w:color="auto" w:fill="FFFFFF"/>
            <w:noWrap/>
            <w:hideMark/>
          </w:tcPr>
          <w:p w14:paraId="039C3B44" w14:textId="77777777" w:rsidR="00D215BD" w:rsidRPr="001314CA" w:rsidRDefault="00D215BD" w:rsidP="00D215BD">
            <w:pPr>
              <w:tabs>
                <w:tab w:val="clear" w:pos="567"/>
                <w:tab w:val="clear" w:pos="1134"/>
                <w:tab w:val="clear" w:pos="1701"/>
                <w:tab w:val="clear" w:pos="2268"/>
                <w:tab w:val="clear" w:pos="2835"/>
              </w:tabs>
              <w:spacing w:after="120"/>
              <w:jc w:val="center"/>
              <w:rPr>
                <w:b/>
                <w:sz w:val="22"/>
                <w:lang w:eastAsia="en-GB"/>
              </w:rPr>
            </w:pPr>
            <w:r w:rsidRPr="001314CA">
              <w:rPr>
                <w:b/>
                <w:sz w:val="22"/>
                <w:lang w:eastAsia="en-GB"/>
              </w:rPr>
              <w:t>Entité</w:t>
            </w:r>
          </w:p>
        </w:tc>
        <w:tc>
          <w:tcPr>
            <w:tcW w:w="750" w:type="pct"/>
            <w:tcBorders>
              <w:top w:val="single" w:sz="4" w:space="0" w:color="auto"/>
              <w:left w:val="nil"/>
              <w:bottom w:val="single" w:sz="4" w:space="0" w:color="auto"/>
              <w:right w:val="single" w:sz="4" w:space="0" w:color="auto"/>
            </w:tcBorders>
            <w:shd w:val="clear" w:color="auto" w:fill="FFFFFF"/>
            <w:noWrap/>
            <w:hideMark/>
          </w:tcPr>
          <w:p w14:paraId="1B9A4326" w14:textId="77777777" w:rsidR="00D215BD" w:rsidRPr="001314CA" w:rsidRDefault="00D215BD" w:rsidP="00D215BD">
            <w:pPr>
              <w:tabs>
                <w:tab w:val="clear" w:pos="567"/>
                <w:tab w:val="clear" w:pos="1134"/>
                <w:tab w:val="clear" w:pos="1701"/>
                <w:tab w:val="clear" w:pos="2268"/>
                <w:tab w:val="clear" w:pos="2835"/>
              </w:tabs>
              <w:spacing w:after="120"/>
              <w:jc w:val="center"/>
              <w:rPr>
                <w:b/>
                <w:sz w:val="22"/>
                <w:lang w:eastAsia="en-GB"/>
              </w:rPr>
            </w:pPr>
            <w:r w:rsidRPr="001314CA">
              <w:rPr>
                <w:b/>
                <w:sz w:val="22"/>
                <w:lang w:eastAsia="en-GB"/>
              </w:rPr>
              <w:t>Année</w:t>
            </w:r>
          </w:p>
        </w:tc>
        <w:tc>
          <w:tcPr>
            <w:tcW w:w="719" w:type="pct"/>
            <w:tcBorders>
              <w:top w:val="single" w:sz="4" w:space="0" w:color="auto"/>
              <w:left w:val="nil"/>
              <w:bottom w:val="single" w:sz="4" w:space="0" w:color="auto"/>
              <w:right w:val="single" w:sz="4" w:space="0" w:color="auto"/>
            </w:tcBorders>
            <w:shd w:val="clear" w:color="auto" w:fill="FFFFFF"/>
            <w:hideMark/>
          </w:tcPr>
          <w:p w14:paraId="080EB910" w14:textId="77777777" w:rsidR="00D215BD" w:rsidRPr="001314CA" w:rsidRDefault="00D215BD" w:rsidP="00D215BD">
            <w:pPr>
              <w:tabs>
                <w:tab w:val="clear" w:pos="567"/>
                <w:tab w:val="clear" w:pos="1134"/>
                <w:tab w:val="clear" w:pos="1701"/>
                <w:tab w:val="clear" w:pos="2268"/>
                <w:tab w:val="clear" w:pos="2835"/>
              </w:tabs>
              <w:spacing w:after="120"/>
              <w:jc w:val="center"/>
              <w:rPr>
                <w:b/>
                <w:sz w:val="22"/>
                <w:lang w:eastAsia="en-GB"/>
              </w:rPr>
            </w:pPr>
            <w:r w:rsidRPr="001314CA">
              <w:rPr>
                <w:b/>
                <w:sz w:val="22"/>
              </w:rPr>
              <w:t>Montant dû</w:t>
            </w:r>
            <w:r w:rsidRPr="001314CA">
              <w:rPr>
                <w:b/>
                <w:sz w:val="22"/>
                <w:lang w:eastAsia="en-GB"/>
              </w:rPr>
              <w:t xml:space="preserve"> en CHF</w:t>
            </w:r>
          </w:p>
        </w:tc>
      </w:tr>
      <w:tr w:rsidR="00D215BD" w:rsidRPr="001314CA" w14:paraId="7329BBA3"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664BC01B"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BRÉSIL</w:t>
            </w:r>
          </w:p>
        </w:tc>
        <w:tc>
          <w:tcPr>
            <w:tcW w:w="2261" w:type="pct"/>
            <w:tcBorders>
              <w:top w:val="nil"/>
              <w:left w:val="nil"/>
              <w:bottom w:val="nil"/>
              <w:right w:val="single" w:sz="4" w:space="0" w:color="auto"/>
            </w:tcBorders>
            <w:shd w:val="clear" w:color="auto" w:fill="FFFFFF"/>
            <w:noWrap/>
            <w:hideMark/>
          </w:tcPr>
          <w:p w14:paraId="0315B04B"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proofErr w:type="spellStart"/>
            <w:r w:rsidRPr="001314CA">
              <w:rPr>
                <w:sz w:val="22"/>
                <w:lang w:eastAsia="en-GB"/>
              </w:rPr>
              <w:t>Intelig</w:t>
            </w:r>
            <w:proofErr w:type="spellEnd"/>
            <w:r w:rsidRPr="001314CA">
              <w:rPr>
                <w:sz w:val="22"/>
                <w:lang w:eastAsia="en-GB"/>
              </w:rPr>
              <w:t xml:space="preserve"> </w:t>
            </w:r>
            <w:proofErr w:type="spellStart"/>
            <w:r w:rsidRPr="001314CA">
              <w:rPr>
                <w:sz w:val="22"/>
                <w:lang w:eastAsia="en-GB"/>
              </w:rPr>
              <w:t>Telecomunicações</w:t>
            </w:r>
            <w:proofErr w:type="spellEnd"/>
            <w:r w:rsidRPr="001314CA">
              <w:rPr>
                <w:sz w:val="22"/>
                <w:lang w:eastAsia="en-GB"/>
              </w:rPr>
              <w:t xml:space="preserve"> </w:t>
            </w:r>
            <w:proofErr w:type="spellStart"/>
            <w:r w:rsidRPr="001314CA">
              <w:rPr>
                <w:sz w:val="22"/>
                <w:lang w:eastAsia="en-GB"/>
              </w:rPr>
              <w:t>Ltda</w:t>
            </w:r>
            <w:proofErr w:type="spellEnd"/>
            <w:r w:rsidRPr="001314CA">
              <w:rPr>
                <w:sz w:val="22"/>
                <w:lang w:eastAsia="en-GB"/>
              </w:rPr>
              <w:t>., Rio de Janeiro</w:t>
            </w:r>
          </w:p>
        </w:tc>
        <w:tc>
          <w:tcPr>
            <w:tcW w:w="750" w:type="pct"/>
            <w:tcBorders>
              <w:top w:val="nil"/>
              <w:left w:val="nil"/>
              <w:bottom w:val="nil"/>
              <w:right w:val="single" w:sz="4" w:space="0" w:color="auto"/>
            </w:tcBorders>
            <w:shd w:val="clear" w:color="auto" w:fill="FFFFFF"/>
            <w:noWrap/>
            <w:hideMark/>
          </w:tcPr>
          <w:p w14:paraId="7218D09C"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3D07E6B0"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100,00</w:t>
            </w:r>
          </w:p>
        </w:tc>
      </w:tr>
      <w:tr w:rsidR="00D215BD" w:rsidRPr="001314CA" w14:paraId="294BB565" w14:textId="77777777" w:rsidTr="00D215BD">
        <w:trPr>
          <w:trHeight w:val="300"/>
        </w:trPr>
        <w:tc>
          <w:tcPr>
            <w:tcW w:w="1270" w:type="pct"/>
            <w:tcBorders>
              <w:top w:val="nil"/>
              <w:left w:val="single" w:sz="4" w:space="0" w:color="auto"/>
              <w:bottom w:val="nil"/>
              <w:right w:val="single" w:sz="4" w:space="0" w:color="auto"/>
            </w:tcBorders>
            <w:shd w:val="clear" w:color="auto" w:fill="FFFFFF"/>
          </w:tcPr>
          <w:p w14:paraId="231043EB"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CHINE</w:t>
            </w:r>
          </w:p>
        </w:tc>
        <w:tc>
          <w:tcPr>
            <w:tcW w:w="2261" w:type="pct"/>
            <w:tcBorders>
              <w:top w:val="nil"/>
              <w:left w:val="nil"/>
              <w:bottom w:val="nil"/>
              <w:right w:val="single" w:sz="4" w:space="0" w:color="auto"/>
            </w:tcBorders>
            <w:shd w:val="clear" w:color="auto" w:fill="FFFFFF"/>
            <w:noWrap/>
          </w:tcPr>
          <w:p w14:paraId="420A50D5"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HKBN Enterprise Solutions, Hong Kong</w:t>
            </w:r>
          </w:p>
        </w:tc>
        <w:tc>
          <w:tcPr>
            <w:tcW w:w="750" w:type="pct"/>
            <w:tcBorders>
              <w:top w:val="nil"/>
              <w:left w:val="nil"/>
              <w:bottom w:val="nil"/>
              <w:right w:val="single" w:sz="4" w:space="0" w:color="auto"/>
            </w:tcBorders>
            <w:shd w:val="clear" w:color="auto" w:fill="FFFFFF"/>
            <w:noWrap/>
          </w:tcPr>
          <w:p w14:paraId="20CBD9A4"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tcPr>
          <w:p w14:paraId="47692F63"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400,00</w:t>
            </w:r>
          </w:p>
        </w:tc>
      </w:tr>
      <w:tr w:rsidR="00D215BD" w:rsidRPr="001314CA" w14:paraId="5214AD55"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587AA1A8"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COLOMBIE</w:t>
            </w:r>
          </w:p>
        </w:tc>
        <w:tc>
          <w:tcPr>
            <w:tcW w:w="2261" w:type="pct"/>
            <w:tcBorders>
              <w:top w:val="nil"/>
              <w:left w:val="nil"/>
              <w:bottom w:val="nil"/>
              <w:right w:val="single" w:sz="4" w:space="0" w:color="auto"/>
            </w:tcBorders>
            <w:shd w:val="clear" w:color="auto" w:fill="FFFFFF"/>
            <w:noWrap/>
            <w:hideMark/>
          </w:tcPr>
          <w:p w14:paraId="73988C2F"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Telefónica S.A., Bogota</w:t>
            </w:r>
          </w:p>
        </w:tc>
        <w:tc>
          <w:tcPr>
            <w:tcW w:w="750" w:type="pct"/>
            <w:tcBorders>
              <w:top w:val="nil"/>
              <w:left w:val="nil"/>
              <w:bottom w:val="nil"/>
              <w:right w:val="single" w:sz="4" w:space="0" w:color="auto"/>
            </w:tcBorders>
            <w:shd w:val="clear" w:color="auto" w:fill="FFFFFF"/>
            <w:noWrap/>
            <w:hideMark/>
          </w:tcPr>
          <w:p w14:paraId="3E46E554"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40D8A3E7"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500,00</w:t>
            </w:r>
          </w:p>
        </w:tc>
      </w:tr>
      <w:tr w:rsidR="00D215BD" w:rsidRPr="001314CA" w14:paraId="11AA1351"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7E4A7C9A"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ESTONIE</w:t>
            </w:r>
          </w:p>
        </w:tc>
        <w:tc>
          <w:tcPr>
            <w:tcW w:w="2261" w:type="pct"/>
            <w:tcBorders>
              <w:top w:val="nil"/>
              <w:left w:val="nil"/>
              <w:bottom w:val="nil"/>
              <w:right w:val="single" w:sz="4" w:space="0" w:color="auto"/>
            </w:tcBorders>
            <w:shd w:val="clear" w:color="auto" w:fill="FFFFFF"/>
            <w:noWrap/>
            <w:hideMark/>
          </w:tcPr>
          <w:p w14:paraId="0A9B2146"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proofErr w:type="spellStart"/>
            <w:r w:rsidRPr="001314CA">
              <w:rPr>
                <w:sz w:val="22"/>
                <w:lang w:eastAsia="en-GB"/>
              </w:rPr>
              <w:t>Elion</w:t>
            </w:r>
            <w:proofErr w:type="spellEnd"/>
            <w:r w:rsidRPr="001314CA">
              <w:rPr>
                <w:sz w:val="22"/>
                <w:lang w:eastAsia="en-GB"/>
              </w:rPr>
              <w:t xml:space="preserve"> </w:t>
            </w:r>
            <w:proofErr w:type="spellStart"/>
            <w:r w:rsidRPr="001314CA">
              <w:rPr>
                <w:sz w:val="22"/>
                <w:lang w:eastAsia="en-GB"/>
              </w:rPr>
              <w:t>Ettevotted</w:t>
            </w:r>
            <w:proofErr w:type="spellEnd"/>
            <w:r w:rsidRPr="001314CA">
              <w:rPr>
                <w:sz w:val="22"/>
                <w:lang w:eastAsia="en-GB"/>
              </w:rPr>
              <w:t xml:space="preserve"> AS, Tallinn</w:t>
            </w:r>
          </w:p>
        </w:tc>
        <w:tc>
          <w:tcPr>
            <w:tcW w:w="750" w:type="pct"/>
            <w:tcBorders>
              <w:top w:val="nil"/>
              <w:left w:val="nil"/>
              <w:bottom w:val="nil"/>
              <w:right w:val="single" w:sz="4" w:space="0" w:color="auto"/>
            </w:tcBorders>
            <w:shd w:val="clear" w:color="auto" w:fill="FFFFFF"/>
            <w:noWrap/>
            <w:hideMark/>
          </w:tcPr>
          <w:p w14:paraId="7C5841AF"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60DCCCCF"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200,00</w:t>
            </w:r>
          </w:p>
        </w:tc>
      </w:tr>
      <w:tr w:rsidR="00D215BD" w:rsidRPr="001314CA" w14:paraId="584D62F3"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44B3D667"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FRANCE</w:t>
            </w:r>
          </w:p>
        </w:tc>
        <w:tc>
          <w:tcPr>
            <w:tcW w:w="2261" w:type="pct"/>
            <w:tcBorders>
              <w:top w:val="nil"/>
              <w:left w:val="nil"/>
              <w:bottom w:val="nil"/>
              <w:right w:val="single" w:sz="4" w:space="0" w:color="auto"/>
            </w:tcBorders>
            <w:shd w:val="clear" w:color="auto" w:fill="FFFFFF"/>
            <w:noWrap/>
            <w:hideMark/>
          </w:tcPr>
          <w:p w14:paraId="42350E4D"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Altice France, Paris</w:t>
            </w:r>
          </w:p>
        </w:tc>
        <w:tc>
          <w:tcPr>
            <w:tcW w:w="750" w:type="pct"/>
            <w:tcBorders>
              <w:top w:val="nil"/>
              <w:left w:val="nil"/>
              <w:bottom w:val="nil"/>
              <w:right w:val="single" w:sz="4" w:space="0" w:color="auto"/>
            </w:tcBorders>
            <w:shd w:val="clear" w:color="auto" w:fill="FFFFFF"/>
            <w:noWrap/>
            <w:hideMark/>
          </w:tcPr>
          <w:p w14:paraId="0872747F"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29EBDB6B"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200,00</w:t>
            </w:r>
          </w:p>
        </w:tc>
      </w:tr>
      <w:tr w:rsidR="00D215BD" w:rsidRPr="001314CA" w14:paraId="459265EE"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2BD9DE45"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ALLEMAGNE</w:t>
            </w:r>
          </w:p>
        </w:tc>
        <w:tc>
          <w:tcPr>
            <w:tcW w:w="2261" w:type="pct"/>
            <w:tcBorders>
              <w:top w:val="nil"/>
              <w:left w:val="nil"/>
              <w:bottom w:val="nil"/>
              <w:right w:val="single" w:sz="4" w:space="0" w:color="auto"/>
            </w:tcBorders>
            <w:shd w:val="clear" w:color="auto" w:fill="FFFFFF"/>
            <w:noWrap/>
            <w:hideMark/>
          </w:tcPr>
          <w:p w14:paraId="6030B64F"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proofErr w:type="spellStart"/>
            <w:r w:rsidRPr="001314CA">
              <w:rPr>
                <w:sz w:val="22"/>
                <w:lang w:eastAsia="en-GB"/>
              </w:rPr>
              <w:t>Telepassport</w:t>
            </w:r>
            <w:proofErr w:type="spellEnd"/>
            <w:r w:rsidRPr="001314CA">
              <w:rPr>
                <w:sz w:val="22"/>
                <w:lang w:eastAsia="en-GB"/>
              </w:rPr>
              <w:t xml:space="preserve"> Service GMBH, </w:t>
            </w:r>
            <w:proofErr w:type="spellStart"/>
            <w:r w:rsidRPr="001314CA">
              <w:rPr>
                <w:sz w:val="22"/>
                <w:lang w:eastAsia="en-GB"/>
              </w:rPr>
              <w:t>Büdelsdorf</w:t>
            </w:r>
            <w:proofErr w:type="spellEnd"/>
          </w:p>
        </w:tc>
        <w:tc>
          <w:tcPr>
            <w:tcW w:w="750" w:type="pct"/>
            <w:tcBorders>
              <w:top w:val="nil"/>
              <w:left w:val="nil"/>
              <w:bottom w:val="nil"/>
              <w:right w:val="single" w:sz="4" w:space="0" w:color="auto"/>
            </w:tcBorders>
            <w:shd w:val="clear" w:color="auto" w:fill="FFFFFF"/>
            <w:noWrap/>
            <w:hideMark/>
          </w:tcPr>
          <w:p w14:paraId="47CEEC36"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6848A297"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100,00</w:t>
            </w:r>
          </w:p>
        </w:tc>
      </w:tr>
      <w:tr w:rsidR="00D215BD" w:rsidRPr="001314CA" w14:paraId="0AE33247" w14:textId="77777777" w:rsidTr="00D215BD">
        <w:trPr>
          <w:trHeight w:val="300"/>
        </w:trPr>
        <w:tc>
          <w:tcPr>
            <w:tcW w:w="1270" w:type="pct"/>
            <w:tcBorders>
              <w:top w:val="nil"/>
              <w:left w:val="single" w:sz="4" w:space="0" w:color="auto"/>
              <w:bottom w:val="nil"/>
              <w:right w:val="single" w:sz="4" w:space="0" w:color="auto"/>
            </w:tcBorders>
            <w:shd w:val="clear" w:color="auto" w:fill="FFFFFF"/>
          </w:tcPr>
          <w:p w14:paraId="1C5D2498"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GRÈCE</w:t>
            </w:r>
          </w:p>
        </w:tc>
        <w:tc>
          <w:tcPr>
            <w:tcW w:w="2261" w:type="pct"/>
            <w:tcBorders>
              <w:top w:val="nil"/>
              <w:left w:val="nil"/>
              <w:bottom w:val="nil"/>
              <w:right w:val="single" w:sz="4" w:space="0" w:color="auto"/>
            </w:tcBorders>
            <w:shd w:val="clear" w:color="auto" w:fill="FFFFFF"/>
            <w:noWrap/>
          </w:tcPr>
          <w:p w14:paraId="3C51997C"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 xml:space="preserve">OTEGLOBE S.A., </w:t>
            </w:r>
            <w:proofErr w:type="spellStart"/>
            <w:r w:rsidRPr="001314CA">
              <w:rPr>
                <w:sz w:val="22"/>
                <w:lang w:eastAsia="en-GB"/>
              </w:rPr>
              <w:t>Maroúsi</w:t>
            </w:r>
            <w:proofErr w:type="spellEnd"/>
          </w:p>
        </w:tc>
        <w:tc>
          <w:tcPr>
            <w:tcW w:w="750" w:type="pct"/>
            <w:tcBorders>
              <w:top w:val="nil"/>
              <w:left w:val="nil"/>
              <w:bottom w:val="nil"/>
              <w:right w:val="single" w:sz="4" w:space="0" w:color="auto"/>
            </w:tcBorders>
            <w:shd w:val="clear" w:color="auto" w:fill="FFFFFF"/>
            <w:noWrap/>
          </w:tcPr>
          <w:p w14:paraId="217A01B7"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2019</w:t>
            </w:r>
          </w:p>
        </w:tc>
        <w:tc>
          <w:tcPr>
            <w:tcW w:w="719" w:type="pct"/>
            <w:tcBorders>
              <w:top w:val="nil"/>
              <w:left w:val="nil"/>
              <w:bottom w:val="nil"/>
              <w:right w:val="single" w:sz="4" w:space="0" w:color="auto"/>
            </w:tcBorders>
            <w:shd w:val="clear" w:color="auto" w:fill="FFFFFF"/>
            <w:noWrap/>
          </w:tcPr>
          <w:p w14:paraId="60A090E3"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400,00</w:t>
            </w:r>
          </w:p>
        </w:tc>
      </w:tr>
      <w:tr w:rsidR="00D215BD" w:rsidRPr="001314CA" w14:paraId="0BDF0C41"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490C9127"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HONDURAS</w:t>
            </w:r>
          </w:p>
        </w:tc>
        <w:tc>
          <w:tcPr>
            <w:tcW w:w="2261" w:type="pct"/>
            <w:tcBorders>
              <w:top w:val="nil"/>
              <w:left w:val="nil"/>
              <w:bottom w:val="nil"/>
              <w:right w:val="single" w:sz="4" w:space="0" w:color="auto"/>
            </w:tcBorders>
            <w:shd w:val="clear" w:color="auto" w:fill="FFFFFF"/>
            <w:noWrap/>
            <w:hideMark/>
          </w:tcPr>
          <w:p w14:paraId="02296A53"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proofErr w:type="spellStart"/>
            <w:r w:rsidRPr="001314CA">
              <w:rPr>
                <w:sz w:val="22"/>
                <w:lang w:eastAsia="en-GB"/>
              </w:rPr>
              <w:t>Empresa</w:t>
            </w:r>
            <w:proofErr w:type="spellEnd"/>
            <w:r w:rsidRPr="001314CA">
              <w:rPr>
                <w:sz w:val="22"/>
                <w:lang w:eastAsia="en-GB"/>
              </w:rPr>
              <w:t xml:space="preserve"> </w:t>
            </w:r>
            <w:proofErr w:type="spellStart"/>
            <w:r w:rsidRPr="001314CA">
              <w:rPr>
                <w:sz w:val="22"/>
                <w:lang w:eastAsia="en-GB"/>
              </w:rPr>
              <w:t>Hondureña</w:t>
            </w:r>
            <w:proofErr w:type="spellEnd"/>
            <w:r w:rsidRPr="001314CA">
              <w:rPr>
                <w:sz w:val="22"/>
                <w:lang w:eastAsia="en-GB"/>
              </w:rPr>
              <w:t xml:space="preserve"> de Telecom., Tegucigalpa</w:t>
            </w:r>
          </w:p>
        </w:tc>
        <w:tc>
          <w:tcPr>
            <w:tcW w:w="750" w:type="pct"/>
            <w:tcBorders>
              <w:top w:val="nil"/>
              <w:left w:val="nil"/>
              <w:bottom w:val="nil"/>
              <w:right w:val="single" w:sz="4" w:space="0" w:color="auto"/>
            </w:tcBorders>
            <w:shd w:val="clear" w:color="auto" w:fill="FFFFFF"/>
            <w:noWrap/>
            <w:hideMark/>
          </w:tcPr>
          <w:p w14:paraId="09E0ADE0"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0B7B14F1"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100,00</w:t>
            </w:r>
          </w:p>
        </w:tc>
      </w:tr>
      <w:tr w:rsidR="00D215BD" w:rsidRPr="001314CA" w14:paraId="004C900E"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06E5D25E"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IRLANDE</w:t>
            </w:r>
          </w:p>
        </w:tc>
        <w:tc>
          <w:tcPr>
            <w:tcW w:w="2261" w:type="pct"/>
            <w:tcBorders>
              <w:top w:val="nil"/>
              <w:left w:val="nil"/>
              <w:bottom w:val="nil"/>
              <w:right w:val="single" w:sz="4" w:space="0" w:color="auto"/>
            </w:tcBorders>
            <w:shd w:val="clear" w:color="auto" w:fill="FFFFFF"/>
            <w:noWrap/>
          </w:tcPr>
          <w:p w14:paraId="39C407ED" w14:textId="77777777" w:rsidR="00D215BD" w:rsidRPr="001314CA" w:rsidRDefault="00D215BD" w:rsidP="00D215BD">
            <w:pPr>
              <w:tabs>
                <w:tab w:val="clear" w:pos="567"/>
                <w:tab w:val="clear" w:pos="1134"/>
                <w:tab w:val="clear" w:pos="1701"/>
                <w:tab w:val="clear" w:pos="2268"/>
                <w:tab w:val="clear" w:pos="2835"/>
              </w:tabs>
              <w:spacing w:before="60" w:after="60"/>
              <w:rPr>
                <w:sz w:val="22"/>
                <w:szCs w:val="22"/>
                <w:lang w:eastAsia="en-GB"/>
              </w:rPr>
            </w:pPr>
            <w:proofErr w:type="spellStart"/>
            <w:r w:rsidRPr="001314CA">
              <w:rPr>
                <w:rFonts w:cs="Calibri"/>
                <w:sz w:val="22"/>
                <w:szCs w:val="22"/>
                <w:lang w:eastAsia="en-GB"/>
              </w:rPr>
              <w:t>Eircom</w:t>
            </w:r>
            <w:proofErr w:type="spellEnd"/>
            <w:r w:rsidRPr="001314CA">
              <w:rPr>
                <w:rFonts w:cs="Calibri"/>
                <w:sz w:val="22"/>
                <w:szCs w:val="22"/>
                <w:lang w:eastAsia="en-GB"/>
              </w:rPr>
              <w:t xml:space="preserve"> Limited, Dublin</w:t>
            </w:r>
          </w:p>
        </w:tc>
        <w:tc>
          <w:tcPr>
            <w:tcW w:w="750" w:type="pct"/>
            <w:tcBorders>
              <w:top w:val="nil"/>
              <w:left w:val="nil"/>
              <w:bottom w:val="nil"/>
              <w:right w:val="single" w:sz="4" w:space="0" w:color="auto"/>
            </w:tcBorders>
            <w:shd w:val="clear" w:color="auto" w:fill="FFFFFF"/>
            <w:noWrap/>
          </w:tcPr>
          <w:p w14:paraId="3070EAFD"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lang w:eastAsia="en-GB"/>
              </w:rPr>
            </w:pPr>
            <w:r w:rsidRPr="001314CA">
              <w:rPr>
                <w:rFonts w:cs="Calibri"/>
                <w:sz w:val="22"/>
                <w:szCs w:val="22"/>
                <w:lang w:eastAsia="en-GB"/>
              </w:rPr>
              <w:t>2019</w:t>
            </w:r>
          </w:p>
        </w:tc>
        <w:tc>
          <w:tcPr>
            <w:tcW w:w="719" w:type="pct"/>
            <w:tcBorders>
              <w:top w:val="nil"/>
              <w:left w:val="nil"/>
              <w:bottom w:val="nil"/>
              <w:right w:val="single" w:sz="4" w:space="0" w:color="auto"/>
            </w:tcBorders>
            <w:shd w:val="clear" w:color="auto" w:fill="FFFFFF"/>
            <w:noWrap/>
          </w:tcPr>
          <w:p w14:paraId="76F3C153"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szCs w:val="22"/>
                <w:lang w:eastAsia="en-GB"/>
              </w:rPr>
            </w:pPr>
            <w:r w:rsidRPr="001314CA">
              <w:rPr>
                <w:rFonts w:cs="Calibri"/>
                <w:sz w:val="22"/>
                <w:szCs w:val="22"/>
                <w:lang w:eastAsia="en-GB"/>
              </w:rPr>
              <w:t>55 800,00</w:t>
            </w:r>
          </w:p>
        </w:tc>
      </w:tr>
      <w:tr w:rsidR="00D215BD" w:rsidRPr="001314CA" w14:paraId="59246EC1"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143F2927"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ISRAËL</w:t>
            </w:r>
          </w:p>
        </w:tc>
        <w:tc>
          <w:tcPr>
            <w:tcW w:w="2261" w:type="pct"/>
            <w:tcBorders>
              <w:top w:val="nil"/>
              <w:left w:val="nil"/>
              <w:bottom w:val="nil"/>
              <w:right w:val="single" w:sz="4" w:space="0" w:color="auto"/>
            </w:tcBorders>
            <w:shd w:val="clear" w:color="auto" w:fill="FFFFFF"/>
            <w:noWrap/>
            <w:hideMark/>
          </w:tcPr>
          <w:p w14:paraId="561A7C42"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proofErr w:type="spellStart"/>
            <w:r w:rsidRPr="001314CA">
              <w:rPr>
                <w:sz w:val="22"/>
                <w:lang w:eastAsia="en-GB"/>
              </w:rPr>
              <w:t>Bezeq</w:t>
            </w:r>
            <w:proofErr w:type="spellEnd"/>
            <w:r w:rsidRPr="001314CA">
              <w:rPr>
                <w:sz w:val="22"/>
                <w:lang w:eastAsia="en-GB"/>
              </w:rPr>
              <w:t xml:space="preserve"> International Ltd., </w:t>
            </w:r>
            <w:proofErr w:type="spellStart"/>
            <w:r w:rsidRPr="001314CA">
              <w:rPr>
                <w:sz w:val="22"/>
                <w:lang w:eastAsia="en-GB"/>
              </w:rPr>
              <w:t>Petah</w:t>
            </w:r>
            <w:proofErr w:type="spellEnd"/>
            <w:r w:rsidRPr="001314CA">
              <w:rPr>
                <w:sz w:val="22"/>
                <w:lang w:eastAsia="en-GB"/>
              </w:rPr>
              <w:t xml:space="preserve"> </w:t>
            </w:r>
            <w:proofErr w:type="spellStart"/>
            <w:r w:rsidRPr="001314CA">
              <w:rPr>
                <w:sz w:val="22"/>
                <w:lang w:eastAsia="en-GB"/>
              </w:rPr>
              <w:t>Tikva</w:t>
            </w:r>
            <w:proofErr w:type="spellEnd"/>
          </w:p>
        </w:tc>
        <w:tc>
          <w:tcPr>
            <w:tcW w:w="750" w:type="pct"/>
            <w:tcBorders>
              <w:top w:val="nil"/>
              <w:left w:val="nil"/>
              <w:bottom w:val="nil"/>
              <w:right w:val="single" w:sz="4" w:space="0" w:color="auto"/>
            </w:tcBorders>
            <w:shd w:val="clear" w:color="auto" w:fill="FFFFFF"/>
            <w:noWrap/>
            <w:hideMark/>
          </w:tcPr>
          <w:p w14:paraId="511DD5EF"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00A51BB4"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11 200,00</w:t>
            </w:r>
          </w:p>
        </w:tc>
      </w:tr>
      <w:tr w:rsidR="00D215BD" w:rsidRPr="001314CA" w14:paraId="38B1DBED"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65B9BBF4"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ITALIE</w:t>
            </w:r>
          </w:p>
        </w:tc>
        <w:tc>
          <w:tcPr>
            <w:tcW w:w="2261" w:type="pct"/>
            <w:tcBorders>
              <w:top w:val="nil"/>
              <w:left w:val="nil"/>
              <w:bottom w:val="nil"/>
              <w:right w:val="single" w:sz="4" w:space="0" w:color="auto"/>
            </w:tcBorders>
            <w:shd w:val="clear" w:color="auto" w:fill="FFFFFF"/>
            <w:noWrap/>
            <w:hideMark/>
          </w:tcPr>
          <w:p w14:paraId="216C5CC7" w14:textId="77777777" w:rsidR="00D215BD" w:rsidRPr="00513163" w:rsidRDefault="00D215BD" w:rsidP="00D215BD">
            <w:pPr>
              <w:tabs>
                <w:tab w:val="clear" w:pos="567"/>
                <w:tab w:val="clear" w:pos="1134"/>
                <w:tab w:val="clear" w:pos="1701"/>
                <w:tab w:val="clear" w:pos="2268"/>
                <w:tab w:val="clear" w:pos="2835"/>
              </w:tabs>
              <w:spacing w:before="60" w:after="60"/>
              <w:rPr>
                <w:sz w:val="22"/>
                <w:lang w:val="en-US" w:eastAsia="en-GB"/>
              </w:rPr>
            </w:pPr>
            <w:proofErr w:type="spellStart"/>
            <w:r w:rsidRPr="00513163">
              <w:rPr>
                <w:sz w:val="22"/>
                <w:lang w:val="en-US" w:eastAsia="en-GB"/>
              </w:rPr>
              <w:t>Eutelia</w:t>
            </w:r>
            <w:proofErr w:type="spellEnd"/>
            <w:r w:rsidRPr="00513163">
              <w:rPr>
                <w:sz w:val="22"/>
                <w:lang w:val="en-US" w:eastAsia="en-GB"/>
              </w:rPr>
              <w:t xml:space="preserve"> S.p.A., Arezzo</w:t>
            </w:r>
          </w:p>
        </w:tc>
        <w:tc>
          <w:tcPr>
            <w:tcW w:w="750" w:type="pct"/>
            <w:tcBorders>
              <w:top w:val="nil"/>
              <w:left w:val="nil"/>
              <w:bottom w:val="nil"/>
              <w:right w:val="single" w:sz="4" w:space="0" w:color="auto"/>
            </w:tcBorders>
            <w:shd w:val="clear" w:color="auto" w:fill="FFFFFF"/>
            <w:noWrap/>
            <w:hideMark/>
          </w:tcPr>
          <w:p w14:paraId="55300FAA"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2FD5D0A3"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1 000,00</w:t>
            </w:r>
          </w:p>
        </w:tc>
      </w:tr>
      <w:tr w:rsidR="00D215BD" w:rsidRPr="001314CA" w14:paraId="0F6951E3"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1A4EDD5B"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LETTONIE</w:t>
            </w:r>
          </w:p>
        </w:tc>
        <w:tc>
          <w:tcPr>
            <w:tcW w:w="2261" w:type="pct"/>
            <w:tcBorders>
              <w:top w:val="nil"/>
              <w:left w:val="nil"/>
              <w:bottom w:val="nil"/>
              <w:right w:val="single" w:sz="4" w:space="0" w:color="auto"/>
            </w:tcBorders>
            <w:shd w:val="clear" w:color="auto" w:fill="FFFFFF"/>
            <w:noWrap/>
            <w:hideMark/>
          </w:tcPr>
          <w:p w14:paraId="5E8E9FC2"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SIA LATTELEKOM, Riga</w:t>
            </w:r>
          </w:p>
        </w:tc>
        <w:tc>
          <w:tcPr>
            <w:tcW w:w="750" w:type="pct"/>
            <w:tcBorders>
              <w:top w:val="nil"/>
              <w:left w:val="nil"/>
              <w:bottom w:val="nil"/>
              <w:right w:val="single" w:sz="4" w:space="0" w:color="auto"/>
            </w:tcBorders>
            <w:shd w:val="clear" w:color="auto" w:fill="FFFFFF"/>
            <w:noWrap/>
            <w:hideMark/>
          </w:tcPr>
          <w:p w14:paraId="2093BC0E"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5EA2321C"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100,00</w:t>
            </w:r>
          </w:p>
        </w:tc>
      </w:tr>
      <w:tr w:rsidR="00D215BD" w:rsidRPr="001314CA" w14:paraId="131062FB" w14:textId="77777777" w:rsidTr="00D215BD">
        <w:trPr>
          <w:trHeight w:val="300"/>
        </w:trPr>
        <w:tc>
          <w:tcPr>
            <w:tcW w:w="1270" w:type="pct"/>
            <w:tcBorders>
              <w:top w:val="nil"/>
              <w:left w:val="single" w:sz="4" w:space="0" w:color="auto"/>
              <w:bottom w:val="nil"/>
              <w:right w:val="single" w:sz="4" w:space="0" w:color="auto"/>
            </w:tcBorders>
            <w:shd w:val="clear" w:color="auto" w:fill="FFFFFF"/>
          </w:tcPr>
          <w:p w14:paraId="567732A7"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PAYS-BAS</w:t>
            </w:r>
          </w:p>
        </w:tc>
        <w:tc>
          <w:tcPr>
            <w:tcW w:w="2261" w:type="pct"/>
            <w:tcBorders>
              <w:top w:val="nil"/>
              <w:left w:val="nil"/>
              <w:bottom w:val="nil"/>
              <w:right w:val="single" w:sz="4" w:space="0" w:color="auto"/>
            </w:tcBorders>
            <w:shd w:val="clear" w:color="auto" w:fill="FFFFFF"/>
            <w:noWrap/>
          </w:tcPr>
          <w:p w14:paraId="35DF0B8F"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 xml:space="preserve">MTTM – </w:t>
            </w:r>
            <w:proofErr w:type="spellStart"/>
            <w:r w:rsidRPr="001314CA">
              <w:rPr>
                <w:sz w:val="22"/>
                <w:lang w:eastAsia="en-GB"/>
              </w:rPr>
              <w:t>Qupra</w:t>
            </w:r>
            <w:proofErr w:type="spellEnd"/>
            <w:r w:rsidRPr="001314CA">
              <w:rPr>
                <w:sz w:val="22"/>
                <w:lang w:eastAsia="en-GB"/>
              </w:rPr>
              <w:t xml:space="preserve"> </w:t>
            </w:r>
            <w:proofErr w:type="spellStart"/>
            <w:r w:rsidRPr="001314CA">
              <w:rPr>
                <w:sz w:val="22"/>
                <w:lang w:eastAsia="en-GB"/>
              </w:rPr>
              <w:t>Wholesale</w:t>
            </w:r>
            <w:proofErr w:type="spellEnd"/>
            <w:r w:rsidRPr="001314CA">
              <w:rPr>
                <w:sz w:val="22"/>
                <w:lang w:eastAsia="en-GB"/>
              </w:rPr>
              <w:t>, Amsterdam</w:t>
            </w:r>
          </w:p>
        </w:tc>
        <w:tc>
          <w:tcPr>
            <w:tcW w:w="750" w:type="pct"/>
            <w:tcBorders>
              <w:top w:val="nil"/>
              <w:left w:val="nil"/>
              <w:bottom w:val="nil"/>
              <w:right w:val="single" w:sz="4" w:space="0" w:color="auto"/>
            </w:tcBorders>
            <w:shd w:val="clear" w:color="auto" w:fill="FFFFFF"/>
            <w:noWrap/>
          </w:tcPr>
          <w:p w14:paraId="48CB2D16"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2019</w:t>
            </w:r>
          </w:p>
        </w:tc>
        <w:tc>
          <w:tcPr>
            <w:tcW w:w="719" w:type="pct"/>
            <w:tcBorders>
              <w:top w:val="nil"/>
              <w:left w:val="nil"/>
              <w:bottom w:val="nil"/>
              <w:right w:val="single" w:sz="4" w:space="0" w:color="auto"/>
            </w:tcBorders>
            <w:shd w:val="clear" w:color="auto" w:fill="FFFFFF"/>
            <w:noWrap/>
          </w:tcPr>
          <w:p w14:paraId="358D916A"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300,00</w:t>
            </w:r>
          </w:p>
        </w:tc>
      </w:tr>
      <w:tr w:rsidR="00D215BD" w:rsidRPr="001314CA" w14:paraId="3A74A181"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76B1F7FE"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NOUVELLE-ZÉLANDE</w:t>
            </w:r>
          </w:p>
        </w:tc>
        <w:tc>
          <w:tcPr>
            <w:tcW w:w="2261" w:type="pct"/>
            <w:tcBorders>
              <w:top w:val="nil"/>
              <w:left w:val="nil"/>
              <w:bottom w:val="nil"/>
              <w:right w:val="single" w:sz="4" w:space="0" w:color="auto"/>
            </w:tcBorders>
            <w:shd w:val="clear" w:color="auto" w:fill="FFFFFF"/>
            <w:noWrap/>
            <w:hideMark/>
          </w:tcPr>
          <w:p w14:paraId="2483D00C" w14:textId="77777777" w:rsidR="00D215BD" w:rsidRPr="00513163" w:rsidRDefault="00D215BD" w:rsidP="00D215BD">
            <w:pPr>
              <w:tabs>
                <w:tab w:val="clear" w:pos="567"/>
                <w:tab w:val="clear" w:pos="1134"/>
                <w:tab w:val="clear" w:pos="1701"/>
                <w:tab w:val="clear" w:pos="2268"/>
                <w:tab w:val="clear" w:pos="2835"/>
              </w:tabs>
              <w:spacing w:before="60" w:after="60"/>
              <w:rPr>
                <w:sz w:val="22"/>
                <w:lang w:val="en-US" w:eastAsia="en-GB"/>
              </w:rPr>
            </w:pPr>
            <w:r w:rsidRPr="00513163">
              <w:rPr>
                <w:sz w:val="22"/>
                <w:lang w:val="en-US" w:eastAsia="en-GB"/>
              </w:rPr>
              <w:t xml:space="preserve">Vodafone New Zealand LTD., </w:t>
            </w:r>
            <w:proofErr w:type="spellStart"/>
            <w:r w:rsidRPr="00513163">
              <w:rPr>
                <w:sz w:val="22"/>
                <w:lang w:val="en-US" w:eastAsia="en-GB"/>
              </w:rPr>
              <w:t>Auckand</w:t>
            </w:r>
            <w:proofErr w:type="spellEnd"/>
          </w:p>
        </w:tc>
        <w:tc>
          <w:tcPr>
            <w:tcW w:w="750" w:type="pct"/>
            <w:tcBorders>
              <w:top w:val="nil"/>
              <w:left w:val="nil"/>
              <w:bottom w:val="nil"/>
              <w:right w:val="single" w:sz="4" w:space="0" w:color="auto"/>
            </w:tcBorders>
            <w:shd w:val="clear" w:color="auto" w:fill="FFFFFF"/>
            <w:noWrap/>
            <w:hideMark/>
          </w:tcPr>
          <w:p w14:paraId="6FD1311A"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47559CFE"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100,00</w:t>
            </w:r>
          </w:p>
        </w:tc>
      </w:tr>
      <w:tr w:rsidR="00D215BD" w:rsidRPr="001314CA" w14:paraId="7AF5F3A1"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2764948D"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PÉROU</w:t>
            </w:r>
          </w:p>
        </w:tc>
        <w:tc>
          <w:tcPr>
            <w:tcW w:w="2261" w:type="pct"/>
            <w:tcBorders>
              <w:top w:val="nil"/>
              <w:left w:val="nil"/>
              <w:bottom w:val="nil"/>
              <w:right w:val="single" w:sz="4" w:space="0" w:color="auto"/>
            </w:tcBorders>
            <w:shd w:val="clear" w:color="auto" w:fill="FFFFFF"/>
            <w:noWrap/>
            <w:hideMark/>
          </w:tcPr>
          <w:p w14:paraId="58A3B206" w14:textId="77777777" w:rsidR="00D215BD" w:rsidRPr="00513163" w:rsidRDefault="00D215BD" w:rsidP="00D215BD">
            <w:pPr>
              <w:tabs>
                <w:tab w:val="clear" w:pos="567"/>
                <w:tab w:val="clear" w:pos="1134"/>
                <w:tab w:val="clear" w:pos="1701"/>
                <w:tab w:val="clear" w:pos="2268"/>
                <w:tab w:val="clear" w:pos="2835"/>
              </w:tabs>
              <w:spacing w:before="60" w:after="60"/>
              <w:rPr>
                <w:sz w:val="22"/>
                <w:lang w:val="en-US" w:eastAsia="en-GB"/>
              </w:rPr>
            </w:pPr>
            <w:r w:rsidRPr="00513163">
              <w:rPr>
                <w:sz w:val="22"/>
                <w:lang w:val="en-US" w:eastAsia="en-GB"/>
              </w:rPr>
              <w:t>Telefónica del Perú S.A.A., Lima</w:t>
            </w:r>
          </w:p>
        </w:tc>
        <w:tc>
          <w:tcPr>
            <w:tcW w:w="750" w:type="pct"/>
            <w:tcBorders>
              <w:top w:val="nil"/>
              <w:left w:val="nil"/>
              <w:bottom w:val="nil"/>
              <w:right w:val="single" w:sz="4" w:space="0" w:color="auto"/>
            </w:tcBorders>
            <w:shd w:val="clear" w:color="auto" w:fill="FFFFFF"/>
            <w:noWrap/>
            <w:hideMark/>
          </w:tcPr>
          <w:p w14:paraId="1AF170FD"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3B886776"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300,00</w:t>
            </w:r>
          </w:p>
        </w:tc>
      </w:tr>
      <w:tr w:rsidR="00D215BD" w:rsidRPr="001314CA" w14:paraId="26F38CDF"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4890588E"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ESPAGNE</w:t>
            </w:r>
          </w:p>
        </w:tc>
        <w:tc>
          <w:tcPr>
            <w:tcW w:w="2261" w:type="pct"/>
            <w:tcBorders>
              <w:top w:val="nil"/>
              <w:left w:val="nil"/>
              <w:bottom w:val="nil"/>
              <w:right w:val="single" w:sz="4" w:space="0" w:color="auto"/>
            </w:tcBorders>
            <w:shd w:val="clear" w:color="auto" w:fill="FFFFFF"/>
            <w:noWrap/>
            <w:hideMark/>
          </w:tcPr>
          <w:p w14:paraId="64A21D2B"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proofErr w:type="spellStart"/>
            <w:r w:rsidRPr="001314CA">
              <w:rPr>
                <w:sz w:val="22"/>
                <w:lang w:eastAsia="en-GB"/>
              </w:rPr>
              <w:t>Telecable</w:t>
            </w:r>
            <w:proofErr w:type="spellEnd"/>
            <w:r w:rsidRPr="001314CA">
              <w:rPr>
                <w:sz w:val="22"/>
                <w:lang w:eastAsia="en-GB"/>
              </w:rPr>
              <w:t xml:space="preserve"> de </w:t>
            </w:r>
            <w:proofErr w:type="spellStart"/>
            <w:r w:rsidRPr="001314CA">
              <w:rPr>
                <w:sz w:val="22"/>
                <w:lang w:eastAsia="en-GB"/>
              </w:rPr>
              <w:t>Asturias</w:t>
            </w:r>
            <w:proofErr w:type="spellEnd"/>
            <w:r w:rsidRPr="001314CA">
              <w:rPr>
                <w:sz w:val="22"/>
                <w:lang w:eastAsia="en-GB"/>
              </w:rPr>
              <w:t xml:space="preserve"> SA, Oviedo</w:t>
            </w:r>
          </w:p>
        </w:tc>
        <w:tc>
          <w:tcPr>
            <w:tcW w:w="750" w:type="pct"/>
            <w:tcBorders>
              <w:top w:val="nil"/>
              <w:left w:val="nil"/>
              <w:bottom w:val="nil"/>
              <w:right w:val="single" w:sz="4" w:space="0" w:color="auto"/>
            </w:tcBorders>
            <w:shd w:val="clear" w:color="auto" w:fill="FFFFFF"/>
            <w:noWrap/>
            <w:hideMark/>
          </w:tcPr>
          <w:p w14:paraId="3A45F5CE"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28F3AAFE"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100,00</w:t>
            </w:r>
          </w:p>
        </w:tc>
      </w:tr>
      <w:tr w:rsidR="00D215BD" w:rsidRPr="001314CA" w14:paraId="497A9BDE"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686FFC22"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SUÈDE</w:t>
            </w:r>
          </w:p>
        </w:tc>
        <w:tc>
          <w:tcPr>
            <w:tcW w:w="2261" w:type="pct"/>
            <w:tcBorders>
              <w:top w:val="nil"/>
              <w:left w:val="nil"/>
              <w:bottom w:val="nil"/>
              <w:right w:val="single" w:sz="4" w:space="0" w:color="auto"/>
            </w:tcBorders>
            <w:shd w:val="clear" w:color="auto" w:fill="FFFFFF"/>
            <w:noWrap/>
            <w:hideMark/>
          </w:tcPr>
          <w:p w14:paraId="2B289C3D"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proofErr w:type="spellStart"/>
            <w:r w:rsidRPr="001314CA">
              <w:rPr>
                <w:sz w:val="22"/>
                <w:lang w:eastAsia="en-GB"/>
              </w:rPr>
              <w:t>Tele</w:t>
            </w:r>
            <w:proofErr w:type="spellEnd"/>
            <w:r w:rsidRPr="001314CA">
              <w:rPr>
                <w:sz w:val="22"/>
                <w:lang w:eastAsia="en-GB"/>
              </w:rPr>
              <w:t xml:space="preserve"> 2 AB, </w:t>
            </w:r>
            <w:proofErr w:type="spellStart"/>
            <w:r w:rsidRPr="001314CA">
              <w:rPr>
                <w:sz w:val="22"/>
                <w:lang w:eastAsia="en-GB"/>
              </w:rPr>
              <w:t>Kista</w:t>
            </w:r>
            <w:proofErr w:type="spellEnd"/>
          </w:p>
        </w:tc>
        <w:tc>
          <w:tcPr>
            <w:tcW w:w="750" w:type="pct"/>
            <w:tcBorders>
              <w:top w:val="nil"/>
              <w:left w:val="nil"/>
              <w:bottom w:val="nil"/>
              <w:right w:val="single" w:sz="4" w:space="0" w:color="auto"/>
            </w:tcBorders>
            <w:shd w:val="clear" w:color="auto" w:fill="FFFFFF"/>
            <w:noWrap/>
            <w:hideMark/>
          </w:tcPr>
          <w:p w14:paraId="4FFE9B9D"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75A4AC80"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900,00</w:t>
            </w:r>
          </w:p>
        </w:tc>
      </w:tr>
      <w:tr w:rsidR="00D215BD" w:rsidRPr="001314CA" w14:paraId="3B29458A" w14:textId="77777777" w:rsidTr="00D215BD">
        <w:trPr>
          <w:trHeight w:val="300"/>
        </w:trPr>
        <w:tc>
          <w:tcPr>
            <w:tcW w:w="1270" w:type="pct"/>
            <w:tcBorders>
              <w:top w:val="nil"/>
              <w:left w:val="single" w:sz="4" w:space="0" w:color="auto"/>
              <w:bottom w:val="nil"/>
              <w:right w:val="single" w:sz="4" w:space="0" w:color="auto"/>
            </w:tcBorders>
            <w:shd w:val="clear" w:color="auto" w:fill="FFFFFF"/>
            <w:hideMark/>
          </w:tcPr>
          <w:p w14:paraId="7FBA66BE"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ROYAUME-UNI</w:t>
            </w:r>
          </w:p>
        </w:tc>
        <w:tc>
          <w:tcPr>
            <w:tcW w:w="2261" w:type="pct"/>
            <w:tcBorders>
              <w:top w:val="nil"/>
              <w:left w:val="nil"/>
              <w:bottom w:val="nil"/>
              <w:right w:val="single" w:sz="4" w:space="0" w:color="auto"/>
            </w:tcBorders>
            <w:shd w:val="clear" w:color="auto" w:fill="FFFFFF"/>
            <w:noWrap/>
            <w:hideMark/>
          </w:tcPr>
          <w:p w14:paraId="2D0471B9"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KCOM, Londres</w:t>
            </w:r>
          </w:p>
        </w:tc>
        <w:tc>
          <w:tcPr>
            <w:tcW w:w="750" w:type="pct"/>
            <w:tcBorders>
              <w:top w:val="nil"/>
              <w:left w:val="nil"/>
              <w:bottom w:val="nil"/>
              <w:right w:val="single" w:sz="4" w:space="0" w:color="auto"/>
            </w:tcBorders>
            <w:shd w:val="clear" w:color="auto" w:fill="FFFFFF"/>
            <w:noWrap/>
            <w:hideMark/>
          </w:tcPr>
          <w:p w14:paraId="1E8B92DC"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bottom w:val="nil"/>
              <w:right w:val="single" w:sz="4" w:space="0" w:color="auto"/>
            </w:tcBorders>
            <w:shd w:val="clear" w:color="auto" w:fill="FFFFFF"/>
            <w:noWrap/>
            <w:hideMark/>
          </w:tcPr>
          <w:p w14:paraId="6B8DD4CA"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500,00</w:t>
            </w:r>
          </w:p>
        </w:tc>
      </w:tr>
      <w:tr w:rsidR="00D215BD" w:rsidRPr="001314CA" w14:paraId="4FA1F74B" w14:textId="77777777" w:rsidTr="00D215BD">
        <w:trPr>
          <w:trHeight w:val="300"/>
        </w:trPr>
        <w:tc>
          <w:tcPr>
            <w:tcW w:w="1270" w:type="pct"/>
            <w:tcBorders>
              <w:top w:val="nil"/>
              <w:left w:val="single" w:sz="4" w:space="0" w:color="auto"/>
              <w:right w:val="single" w:sz="4" w:space="0" w:color="auto"/>
            </w:tcBorders>
            <w:shd w:val="clear" w:color="auto" w:fill="FFFFFF"/>
            <w:hideMark/>
          </w:tcPr>
          <w:p w14:paraId="395D9839"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p>
        </w:tc>
        <w:tc>
          <w:tcPr>
            <w:tcW w:w="2261" w:type="pct"/>
            <w:tcBorders>
              <w:top w:val="nil"/>
              <w:left w:val="nil"/>
              <w:right w:val="single" w:sz="4" w:space="0" w:color="auto"/>
            </w:tcBorders>
            <w:shd w:val="clear" w:color="auto" w:fill="FFFFFF"/>
            <w:noWrap/>
            <w:hideMark/>
          </w:tcPr>
          <w:p w14:paraId="56A59B6C"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PTGI International Carrier Services Ltd., Londres</w:t>
            </w:r>
          </w:p>
        </w:tc>
        <w:tc>
          <w:tcPr>
            <w:tcW w:w="750" w:type="pct"/>
            <w:tcBorders>
              <w:top w:val="nil"/>
              <w:left w:val="nil"/>
              <w:right w:val="single" w:sz="4" w:space="0" w:color="auto"/>
            </w:tcBorders>
            <w:shd w:val="clear" w:color="auto" w:fill="FFFFFF"/>
            <w:noWrap/>
            <w:hideMark/>
          </w:tcPr>
          <w:p w14:paraId="2A485A79"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nil"/>
              <w:right w:val="single" w:sz="4" w:space="0" w:color="auto"/>
            </w:tcBorders>
            <w:shd w:val="clear" w:color="auto" w:fill="FFFFFF"/>
            <w:noWrap/>
            <w:hideMark/>
          </w:tcPr>
          <w:p w14:paraId="34C39E70"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300,00</w:t>
            </w:r>
          </w:p>
        </w:tc>
      </w:tr>
      <w:tr w:rsidR="00D215BD" w:rsidRPr="001314CA" w14:paraId="1B82E182" w14:textId="77777777" w:rsidTr="00D215BD">
        <w:trPr>
          <w:trHeight w:val="300"/>
        </w:trPr>
        <w:tc>
          <w:tcPr>
            <w:tcW w:w="1270" w:type="pct"/>
            <w:tcBorders>
              <w:top w:val="nil"/>
              <w:left w:val="single" w:sz="4" w:space="0" w:color="auto"/>
              <w:right w:val="single" w:sz="4" w:space="0" w:color="auto"/>
            </w:tcBorders>
            <w:shd w:val="clear" w:color="auto" w:fill="FFFFFF"/>
            <w:hideMark/>
          </w:tcPr>
          <w:p w14:paraId="1398D276"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ÉTATS-UNIS</w:t>
            </w:r>
          </w:p>
        </w:tc>
        <w:tc>
          <w:tcPr>
            <w:tcW w:w="2261" w:type="pct"/>
            <w:tcBorders>
              <w:top w:val="nil"/>
              <w:left w:val="single" w:sz="4" w:space="0" w:color="auto"/>
              <w:right w:val="single" w:sz="4" w:space="0" w:color="auto"/>
            </w:tcBorders>
            <w:shd w:val="clear" w:color="auto" w:fill="FFFFFF"/>
            <w:noWrap/>
            <w:hideMark/>
          </w:tcPr>
          <w:p w14:paraId="68CEC704" w14:textId="77777777" w:rsidR="00D215BD" w:rsidRPr="00513163" w:rsidRDefault="00D215BD" w:rsidP="00D215BD">
            <w:pPr>
              <w:tabs>
                <w:tab w:val="clear" w:pos="567"/>
                <w:tab w:val="clear" w:pos="1134"/>
                <w:tab w:val="clear" w:pos="1701"/>
                <w:tab w:val="clear" w:pos="2268"/>
                <w:tab w:val="clear" w:pos="2835"/>
              </w:tabs>
              <w:spacing w:before="60" w:after="60"/>
              <w:rPr>
                <w:sz w:val="22"/>
                <w:lang w:val="en-US" w:eastAsia="en-GB"/>
              </w:rPr>
            </w:pPr>
            <w:proofErr w:type="spellStart"/>
            <w:r w:rsidRPr="00513163">
              <w:rPr>
                <w:sz w:val="22"/>
                <w:lang w:val="en-US" w:eastAsia="en-GB"/>
              </w:rPr>
              <w:t>ComoreTel</w:t>
            </w:r>
            <w:proofErr w:type="spellEnd"/>
            <w:r w:rsidRPr="00513163">
              <w:rPr>
                <w:sz w:val="22"/>
                <w:lang w:val="en-US" w:eastAsia="en-GB"/>
              </w:rPr>
              <w:t xml:space="preserve"> Holdings Ltd., Omaha, Nebraska</w:t>
            </w:r>
          </w:p>
        </w:tc>
        <w:tc>
          <w:tcPr>
            <w:tcW w:w="750" w:type="pct"/>
            <w:tcBorders>
              <w:top w:val="nil"/>
              <w:left w:val="single" w:sz="4" w:space="0" w:color="auto"/>
              <w:right w:val="single" w:sz="4" w:space="0" w:color="auto"/>
            </w:tcBorders>
            <w:shd w:val="clear" w:color="auto" w:fill="FFFFFF"/>
            <w:noWrap/>
            <w:hideMark/>
          </w:tcPr>
          <w:p w14:paraId="5FB5CF99"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single" w:sz="4" w:space="0" w:color="auto"/>
              <w:right w:val="single" w:sz="4" w:space="0" w:color="auto"/>
            </w:tcBorders>
            <w:shd w:val="clear" w:color="auto" w:fill="FFFFFF"/>
            <w:noWrap/>
            <w:hideMark/>
          </w:tcPr>
          <w:p w14:paraId="5CEA170B"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100,00</w:t>
            </w:r>
          </w:p>
        </w:tc>
      </w:tr>
      <w:tr w:rsidR="00D215BD" w:rsidRPr="001314CA" w14:paraId="2D36F7CC" w14:textId="77777777" w:rsidTr="00D215BD">
        <w:trPr>
          <w:trHeight w:val="300"/>
        </w:trPr>
        <w:tc>
          <w:tcPr>
            <w:tcW w:w="1270" w:type="pct"/>
            <w:tcBorders>
              <w:top w:val="nil"/>
              <w:left w:val="single" w:sz="4" w:space="0" w:color="auto"/>
              <w:bottom w:val="single" w:sz="4" w:space="0" w:color="auto"/>
              <w:right w:val="single" w:sz="4" w:space="0" w:color="auto"/>
            </w:tcBorders>
            <w:shd w:val="clear" w:color="auto" w:fill="FFFFFF"/>
          </w:tcPr>
          <w:p w14:paraId="0711E9E8"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p>
        </w:tc>
        <w:tc>
          <w:tcPr>
            <w:tcW w:w="2261" w:type="pct"/>
            <w:tcBorders>
              <w:top w:val="nil"/>
              <w:left w:val="single" w:sz="4" w:space="0" w:color="auto"/>
              <w:bottom w:val="single" w:sz="4" w:space="0" w:color="auto"/>
              <w:right w:val="single" w:sz="4" w:space="0" w:color="auto"/>
            </w:tcBorders>
            <w:shd w:val="clear" w:color="auto" w:fill="FFFFFF"/>
            <w:noWrap/>
          </w:tcPr>
          <w:p w14:paraId="55472D2A" w14:textId="77777777" w:rsidR="00D215BD" w:rsidRPr="001314CA" w:rsidRDefault="00D215BD" w:rsidP="00D215BD">
            <w:pPr>
              <w:tabs>
                <w:tab w:val="clear" w:pos="567"/>
                <w:tab w:val="clear" w:pos="1134"/>
                <w:tab w:val="clear" w:pos="1701"/>
                <w:tab w:val="clear" w:pos="2268"/>
                <w:tab w:val="clear" w:pos="2835"/>
              </w:tabs>
              <w:spacing w:before="60" w:after="60"/>
              <w:rPr>
                <w:sz w:val="22"/>
                <w:lang w:eastAsia="en-GB"/>
              </w:rPr>
            </w:pPr>
            <w:r w:rsidRPr="001314CA">
              <w:rPr>
                <w:sz w:val="22"/>
                <w:lang w:eastAsia="en-GB"/>
              </w:rPr>
              <w:t>International Telecom Ltd., Seattle</w:t>
            </w:r>
          </w:p>
        </w:tc>
        <w:tc>
          <w:tcPr>
            <w:tcW w:w="750" w:type="pct"/>
            <w:tcBorders>
              <w:top w:val="nil"/>
              <w:left w:val="single" w:sz="4" w:space="0" w:color="auto"/>
              <w:bottom w:val="single" w:sz="4" w:space="0" w:color="auto"/>
              <w:right w:val="single" w:sz="4" w:space="0" w:color="auto"/>
            </w:tcBorders>
            <w:shd w:val="clear" w:color="auto" w:fill="FFFFFF"/>
            <w:noWrap/>
          </w:tcPr>
          <w:p w14:paraId="269C93D4"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2018</w:t>
            </w:r>
          </w:p>
        </w:tc>
        <w:tc>
          <w:tcPr>
            <w:tcW w:w="719" w:type="pct"/>
            <w:tcBorders>
              <w:top w:val="nil"/>
              <w:left w:val="single" w:sz="4" w:space="0" w:color="auto"/>
              <w:bottom w:val="single" w:sz="4" w:space="0" w:color="auto"/>
              <w:right w:val="single" w:sz="4" w:space="0" w:color="auto"/>
            </w:tcBorders>
            <w:shd w:val="clear" w:color="auto" w:fill="FFFFFF"/>
            <w:noWrap/>
          </w:tcPr>
          <w:p w14:paraId="5FDFF13F"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r w:rsidRPr="001314CA">
              <w:rPr>
                <w:sz w:val="22"/>
                <w:lang w:eastAsia="en-GB"/>
              </w:rPr>
              <w:t>5 600,00</w:t>
            </w:r>
          </w:p>
        </w:tc>
      </w:tr>
      <w:tr w:rsidR="00D215BD" w:rsidRPr="001314CA" w14:paraId="64F22028" w14:textId="77777777" w:rsidTr="00D215BD">
        <w:trPr>
          <w:trHeight w:val="450"/>
        </w:trPr>
        <w:tc>
          <w:tcPr>
            <w:tcW w:w="1270" w:type="pct"/>
            <w:tcBorders>
              <w:top w:val="nil"/>
              <w:left w:val="single" w:sz="4" w:space="0" w:color="auto"/>
              <w:bottom w:val="single" w:sz="4" w:space="0" w:color="auto"/>
              <w:right w:val="single" w:sz="4" w:space="0" w:color="auto"/>
            </w:tcBorders>
            <w:noWrap/>
            <w:hideMark/>
          </w:tcPr>
          <w:p w14:paraId="30CD14E4" w14:textId="77777777" w:rsidR="00D215BD" w:rsidRPr="001314CA" w:rsidRDefault="00D215BD" w:rsidP="00D215BD">
            <w:pPr>
              <w:tabs>
                <w:tab w:val="clear" w:pos="567"/>
                <w:tab w:val="clear" w:pos="1134"/>
                <w:tab w:val="clear" w:pos="1701"/>
                <w:tab w:val="clear" w:pos="2268"/>
                <w:tab w:val="clear" w:pos="2835"/>
              </w:tabs>
              <w:spacing w:before="60" w:after="60"/>
              <w:rPr>
                <w:b/>
                <w:bCs/>
                <w:color w:val="000000"/>
                <w:sz w:val="22"/>
                <w:lang w:eastAsia="en-GB"/>
              </w:rPr>
            </w:pPr>
            <w:r w:rsidRPr="001314CA">
              <w:rPr>
                <w:b/>
                <w:bCs/>
                <w:color w:val="000000"/>
                <w:sz w:val="22"/>
                <w:lang w:eastAsia="en-GB"/>
              </w:rPr>
              <w:t>Total au 31.12.2020</w:t>
            </w:r>
          </w:p>
        </w:tc>
        <w:tc>
          <w:tcPr>
            <w:tcW w:w="2261" w:type="pct"/>
            <w:tcBorders>
              <w:top w:val="nil"/>
              <w:left w:val="nil"/>
              <w:bottom w:val="single" w:sz="4" w:space="0" w:color="auto"/>
              <w:right w:val="single" w:sz="4" w:space="0" w:color="auto"/>
            </w:tcBorders>
            <w:noWrap/>
            <w:hideMark/>
          </w:tcPr>
          <w:p w14:paraId="46A7491E" w14:textId="77777777" w:rsidR="00D215BD" w:rsidRPr="001314CA" w:rsidRDefault="00D215BD" w:rsidP="00D215BD">
            <w:pPr>
              <w:tabs>
                <w:tab w:val="clear" w:pos="567"/>
                <w:tab w:val="clear" w:pos="1134"/>
                <w:tab w:val="clear" w:pos="1701"/>
                <w:tab w:val="clear" w:pos="2268"/>
                <w:tab w:val="clear" w:pos="2835"/>
              </w:tabs>
              <w:spacing w:before="60" w:after="60"/>
              <w:rPr>
                <w:b/>
                <w:bCs/>
                <w:color w:val="000000"/>
                <w:sz w:val="22"/>
                <w:lang w:eastAsia="en-GB"/>
              </w:rPr>
            </w:pPr>
            <w:r w:rsidRPr="001314CA">
              <w:rPr>
                <w:b/>
                <w:bCs/>
                <w:color w:val="000000"/>
                <w:sz w:val="22"/>
                <w:lang w:eastAsia="en-GB"/>
              </w:rPr>
              <w:t> </w:t>
            </w:r>
          </w:p>
        </w:tc>
        <w:tc>
          <w:tcPr>
            <w:tcW w:w="750" w:type="pct"/>
            <w:tcBorders>
              <w:top w:val="nil"/>
              <w:left w:val="nil"/>
              <w:bottom w:val="single" w:sz="4" w:space="0" w:color="auto"/>
              <w:right w:val="single" w:sz="4" w:space="0" w:color="auto"/>
            </w:tcBorders>
            <w:noWrap/>
            <w:hideMark/>
          </w:tcPr>
          <w:p w14:paraId="1AACD905" w14:textId="77777777" w:rsidR="00D215BD" w:rsidRPr="001314CA" w:rsidRDefault="00D215BD" w:rsidP="00D215BD">
            <w:pPr>
              <w:tabs>
                <w:tab w:val="clear" w:pos="567"/>
                <w:tab w:val="clear" w:pos="1134"/>
                <w:tab w:val="clear" w:pos="1701"/>
                <w:tab w:val="clear" w:pos="2268"/>
                <w:tab w:val="clear" w:pos="2835"/>
              </w:tabs>
              <w:spacing w:before="60" w:after="60"/>
              <w:jc w:val="center"/>
              <w:rPr>
                <w:sz w:val="22"/>
                <w:lang w:eastAsia="en-GB"/>
              </w:rPr>
            </w:pPr>
          </w:p>
        </w:tc>
        <w:tc>
          <w:tcPr>
            <w:tcW w:w="719" w:type="pct"/>
            <w:tcBorders>
              <w:top w:val="nil"/>
              <w:left w:val="nil"/>
              <w:bottom w:val="single" w:sz="4" w:space="0" w:color="auto"/>
              <w:right w:val="single" w:sz="4" w:space="0" w:color="auto"/>
            </w:tcBorders>
            <w:noWrap/>
            <w:hideMark/>
          </w:tcPr>
          <w:p w14:paraId="740E557A" w14:textId="77777777" w:rsidR="00D215BD" w:rsidRPr="001314CA" w:rsidRDefault="00D215BD" w:rsidP="00D215BD">
            <w:pPr>
              <w:tabs>
                <w:tab w:val="clear" w:pos="567"/>
                <w:tab w:val="clear" w:pos="1134"/>
                <w:tab w:val="clear" w:pos="1701"/>
                <w:tab w:val="clear" w:pos="2268"/>
                <w:tab w:val="clear" w:pos="2835"/>
              </w:tabs>
              <w:spacing w:before="60" w:after="60"/>
              <w:jc w:val="center"/>
              <w:rPr>
                <w:b/>
                <w:bCs/>
                <w:color w:val="000000"/>
                <w:sz w:val="22"/>
                <w:lang w:eastAsia="en-GB"/>
              </w:rPr>
            </w:pPr>
            <w:r w:rsidRPr="001314CA">
              <w:rPr>
                <w:b/>
                <w:bCs/>
                <w:color w:val="000000"/>
                <w:sz w:val="22"/>
                <w:lang w:eastAsia="en-GB"/>
              </w:rPr>
              <w:t>78 300,00</w:t>
            </w:r>
          </w:p>
        </w:tc>
      </w:tr>
    </w:tbl>
    <w:p w14:paraId="37C87BAB" w14:textId="77777777" w:rsidR="00D215BD" w:rsidRPr="001314CA" w:rsidRDefault="00D215BD" w:rsidP="00D215BD"/>
    <w:p w14:paraId="213D207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b/>
          <w:sz w:val="28"/>
        </w:rPr>
      </w:pPr>
      <w:r w:rsidRPr="001314CA">
        <w:br w:type="page"/>
      </w:r>
    </w:p>
    <w:p w14:paraId="411465A7" w14:textId="77777777" w:rsidR="00D215BD" w:rsidRPr="001314CA" w:rsidRDefault="00D215BD" w:rsidP="00D215BD">
      <w:pPr>
        <w:pStyle w:val="Tabletitle"/>
        <w:spacing w:before="360" w:after="240"/>
        <w:rPr>
          <w:sz w:val="28"/>
          <w:szCs w:val="28"/>
        </w:rPr>
      </w:pPr>
      <w:r w:rsidRPr="001314CA">
        <w:rPr>
          <w:sz w:val="28"/>
          <w:szCs w:val="28"/>
        </w:rPr>
        <w:lastRenderedPageBreak/>
        <w:t>Résumé de la situation des arriérés au 31 décembre 2020</w:t>
      </w:r>
    </w:p>
    <w:tbl>
      <w:tblPr>
        <w:tblW w:w="9918" w:type="dxa"/>
        <w:jc w:val="center"/>
        <w:tblLook w:val="04A0" w:firstRow="1" w:lastRow="0" w:firstColumn="1" w:lastColumn="0" w:noHBand="0" w:noVBand="1"/>
        <w:tblCaption w:val="RÉSUMÉ DE LA SITUATION DES ARRIÉRÉS AU 31.12.2015"/>
      </w:tblPr>
      <w:tblGrid>
        <w:gridCol w:w="6052"/>
        <w:gridCol w:w="3866"/>
      </w:tblGrid>
      <w:tr w:rsidR="00D215BD" w:rsidRPr="001314CA" w14:paraId="1B7EA8D7" w14:textId="77777777" w:rsidTr="00D215BD">
        <w:trPr>
          <w:trHeight w:val="627"/>
          <w:jc w:val="center"/>
        </w:trPr>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C9661"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MONTANTS DUS</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1D17F" w14:textId="77777777" w:rsidR="00D215BD" w:rsidRPr="001314CA" w:rsidRDefault="00D215BD" w:rsidP="00D215BD">
            <w:pPr>
              <w:tabs>
                <w:tab w:val="clear" w:pos="567"/>
                <w:tab w:val="clear" w:pos="1134"/>
                <w:tab w:val="clear" w:pos="1701"/>
                <w:tab w:val="clear" w:pos="2268"/>
                <w:tab w:val="clear" w:pos="2835"/>
              </w:tabs>
              <w:spacing w:after="120"/>
              <w:jc w:val="center"/>
              <w:rPr>
                <w:b/>
                <w:sz w:val="22"/>
              </w:rPr>
            </w:pPr>
            <w:r w:rsidRPr="001314CA">
              <w:rPr>
                <w:b/>
                <w:sz w:val="22"/>
              </w:rPr>
              <w:t>CHF</w:t>
            </w:r>
          </w:p>
        </w:tc>
      </w:tr>
      <w:tr w:rsidR="00D215BD" w:rsidRPr="001314CA" w14:paraId="32AD1F47" w14:textId="77777777" w:rsidTr="00D215BD">
        <w:trPr>
          <w:trHeight w:val="300"/>
          <w:jc w:val="center"/>
        </w:trPr>
        <w:tc>
          <w:tcPr>
            <w:tcW w:w="6052" w:type="dxa"/>
            <w:tcBorders>
              <w:top w:val="nil"/>
              <w:left w:val="single" w:sz="4" w:space="0" w:color="auto"/>
              <w:bottom w:val="nil"/>
              <w:right w:val="single" w:sz="4" w:space="0" w:color="auto"/>
            </w:tcBorders>
            <w:shd w:val="clear" w:color="auto" w:fill="auto"/>
            <w:noWrap/>
            <w:vAlign w:val="bottom"/>
            <w:hideMark/>
          </w:tcPr>
          <w:p w14:paraId="65200051"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 xml:space="preserve">Contributions </w:t>
            </w:r>
          </w:p>
        </w:tc>
        <w:tc>
          <w:tcPr>
            <w:tcW w:w="3866" w:type="dxa"/>
            <w:tcBorders>
              <w:top w:val="nil"/>
              <w:left w:val="nil"/>
              <w:bottom w:val="nil"/>
              <w:right w:val="single" w:sz="4" w:space="0" w:color="auto"/>
            </w:tcBorders>
            <w:vAlign w:val="bottom"/>
          </w:tcPr>
          <w:p w14:paraId="17B916D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1314CA">
              <w:rPr>
                <w:rFonts w:cs="Calibri"/>
                <w:b/>
                <w:bCs/>
                <w:sz w:val="22"/>
                <w:szCs w:val="22"/>
                <w:lang w:eastAsia="en-GB"/>
              </w:rPr>
              <w:t>20 423 664,58</w:t>
            </w:r>
          </w:p>
        </w:tc>
      </w:tr>
      <w:tr w:rsidR="00D215BD" w:rsidRPr="001314CA" w14:paraId="6B00500A" w14:textId="77777777" w:rsidTr="00D215BD">
        <w:trPr>
          <w:trHeight w:val="300"/>
          <w:jc w:val="center"/>
        </w:trPr>
        <w:tc>
          <w:tcPr>
            <w:tcW w:w="6052" w:type="dxa"/>
            <w:tcBorders>
              <w:top w:val="nil"/>
              <w:left w:val="single" w:sz="4" w:space="0" w:color="auto"/>
              <w:bottom w:val="nil"/>
              <w:right w:val="single" w:sz="4" w:space="0" w:color="auto"/>
            </w:tcBorders>
            <w:shd w:val="clear" w:color="auto" w:fill="auto"/>
            <w:noWrap/>
            <w:vAlign w:val="bottom"/>
            <w:hideMark/>
          </w:tcPr>
          <w:p w14:paraId="3695A7FB"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 xml:space="preserve">Publications </w:t>
            </w:r>
          </w:p>
        </w:tc>
        <w:tc>
          <w:tcPr>
            <w:tcW w:w="3866" w:type="dxa"/>
            <w:tcBorders>
              <w:top w:val="nil"/>
              <w:left w:val="nil"/>
              <w:bottom w:val="nil"/>
              <w:right w:val="single" w:sz="4" w:space="0" w:color="auto"/>
            </w:tcBorders>
            <w:vAlign w:val="bottom"/>
          </w:tcPr>
          <w:p w14:paraId="265A231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1314CA">
              <w:rPr>
                <w:rFonts w:cs="Calibri"/>
                <w:b/>
                <w:bCs/>
                <w:sz w:val="22"/>
                <w:szCs w:val="22"/>
                <w:lang w:eastAsia="en-GB"/>
              </w:rPr>
              <w:t>97 170,30</w:t>
            </w:r>
          </w:p>
        </w:tc>
      </w:tr>
      <w:tr w:rsidR="00D215BD" w:rsidRPr="001314CA" w14:paraId="642926A2" w14:textId="77777777" w:rsidTr="00D215BD">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060B7C0F"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Notifications des réseaux à satellite</w:t>
            </w:r>
          </w:p>
        </w:tc>
        <w:tc>
          <w:tcPr>
            <w:tcW w:w="3866" w:type="dxa"/>
            <w:tcBorders>
              <w:top w:val="nil"/>
              <w:left w:val="nil"/>
              <w:bottom w:val="nil"/>
              <w:right w:val="single" w:sz="4" w:space="0" w:color="auto"/>
            </w:tcBorders>
            <w:shd w:val="clear" w:color="auto" w:fill="FFFFFF"/>
            <w:vAlign w:val="bottom"/>
          </w:tcPr>
          <w:p w14:paraId="01A2F8A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1314CA">
              <w:rPr>
                <w:rFonts w:cs="Calibri"/>
                <w:b/>
                <w:bCs/>
                <w:sz w:val="22"/>
                <w:szCs w:val="22"/>
                <w:lang w:eastAsia="en-GB"/>
              </w:rPr>
              <w:t>253 021,70</w:t>
            </w:r>
          </w:p>
        </w:tc>
      </w:tr>
      <w:tr w:rsidR="00D215BD" w:rsidRPr="001314CA" w14:paraId="6C08EA67" w14:textId="77777777" w:rsidTr="00D215BD">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19BBEF25"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Factures diverses</w:t>
            </w:r>
          </w:p>
        </w:tc>
        <w:tc>
          <w:tcPr>
            <w:tcW w:w="3866" w:type="dxa"/>
            <w:tcBorders>
              <w:top w:val="nil"/>
              <w:left w:val="nil"/>
              <w:bottom w:val="nil"/>
              <w:right w:val="single" w:sz="4" w:space="0" w:color="auto"/>
            </w:tcBorders>
            <w:vAlign w:val="bottom"/>
          </w:tcPr>
          <w:p w14:paraId="59D218A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1314CA">
              <w:rPr>
                <w:rFonts w:cs="Calibri"/>
                <w:b/>
                <w:bCs/>
                <w:sz w:val="22"/>
                <w:szCs w:val="22"/>
                <w:lang w:eastAsia="en-GB"/>
              </w:rPr>
              <w:t>62 560,00</w:t>
            </w:r>
          </w:p>
        </w:tc>
      </w:tr>
      <w:tr w:rsidR="00D215BD" w:rsidRPr="001314CA" w14:paraId="097913A3" w14:textId="77777777" w:rsidTr="00D215BD">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2D15578C"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Numéros universels de libre-appel international (UIFN)</w:t>
            </w:r>
          </w:p>
        </w:tc>
        <w:tc>
          <w:tcPr>
            <w:tcW w:w="3866" w:type="dxa"/>
            <w:tcBorders>
              <w:top w:val="nil"/>
              <w:left w:val="nil"/>
              <w:bottom w:val="nil"/>
              <w:right w:val="single" w:sz="4" w:space="0" w:color="auto"/>
            </w:tcBorders>
            <w:vAlign w:val="bottom"/>
          </w:tcPr>
          <w:p w14:paraId="26CC5F8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1314CA">
              <w:rPr>
                <w:rFonts w:cs="Calibri"/>
                <w:b/>
                <w:bCs/>
                <w:sz w:val="22"/>
                <w:szCs w:val="22"/>
                <w:lang w:eastAsia="en-GB"/>
              </w:rPr>
              <w:t>78 300,00</w:t>
            </w:r>
          </w:p>
        </w:tc>
      </w:tr>
      <w:tr w:rsidR="00D215BD" w:rsidRPr="001314CA" w14:paraId="0E56CD23" w14:textId="77777777" w:rsidTr="00D215BD">
        <w:trPr>
          <w:trHeight w:val="300"/>
          <w:jc w:val="center"/>
        </w:trPr>
        <w:tc>
          <w:tcPr>
            <w:tcW w:w="6052" w:type="dxa"/>
            <w:tcBorders>
              <w:top w:val="nil"/>
              <w:left w:val="single" w:sz="4" w:space="0" w:color="auto"/>
              <w:bottom w:val="nil"/>
              <w:right w:val="single" w:sz="4" w:space="0" w:color="000000"/>
            </w:tcBorders>
            <w:shd w:val="clear" w:color="auto" w:fill="auto"/>
            <w:noWrap/>
            <w:vAlign w:val="bottom"/>
            <w:hideMark/>
          </w:tcPr>
          <w:p w14:paraId="04F30F0A"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Comptes spéciaux d'arriérés (Accords d'amortissement)</w:t>
            </w:r>
          </w:p>
        </w:tc>
        <w:tc>
          <w:tcPr>
            <w:tcW w:w="3866" w:type="dxa"/>
            <w:tcBorders>
              <w:top w:val="nil"/>
              <w:left w:val="nil"/>
              <w:bottom w:val="nil"/>
              <w:right w:val="single" w:sz="4" w:space="0" w:color="auto"/>
            </w:tcBorders>
            <w:shd w:val="clear" w:color="auto" w:fill="FFFFFF"/>
            <w:vAlign w:val="bottom"/>
          </w:tcPr>
          <w:p w14:paraId="7B94964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1314CA">
              <w:rPr>
                <w:rFonts w:cs="Calibri"/>
                <w:b/>
                <w:bCs/>
                <w:sz w:val="22"/>
                <w:szCs w:val="22"/>
                <w:lang w:eastAsia="en-GB"/>
              </w:rPr>
              <w:t>6 712 382,86</w:t>
            </w:r>
          </w:p>
        </w:tc>
      </w:tr>
      <w:tr w:rsidR="00D215BD" w:rsidRPr="001314CA" w14:paraId="3CBA1697" w14:textId="77777777" w:rsidTr="00D215BD">
        <w:trPr>
          <w:trHeight w:val="555"/>
          <w:jc w:val="center"/>
        </w:trPr>
        <w:tc>
          <w:tcPr>
            <w:tcW w:w="6052" w:type="dxa"/>
            <w:tcBorders>
              <w:top w:val="nil"/>
              <w:left w:val="single" w:sz="4" w:space="0" w:color="auto"/>
              <w:bottom w:val="nil"/>
              <w:right w:val="single" w:sz="4" w:space="0" w:color="000000"/>
            </w:tcBorders>
            <w:shd w:val="clear" w:color="auto" w:fill="auto"/>
            <w:vAlign w:val="bottom"/>
            <w:hideMark/>
          </w:tcPr>
          <w:p w14:paraId="33085E01" w14:textId="77777777" w:rsidR="00D215BD" w:rsidRPr="001314CA" w:rsidRDefault="00D215BD" w:rsidP="00D215BD">
            <w:pPr>
              <w:tabs>
                <w:tab w:val="clear" w:pos="567"/>
                <w:tab w:val="clear" w:pos="1134"/>
                <w:tab w:val="clear" w:pos="1701"/>
                <w:tab w:val="clear" w:pos="2268"/>
                <w:tab w:val="clear" w:pos="2835"/>
              </w:tabs>
              <w:spacing w:before="60" w:after="60"/>
              <w:rPr>
                <w:sz w:val="22"/>
              </w:rPr>
            </w:pPr>
            <w:r w:rsidRPr="001314CA">
              <w:rPr>
                <w:sz w:val="22"/>
              </w:rPr>
              <w:t>Comptes spéciaux d'arriérés supprimés (Accords d'amortissement supprimés pour non-paiement)</w:t>
            </w:r>
          </w:p>
        </w:tc>
        <w:tc>
          <w:tcPr>
            <w:tcW w:w="3866" w:type="dxa"/>
            <w:tcBorders>
              <w:top w:val="nil"/>
              <w:left w:val="nil"/>
              <w:bottom w:val="nil"/>
              <w:right w:val="single" w:sz="4" w:space="0" w:color="auto"/>
            </w:tcBorders>
            <w:vAlign w:val="bottom"/>
          </w:tcPr>
          <w:p w14:paraId="630B1F3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1314CA">
              <w:rPr>
                <w:rFonts w:cs="Calibri"/>
                <w:b/>
                <w:bCs/>
                <w:sz w:val="22"/>
                <w:szCs w:val="22"/>
                <w:lang w:eastAsia="en-GB"/>
              </w:rPr>
              <w:t>12 948 300,62</w:t>
            </w:r>
          </w:p>
        </w:tc>
      </w:tr>
      <w:tr w:rsidR="00D215BD" w:rsidRPr="001314CA" w14:paraId="50DF2DD5" w14:textId="77777777" w:rsidTr="00D215BD">
        <w:trPr>
          <w:trHeight w:val="480"/>
          <w:jc w:val="center"/>
        </w:trPr>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77DF" w14:textId="77777777" w:rsidR="00D215BD" w:rsidRPr="001314CA" w:rsidRDefault="00D215BD" w:rsidP="00D215BD">
            <w:pPr>
              <w:tabs>
                <w:tab w:val="clear" w:pos="567"/>
                <w:tab w:val="clear" w:pos="1134"/>
                <w:tab w:val="clear" w:pos="1701"/>
                <w:tab w:val="clear" w:pos="2268"/>
                <w:tab w:val="clear" w:pos="2835"/>
              </w:tabs>
              <w:spacing w:before="60" w:after="60"/>
              <w:rPr>
                <w:b/>
                <w:sz w:val="22"/>
                <w:u w:val="single"/>
              </w:rPr>
            </w:pPr>
            <w:r w:rsidRPr="001314CA">
              <w:rPr>
                <w:b/>
                <w:sz w:val="22"/>
                <w:u w:val="single"/>
              </w:rPr>
              <w:t>TOTAL DES ARRIÉRÉS</w:t>
            </w:r>
          </w:p>
        </w:tc>
        <w:tc>
          <w:tcPr>
            <w:tcW w:w="3866" w:type="dxa"/>
            <w:tcBorders>
              <w:top w:val="single" w:sz="4" w:space="0" w:color="auto"/>
              <w:left w:val="nil"/>
              <w:bottom w:val="single" w:sz="4" w:space="0" w:color="auto"/>
              <w:right w:val="single" w:sz="4" w:space="0" w:color="auto"/>
            </w:tcBorders>
            <w:shd w:val="clear" w:color="auto" w:fill="auto"/>
            <w:vAlign w:val="bottom"/>
          </w:tcPr>
          <w:p w14:paraId="356077C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1314CA">
              <w:rPr>
                <w:rFonts w:cs="Calibri"/>
                <w:b/>
                <w:bCs/>
                <w:sz w:val="22"/>
                <w:szCs w:val="22"/>
                <w:u w:val="single"/>
                <w:lang w:eastAsia="en-GB"/>
              </w:rPr>
              <w:t>40 575 400,06</w:t>
            </w:r>
          </w:p>
        </w:tc>
      </w:tr>
    </w:tbl>
    <w:p w14:paraId="1CEE34D9" w14:textId="77777777" w:rsidR="00D215BD" w:rsidRPr="001314CA" w:rsidRDefault="00D215BD" w:rsidP="00D215BD">
      <w:pPr>
        <w:spacing w:before="720"/>
        <w:jc w:val="center"/>
        <w:rPr>
          <w:caps/>
          <w:sz w:val="28"/>
        </w:rPr>
      </w:pPr>
      <w:bookmarkStart w:id="3191" w:name="_Toc358379360"/>
      <w:bookmarkStart w:id="3192" w:name="_Toc358379977"/>
      <w:r w:rsidRPr="001314CA">
        <w:rPr>
          <w:caps/>
          <w:sz w:val="28"/>
        </w:rPr>
        <w:br w:type="page"/>
      </w:r>
    </w:p>
    <w:p w14:paraId="796E34F5" w14:textId="77777777" w:rsidR="00D215BD" w:rsidRPr="001314CA" w:rsidRDefault="00D215BD" w:rsidP="00D215BD">
      <w:pPr>
        <w:spacing w:before="720"/>
        <w:jc w:val="center"/>
        <w:rPr>
          <w:caps/>
          <w:sz w:val="2"/>
          <w:szCs w:val="2"/>
        </w:rPr>
      </w:pPr>
      <w:bookmarkStart w:id="3193" w:name="_Toc395260981"/>
      <w:bookmarkStart w:id="3194" w:name="_Toc395261118"/>
      <w:bookmarkStart w:id="3195" w:name="_Toc395511768"/>
      <w:bookmarkStart w:id="3196" w:name="_Toc452138680"/>
      <w:bookmarkStart w:id="3197" w:name="_Toc452139129"/>
      <w:bookmarkStart w:id="3198" w:name="_Toc482888058"/>
      <w:bookmarkStart w:id="3199" w:name="_Toc482888401"/>
      <w:bookmarkStart w:id="3200" w:name="_Toc511736696"/>
      <w:bookmarkStart w:id="3201" w:name="_Toc10450824"/>
    </w:p>
    <w:p w14:paraId="13F289D3" w14:textId="77777777" w:rsidR="00D215BD" w:rsidRPr="001314CA" w:rsidRDefault="00D215BD" w:rsidP="00D215BD">
      <w:pPr>
        <w:pStyle w:val="AnnexNo"/>
      </w:pPr>
      <w:bookmarkStart w:id="3202" w:name="_Toc41815010"/>
      <w:bookmarkStart w:id="3203" w:name="_Toc73354521"/>
      <w:bookmarkStart w:id="3204" w:name="_Toc73356504"/>
      <w:r w:rsidRPr="001314CA">
        <w:t xml:space="preserve">ANNEXE </w:t>
      </w:r>
      <w:bookmarkEnd w:id="3191"/>
      <w:bookmarkEnd w:id="3192"/>
      <w:bookmarkEnd w:id="3193"/>
      <w:bookmarkEnd w:id="3194"/>
      <w:bookmarkEnd w:id="3195"/>
      <w:bookmarkEnd w:id="3196"/>
      <w:bookmarkEnd w:id="3197"/>
      <w:bookmarkEnd w:id="3198"/>
      <w:bookmarkEnd w:id="3199"/>
      <w:bookmarkEnd w:id="3200"/>
      <w:r w:rsidRPr="001314CA">
        <w:t>D</w:t>
      </w:r>
      <w:bookmarkEnd w:id="3201"/>
      <w:bookmarkEnd w:id="3202"/>
      <w:bookmarkEnd w:id="3203"/>
      <w:bookmarkEnd w:id="3204"/>
    </w:p>
    <w:p w14:paraId="5A9E3001" w14:textId="77777777" w:rsidR="00D215BD" w:rsidRPr="001314CA" w:rsidRDefault="00D215BD" w:rsidP="00D215BD">
      <w:pPr>
        <w:pStyle w:val="Annextitle"/>
      </w:pPr>
      <w:bookmarkStart w:id="3205" w:name="_Toc395261119"/>
      <w:bookmarkStart w:id="3206" w:name="_Toc395511769"/>
      <w:bookmarkStart w:id="3207" w:name="_Toc73354522"/>
      <w:bookmarkStart w:id="3208" w:name="_Toc73356505"/>
      <w:r w:rsidRPr="001314CA">
        <w:t xml:space="preserve">Liste des débiteurs au 31 décembre 2020 des manifestations </w:t>
      </w:r>
      <w:r w:rsidRPr="001314CA">
        <w:br/>
        <w:t>bouclées ITU TELECOM</w:t>
      </w:r>
      <w:bookmarkEnd w:id="3205"/>
      <w:bookmarkEnd w:id="3206"/>
      <w:bookmarkEnd w:id="3207"/>
      <w:bookmarkEnd w:id="3208"/>
    </w:p>
    <w:p w14:paraId="01A473BA" w14:textId="77777777" w:rsidR="00D215BD" w:rsidRPr="001314CA" w:rsidRDefault="00D215BD" w:rsidP="00D215BD">
      <w:pPr>
        <w:spacing w:before="240" w:after="240"/>
        <w:jc w:val="center"/>
      </w:pPr>
      <w:r w:rsidRPr="001314CA">
        <w:t>(Cette liste ne tient pas compte des paiements reçus après le 31.12.2020)</w:t>
      </w:r>
    </w:p>
    <w:tbl>
      <w:tblPr>
        <w:tblW w:w="9918" w:type="dxa"/>
        <w:jc w:val="center"/>
        <w:tblLayout w:type="fixed"/>
        <w:tblLook w:val="04A0" w:firstRow="1" w:lastRow="0" w:firstColumn="1" w:lastColumn="0" w:noHBand="0" w:noVBand="1"/>
        <w:tblCaption w:val="E"/>
      </w:tblPr>
      <w:tblGrid>
        <w:gridCol w:w="1271"/>
        <w:gridCol w:w="2186"/>
        <w:gridCol w:w="2798"/>
        <w:gridCol w:w="1408"/>
        <w:gridCol w:w="1126"/>
        <w:gridCol w:w="1129"/>
      </w:tblGrid>
      <w:tr w:rsidR="00D215BD" w:rsidRPr="001314CA" w14:paraId="0997CE6B" w14:textId="77777777" w:rsidTr="00D215BD">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1CF8667D"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caps/>
                <w:sz w:val="20"/>
                <w:lang w:eastAsia="zh-CN"/>
              </w:rPr>
              <w:t>é</w:t>
            </w:r>
            <w:r w:rsidRPr="001314CA">
              <w:rPr>
                <w:b/>
                <w:sz w:val="20"/>
                <w:lang w:eastAsia="zh-CN"/>
              </w:rPr>
              <w:t>vénement</w:t>
            </w:r>
          </w:p>
        </w:tc>
        <w:tc>
          <w:tcPr>
            <w:tcW w:w="2186" w:type="dxa"/>
            <w:tcBorders>
              <w:top w:val="single" w:sz="4" w:space="0" w:color="auto"/>
              <w:left w:val="nil"/>
              <w:bottom w:val="single" w:sz="4" w:space="0" w:color="auto"/>
              <w:right w:val="single" w:sz="4" w:space="0" w:color="auto"/>
            </w:tcBorders>
            <w:shd w:val="clear" w:color="auto" w:fill="auto"/>
            <w:noWrap/>
            <w:hideMark/>
          </w:tcPr>
          <w:p w14:paraId="00807A92"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Pays</w:t>
            </w:r>
          </w:p>
        </w:tc>
        <w:tc>
          <w:tcPr>
            <w:tcW w:w="2798" w:type="dxa"/>
            <w:tcBorders>
              <w:top w:val="single" w:sz="4" w:space="0" w:color="auto"/>
              <w:left w:val="nil"/>
              <w:bottom w:val="single" w:sz="4" w:space="0" w:color="auto"/>
              <w:right w:val="single" w:sz="4" w:space="0" w:color="auto"/>
            </w:tcBorders>
            <w:shd w:val="clear" w:color="auto" w:fill="auto"/>
            <w:noWrap/>
            <w:hideMark/>
          </w:tcPr>
          <w:p w14:paraId="5BEAD1A5"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Entité</w:t>
            </w:r>
          </w:p>
        </w:tc>
        <w:tc>
          <w:tcPr>
            <w:tcW w:w="1408" w:type="dxa"/>
            <w:tcBorders>
              <w:top w:val="single" w:sz="4" w:space="0" w:color="auto"/>
              <w:left w:val="nil"/>
              <w:bottom w:val="single" w:sz="4" w:space="0" w:color="auto"/>
              <w:right w:val="single" w:sz="4" w:space="0" w:color="auto"/>
            </w:tcBorders>
            <w:shd w:val="clear" w:color="auto" w:fill="auto"/>
            <w:noWrap/>
            <w:hideMark/>
          </w:tcPr>
          <w:p w14:paraId="5A799BA4"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Montant facturé</w:t>
            </w:r>
          </w:p>
        </w:tc>
        <w:tc>
          <w:tcPr>
            <w:tcW w:w="1126" w:type="dxa"/>
            <w:tcBorders>
              <w:top w:val="single" w:sz="4" w:space="0" w:color="auto"/>
              <w:left w:val="nil"/>
              <w:bottom w:val="single" w:sz="4" w:space="0" w:color="auto"/>
              <w:right w:val="single" w:sz="4" w:space="0" w:color="auto"/>
            </w:tcBorders>
            <w:shd w:val="clear" w:color="auto" w:fill="auto"/>
            <w:noWrap/>
            <w:hideMark/>
          </w:tcPr>
          <w:p w14:paraId="0654D778"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Paiement reçu</w:t>
            </w:r>
          </w:p>
        </w:tc>
        <w:tc>
          <w:tcPr>
            <w:tcW w:w="1129" w:type="dxa"/>
            <w:tcBorders>
              <w:top w:val="single" w:sz="4" w:space="0" w:color="auto"/>
              <w:left w:val="nil"/>
              <w:bottom w:val="single" w:sz="4" w:space="0" w:color="auto"/>
              <w:right w:val="single" w:sz="4" w:space="0" w:color="auto"/>
            </w:tcBorders>
            <w:shd w:val="clear" w:color="auto" w:fill="auto"/>
            <w:noWrap/>
            <w:hideMark/>
          </w:tcPr>
          <w:p w14:paraId="7FDAD7DA"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Restant dû</w:t>
            </w:r>
          </w:p>
        </w:tc>
      </w:tr>
      <w:tr w:rsidR="00D215BD" w:rsidRPr="001314CA" w14:paraId="5853B4DA" w14:textId="77777777" w:rsidTr="00D215BD">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FD69B0A"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AFT08</w:t>
            </w:r>
          </w:p>
        </w:tc>
        <w:tc>
          <w:tcPr>
            <w:tcW w:w="2186" w:type="dxa"/>
            <w:tcBorders>
              <w:top w:val="nil"/>
              <w:left w:val="nil"/>
              <w:bottom w:val="single" w:sz="4" w:space="0" w:color="auto"/>
              <w:right w:val="single" w:sz="4" w:space="0" w:color="auto"/>
            </w:tcBorders>
            <w:shd w:val="clear" w:color="auto" w:fill="auto"/>
            <w:noWrap/>
            <w:hideMark/>
          </w:tcPr>
          <w:p w14:paraId="0706A302"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République sudafricaine</w:t>
            </w:r>
          </w:p>
        </w:tc>
        <w:tc>
          <w:tcPr>
            <w:tcW w:w="2798" w:type="dxa"/>
            <w:tcBorders>
              <w:top w:val="nil"/>
              <w:left w:val="nil"/>
              <w:bottom w:val="single" w:sz="4" w:space="0" w:color="auto"/>
              <w:right w:val="single" w:sz="4" w:space="0" w:color="auto"/>
            </w:tcBorders>
            <w:shd w:val="clear" w:color="auto" w:fill="auto"/>
            <w:noWrap/>
            <w:hideMark/>
          </w:tcPr>
          <w:p w14:paraId="24A82512"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MPCELL (</w:t>
            </w:r>
            <w:proofErr w:type="spellStart"/>
            <w:r w:rsidRPr="001314CA">
              <w:rPr>
                <w:sz w:val="20"/>
                <w:lang w:eastAsia="zh-CN"/>
              </w:rPr>
              <w:t>Pty</w:t>
            </w:r>
            <w:proofErr w:type="spellEnd"/>
            <w:r w:rsidRPr="001314CA">
              <w:rPr>
                <w:sz w:val="20"/>
                <w:lang w:eastAsia="zh-CN"/>
              </w:rPr>
              <w:t>) Ltd.</w:t>
            </w:r>
          </w:p>
        </w:tc>
        <w:tc>
          <w:tcPr>
            <w:tcW w:w="1408" w:type="dxa"/>
            <w:tcBorders>
              <w:top w:val="nil"/>
              <w:left w:val="nil"/>
              <w:bottom w:val="single" w:sz="4" w:space="0" w:color="auto"/>
              <w:right w:val="single" w:sz="4" w:space="0" w:color="auto"/>
            </w:tcBorders>
            <w:shd w:val="clear" w:color="auto" w:fill="auto"/>
            <w:noWrap/>
            <w:hideMark/>
          </w:tcPr>
          <w:p w14:paraId="61A2F6DC"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3 690,00</w:t>
            </w:r>
          </w:p>
        </w:tc>
        <w:tc>
          <w:tcPr>
            <w:tcW w:w="1126" w:type="dxa"/>
            <w:tcBorders>
              <w:top w:val="nil"/>
              <w:left w:val="nil"/>
              <w:bottom w:val="single" w:sz="4" w:space="0" w:color="auto"/>
              <w:right w:val="single" w:sz="4" w:space="0" w:color="auto"/>
            </w:tcBorders>
            <w:shd w:val="clear" w:color="auto" w:fill="auto"/>
            <w:noWrap/>
            <w:hideMark/>
          </w:tcPr>
          <w:p w14:paraId="43E52F29"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29" w:type="dxa"/>
            <w:tcBorders>
              <w:top w:val="nil"/>
              <w:left w:val="nil"/>
              <w:bottom w:val="single" w:sz="4" w:space="0" w:color="auto"/>
              <w:right w:val="single" w:sz="4" w:space="0" w:color="auto"/>
            </w:tcBorders>
            <w:shd w:val="clear" w:color="auto" w:fill="auto"/>
            <w:noWrap/>
            <w:hideMark/>
          </w:tcPr>
          <w:p w14:paraId="4A4F1E8C"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3 690,00</w:t>
            </w:r>
          </w:p>
        </w:tc>
      </w:tr>
      <w:tr w:rsidR="00D215BD" w:rsidRPr="001314CA" w14:paraId="15250B17" w14:textId="77777777" w:rsidTr="00D215BD">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E4E00CA"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AFT08</w:t>
            </w:r>
          </w:p>
        </w:tc>
        <w:tc>
          <w:tcPr>
            <w:tcW w:w="2186" w:type="dxa"/>
            <w:tcBorders>
              <w:top w:val="nil"/>
              <w:left w:val="nil"/>
              <w:bottom w:val="single" w:sz="4" w:space="0" w:color="auto"/>
              <w:right w:val="single" w:sz="4" w:space="0" w:color="auto"/>
            </w:tcBorders>
            <w:shd w:val="clear" w:color="auto" w:fill="auto"/>
            <w:noWrap/>
            <w:hideMark/>
          </w:tcPr>
          <w:p w14:paraId="318106F2"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Canada</w:t>
            </w:r>
          </w:p>
        </w:tc>
        <w:tc>
          <w:tcPr>
            <w:tcW w:w="2798" w:type="dxa"/>
            <w:tcBorders>
              <w:top w:val="nil"/>
              <w:left w:val="nil"/>
              <w:bottom w:val="single" w:sz="4" w:space="0" w:color="auto"/>
              <w:right w:val="single" w:sz="4" w:space="0" w:color="auto"/>
            </w:tcBorders>
            <w:shd w:val="clear" w:color="auto" w:fill="auto"/>
            <w:noWrap/>
            <w:hideMark/>
          </w:tcPr>
          <w:p w14:paraId="3DF44948"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xml:space="preserve">Broad </w:t>
            </w:r>
            <w:proofErr w:type="spellStart"/>
            <w:r w:rsidRPr="001314CA">
              <w:rPr>
                <w:sz w:val="20"/>
                <w:lang w:eastAsia="zh-CN"/>
              </w:rPr>
              <w:t>Connect</w:t>
            </w:r>
            <w:proofErr w:type="spellEnd"/>
            <w:r w:rsidRPr="001314CA">
              <w:rPr>
                <w:sz w:val="20"/>
                <w:lang w:eastAsia="zh-CN"/>
              </w:rPr>
              <w:t xml:space="preserve"> Telecom Ltd.</w:t>
            </w:r>
          </w:p>
        </w:tc>
        <w:tc>
          <w:tcPr>
            <w:tcW w:w="1408" w:type="dxa"/>
            <w:tcBorders>
              <w:top w:val="nil"/>
              <w:left w:val="nil"/>
              <w:bottom w:val="single" w:sz="4" w:space="0" w:color="auto"/>
              <w:right w:val="single" w:sz="4" w:space="0" w:color="auto"/>
            </w:tcBorders>
            <w:shd w:val="clear" w:color="auto" w:fill="auto"/>
            <w:noWrap/>
            <w:hideMark/>
          </w:tcPr>
          <w:p w14:paraId="5FAC210D"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14 760,00</w:t>
            </w:r>
          </w:p>
        </w:tc>
        <w:tc>
          <w:tcPr>
            <w:tcW w:w="1126" w:type="dxa"/>
            <w:tcBorders>
              <w:top w:val="nil"/>
              <w:left w:val="nil"/>
              <w:bottom w:val="single" w:sz="4" w:space="0" w:color="auto"/>
              <w:right w:val="single" w:sz="4" w:space="0" w:color="auto"/>
            </w:tcBorders>
            <w:shd w:val="clear" w:color="auto" w:fill="auto"/>
            <w:noWrap/>
            <w:hideMark/>
          </w:tcPr>
          <w:p w14:paraId="697CDE04"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5 850,00</w:t>
            </w:r>
          </w:p>
        </w:tc>
        <w:tc>
          <w:tcPr>
            <w:tcW w:w="1129" w:type="dxa"/>
            <w:tcBorders>
              <w:top w:val="nil"/>
              <w:left w:val="nil"/>
              <w:bottom w:val="single" w:sz="4" w:space="0" w:color="auto"/>
              <w:right w:val="single" w:sz="4" w:space="0" w:color="auto"/>
            </w:tcBorders>
            <w:shd w:val="clear" w:color="auto" w:fill="auto"/>
            <w:noWrap/>
            <w:hideMark/>
          </w:tcPr>
          <w:p w14:paraId="765E27AD"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8 910,00</w:t>
            </w:r>
          </w:p>
        </w:tc>
      </w:tr>
      <w:tr w:rsidR="00D215BD" w:rsidRPr="001314CA" w14:paraId="63C51E5C" w14:textId="77777777" w:rsidTr="00D215BD">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92732EB"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AFT08</w:t>
            </w:r>
          </w:p>
        </w:tc>
        <w:tc>
          <w:tcPr>
            <w:tcW w:w="2186" w:type="dxa"/>
            <w:tcBorders>
              <w:top w:val="nil"/>
              <w:left w:val="nil"/>
              <w:bottom w:val="single" w:sz="4" w:space="0" w:color="auto"/>
              <w:right w:val="single" w:sz="4" w:space="0" w:color="auto"/>
            </w:tcBorders>
            <w:shd w:val="clear" w:color="auto" w:fill="auto"/>
            <w:noWrap/>
            <w:hideMark/>
          </w:tcPr>
          <w:p w14:paraId="7FD938BC"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Chine</w:t>
            </w:r>
          </w:p>
        </w:tc>
        <w:tc>
          <w:tcPr>
            <w:tcW w:w="2798" w:type="dxa"/>
            <w:tcBorders>
              <w:top w:val="nil"/>
              <w:left w:val="nil"/>
              <w:bottom w:val="single" w:sz="4" w:space="0" w:color="auto"/>
              <w:right w:val="single" w:sz="4" w:space="0" w:color="auto"/>
            </w:tcBorders>
            <w:shd w:val="clear" w:color="auto" w:fill="auto"/>
            <w:noWrap/>
            <w:hideMark/>
          </w:tcPr>
          <w:p w14:paraId="4B627C8E"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roofErr w:type="spellStart"/>
            <w:r w:rsidRPr="001314CA">
              <w:rPr>
                <w:sz w:val="20"/>
                <w:lang w:eastAsia="zh-CN"/>
              </w:rPr>
              <w:t>SipRing</w:t>
            </w:r>
            <w:proofErr w:type="spellEnd"/>
            <w:r w:rsidRPr="001314CA">
              <w:rPr>
                <w:sz w:val="20"/>
                <w:lang w:eastAsia="zh-CN"/>
              </w:rPr>
              <w:t xml:space="preserve"> </w:t>
            </w:r>
            <w:proofErr w:type="spellStart"/>
            <w:r w:rsidRPr="001314CA">
              <w:rPr>
                <w:sz w:val="20"/>
                <w:lang w:eastAsia="zh-CN"/>
              </w:rPr>
              <w:t>Telecommunication</w:t>
            </w:r>
            <w:proofErr w:type="spellEnd"/>
          </w:p>
        </w:tc>
        <w:tc>
          <w:tcPr>
            <w:tcW w:w="1408" w:type="dxa"/>
            <w:tcBorders>
              <w:top w:val="nil"/>
              <w:left w:val="nil"/>
              <w:bottom w:val="single" w:sz="4" w:space="0" w:color="auto"/>
              <w:right w:val="single" w:sz="4" w:space="0" w:color="auto"/>
            </w:tcBorders>
            <w:shd w:val="clear" w:color="auto" w:fill="auto"/>
            <w:noWrap/>
            <w:hideMark/>
          </w:tcPr>
          <w:p w14:paraId="1C5141F5"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8 200,00</w:t>
            </w:r>
          </w:p>
        </w:tc>
        <w:tc>
          <w:tcPr>
            <w:tcW w:w="1126" w:type="dxa"/>
            <w:tcBorders>
              <w:top w:val="nil"/>
              <w:left w:val="nil"/>
              <w:bottom w:val="single" w:sz="4" w:space="0" w:color="auto"/>
              <w:right w:val="single" w:sz="4" w:space="0" w:color="auto"/>
            </w:tcBorders>
            <w:shd w:val="clear" w:color="auto" w:fill="auto"/>
            <w:noWrap/>
            <w:hideMark/>
          </w:tcPr>
          <w:p w14:paraId="745C1CD5"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29" w:type="dxa"/>
            <w:tcBorders>
              <w:top w:val="nil"/>
              <w:left w:val="nil"/>
              <w:bottom w:val="single" w:sz="4" w:space="0" w:color="auto"/>
              <w:right w:val="single" w:sz="4" w:space="0" w:color="auto"/>
            </w:tcBorders>
            <w:shd w:val="clear" w:color="auto" w:fill="auto"/>
            <w:noWrap/>
            <w:hideMark/>
          </w:tcPr>
          <w:p w14:paraId="0CCB0680"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8 200,00</w:t>
            </w:r>
          </w:p>
        </w:tc>
      </w:tr>
      <w:tr w:rsidR="00D215BD" w:rsidRPr="001314CA" w14:paraId="2BCA5427" w14:textId="77777777" w:rsidTr="00D215BD">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C2AA2AA"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AFT08</w:t>
            </w:r>
          </w:p>
        </w:tc>
        <w:tc>
          <w:tcPr>
            <w:tcW w:w="2186" w:type="dxa"/>
            <w:tcBorders>
              <w:top w:val="nil"/>
              <w:left w:val="nil"/>
              <w:bottom w:val="single" w:sz="4" w:space="0" w:color="auto"/>
              <w:right w:val="single" w:sz="4" w:space="0" w:color="auto"/>
            </w:tcBorders>
            <w:shd w:val="clear" w:color="auto" w:fill="auto"/>
            <w:noWrap/>
            <w:hideMark/>
          </w:tcPr>
          <w:p w14:paraId="2AAF152C"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Côte d'Ivoire</w:t>
            </w:r>
          </w:p>
        </w:tc>
        <w:tc>
          <w:tcPr>
            <w:tcW w:w="2798" w:type="dxa"/>
            <w:tcBorders>
              <w:top w:val="nil"/>
              <w:left w:val="nil"/>
              <w:bottom w:val="single" w:sz="4" w:space="0" w:color="auto"/>
              <w:right w:val="single" w:sz="4" w:space="0" w:color="auto"/>
            </w:tcBorders>
            <w:shd w:val="clear" w:color="auto" w:fill="auto"/>
            <w:noWrap/>
            <w:hideMark/>
          </w:tcPr>
          <w:p w14:paraId="19CC026B"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Apex Technologies</w:t>
            </w:r>
          </w:p>
        </w:tc>
        <w:tc>
          <w:tcPr>
            <w:tcW w:w="1408" w:type="dxa"/>
            <w:tcBorders>
              <w:top w:val="nil"/>
              <w:left w:val="nil"/>
              <w:bottom w:val="single" w:sz="4" w:space="0" w:color="auto"/>
              <w:right w:val="single" w:sz="4" w:space="0" w:color="auto"/>
            </w:tcBorders>
            <w:shd w:val="clear" w:color="auto" w:fill="auto"/>
            <w:noWrap/>
            <w:hideMark/>
          </w:tcPr>
          <w:p w14:paraId="428576A6"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7 380,00</w:t>
            </w:r>
          </w:p>
        </w:tc>
        <w:tc>
          <w:tcPr>
            <w:tcW w:w="1126" w:type="dxa"/>
            <w:tcBorders>
              <w:top w:val="nil"/>
              <w:left w:val="nil"/>
              <w:bottom w:val="single" w:sz="4" w:space="0" w:color="auto"/>
              <w:right w:val="single" w:sz="4" w:space="0" w:color="auto"/>
            </w:tcBorders>
            <w:shd w:val="clear" w:color="auto" w:fill="auto"/>
            <w:noWrap/>
            <w:hideMark/>
          </w:tcPr>
          <w:p w14:paraId="1525857D"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29" w:type="dxa"/>
            <w:tcBorders>
              <w:top w:val="nil"/>
              <w:left w:val="nil"/>
              <w:bottom w:val="single" w:sz="4" w:space="0" w:color="auto"/>
              <w:right w:val="single" w:sz="4" w:space="0" w:color="auto"/>
            </w:tcBorders>
            <w:shd w:val="clear" w:color="auto" w:fill="auto"/>
            <w:noWrap/>
            <w:hideMark/>
          </w:tcPr>
          <w:p w14:paraId="5B7ED550"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7 380,00</w:t>
            </w:r>
          </w:p>
        </w:tc>
      </w:tr>
      <w:tr w:rsidR="00D215BD" w:rsidRPr="001314CA" w14:paraId="555CB45D" w14:textId="77777777" w:rsidTr="00D215BD">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C0B19D6"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AFT08</w:t>
            </w:r>
          </w:p>
        </w:tc>
        <w:tc>
          <w:tcPr>
            <w:tcW w:w="2186" w:type="dxa"/>
            <w:tcBorders>
              <w:top w:val="nil"/>
              <w:left w:val="nil"/>
              <w:bottom w:val="single" w:sz="4" w:space="0" w:color="auto"/>
              <w:right w:val="single" w:sz="4" w:space="0" w:color="auto"/>
            </w:tcBorders>
            <w:shd w:val="clear" w:color="auto" w:fill="auto"/>
            <w:noWrap/>
            <w:hideMark/>
          </w:tcPr>
          <w:p w14:paraId="20EAED07"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Liban</w:t>
            </w:r>
          </w:p>
        </w:tc>
        <w:tc>
          <w:tcPr>
            <w:tcW w:w="2798" w:type="dxa"/>
            <w:tcBorders>
              <w:top w:val="nil"/>
              <w:left w:val="nil"/>
              <w:bottom w:val="single" w:sz="4" w:space="0" w:color="auto"/>
              <w:right w:val="single" w:sz="4" w:space="0" w:color="auto"/>
            </w:tcBorders>
            <w:shd w:val="clear" w:color="auto" w:fill="auto"/>
            <w:noWrap/>
            <w:hideMark/>
          </w:tcPr>
          <w:p w14:paraId="6F93E78D"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roofErr w:type="spellStart"/>
            <w:r w:rsidRPr="001314CA">
              <w:rPr>
                <w:sz w:val="20"/>
                <w:lang w:eastAsia="zh-CN"/>
              </w:rPr>
              <w:t>Splendor</w:t>
            </w:r>
            <w:proofErr w:type="spellEnd"/>
          </w:p>
        </w:tc>
        <w:tc>
          <w:tcPr>
            <w:tcW w:w="1408" w:type="dxa"/>
            <w:tcBorders>
              <w:top w:val="nil"/>
              <w:left w:val="nil"/>
              <w:bottom w:val="single" w:sz="4" w:space="0" w:color="auto"/>
              <w:right w:val="single" w:sz="4" w:space="0" w:color="auto"/>
            </w:tcBorders>
            <w:shd w:val="clear" w:color="auto" w:fill="auto"/>
            <w:noWrap/>
            <w:hideMark/>
          </w:tcPr>
          <w:p w14:paraId="18270D67"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12 300,00</w:t>
            </w:r>
          </w:p>
        </w:tc>
        <w:tc>
          <w:tcPr>
            <w:tcW w:w="1126" w:type="dxa"/>
            <w:tcBorders>
              <w:top w:val="nil"/>
              <w:left w:val="nil"/>
              <w:bottom w:val="single" w:sz="4" w:space="0" w:color="auto"/>
              <w:right w:val="single" w:sz="4" w:space="0" w:color="auto"/>
            </w:tcBorders>
            <w:shd w:val="clear" w:color="auto" w:fill="auto"/>
            <w:noWrap/>
            <w:hideMark/>
          </w:tcPr>
          <w:p w14:paraId="2D39E197"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29" w:type="dxa"/>
            <w:tcBorders>
              <w:top w:val="nil"/>
              <w:left w:val="nil"/>
              <w:bottom w:val="single" w:sz="4" w:space="0" w:color="auto"/>
              <w:right w:val="single" w:sz="4" w:space="0" w:color="auto"/>
            </w:tcBorders>
            <w:shd w:val="clear" w:color="auto" w:fill="auto"/>
            <w:noWrap/>
            <w:hideMark/>
          </w:tcPr>
          <w:p w14:paraId="20902809"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12 300,00</w:t>
            </w:r>
          </w:p>
        </w:tc>
      </w:tr>
      <w:tr w:rsidR="00D215BD" w:rsidRPr="001314CA" w14:paraId="1EC65FA0" w14:textId="77777777" w:rsidTr="00D215BD">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tcPr>
          <w:p w14:paraId="60803E7B"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p>
        </w:tc>
        <w:tc>
          <w:tcPr>
            <w:tcW w:w="2186" w:type="dxa"/>
            <w:tcBorders>
              <w:top w:val="nil"/>
              <w:left w:val="nil"/>
              <w:bottom w:val="single" w:sz="4" w:space="0" w:color="auto"/>
              <w:right w:val="single" w:sz="4" w:space="0" w:color="auto"/>
            </w:tcBorders>
            <w:shd w:val="clear" w:color="auto" w:fill="auto"/>
            <w:noWrap/>
          </w:tcPr>
          <w:p w14:paraId="32E9E7B3"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
        </w:tc>
        <w:tc>
          <w:tcPr>
            <w:tcW w:w="2798" w:type="dxa"/>
            <w:tcBorders>
              <w:top w:val="nil"/>
              <w:left w:val="nil"/>
              <w:bottom w:val="single" w:sz="4" w:space="0" w:color="auto"/>
              <w:right w:val="single" w:sz="4" w:space="0" w:color="auto"/>
            </w:tcBorders>
            <w:shd w:val="clear" w:color="auto" w:fill="auto"/>
            <w:noWrap/>
          </w:tcPr>
          <w:p w14:paraId="526A90E6"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
        </w:tc>
        <w:tc>
          <w:tcPr>
            <w:tcW w:w="1408" w:type="dxa"/>
            <w:tcBorders>
              <w:top w:val="nil"/>
              <w:left w:val="nil"/>
              <w:bottom w:val="single" w:sz="4" w:space="0" w:color="auto"/>
              <w:right w:val="single" w:sz="4" w:space="0" w:color="auto"/>
            </w:tcBorders>
            <w:shd w:val="clear" w:color="auto" w:fill="auto"/>
            <w:noWrap/>
          </w:tcPr>
          <w:p w14:paraId="5D459D59"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126" w:type="dxa"/>
            <w:tcBorders>
              <w:top w:val="nil"/>
              <w:left w:val="nil"/>
              <w:bottom w:val="single" w:sz="4" w:space="0" w:color="auto"/>
              <w:right w:val="single" w:sz="4" w:space="0" w:color="auto"/>
            </w:tcBorders>
            <w:shd w:val="clear" w:color="auto" w:fill="auto"/>
            <w:noWrap/>
          </w:tcPr>
          <w:p w14:paraId="52B23859"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129" w:type="dxa"/>
            <w:tcBorders>
              <w:top w:val="nil"/>
              <w:left w:val="nil"/>
              <w:bottom w:val="single" w:sz="4" w:space="0" w:color="auto"/>
              <w:right w:val="single" w:sz="4" w:space="0" w:color="auto"/>
            </w:tcBorders>
            <w:shd w:val="clear" w:color="auto" w:fill="auto"/>
            <w:noWrap/>
          </w:tcPr>
          <w:p w14:paraId="1A288015"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r>
      <w:tr w:rsidR="00D215BD" w:rsidRPr="001314CA" w14:paraId="7BD4E621" w14:textId="77777777" w:rsidTr="00D215BD">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3B4F473B" w14:textId="77777777" w:rsidR="00D215BD" w:rsidRPr="001314CA" w:rsidRDefault="00D215BD" w:rsidP="00D215BD">
            <w:pPr>
              <w:tabs>
                <w:tab w:val="clear" w:pos="567"/>
                <w:tab w:val="clear" w:pos="1134"/>
                <w:tab w:val="clear" w:pos="1701"/>
                <w:tab w:val="clear" w:pos="2268"/>
                <w:tab w:val="clear" w:pos="2835"/>
              </w:tabs>
              <w:spacing w:before="0"/>
              <w:jc w:val="center"/>
              <w:rPr>
                <w:b/>
                <w:bCs/>
                <w:sz w:val="20"/>
                <w:lang w:eastAsia="zh-CN"/>
              </w:rPr>
            </w:pPr>
            <w:r w:rsidRPr="001314CA">
              <w:rPr>
                <w:b/>
                <w:bCs/>
                <w:sz w:val="20"/>
                <w:lang w:eastAsia="zh-CN"/>
              </w:rPr>
              <w:t>AFT08</w:t>
            </w:r>
          </w:p>
        </w:tc>
        <w:tc>
          <w:tcPr>
            <w:tcW w:w="2186" w:type="dxa"/>
            <w:tcBorders>
              <w:top w:val="single" w:sz="4" w:space="0" w:color="auto"/>
              <w:left w:val="nil"/>
              <w:bottom w:val="single" w:sz="4" w:space="0" w:color="auto"/>
              <w:right w:val="single" w:sz="4" w:space="0" w:color="auto"/>
            </w:tcBorders>
            <w:shd w:val="clear" w:color="auto" w:fill="auto"/>
            <w:noWrap/>
            <w:hideMark/>
          </w:tcPr>
          <w:p w14:paraId="6B6C6E8F"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2798" w:type="dxa"/>
            <w:tcBorders>
              <w:top w:val="single" w:sz="4" w:space="0" w:color="auto"/>
              <w:left w:val="nil"/>
              <w:bottom w:val="single" w:sz="4" w:space="0" w:color="auto"/>
              <w:right w:val="single" w:sz="4" w:space="0" w:color="auto"/>
            </w:tcBorders>
            <w:shd w:val="clear" w:color="auto" w:fill="auto"/>
            <w:noWrap/>
            <w:hideMark/>
          </w:tcPr>
          <w:p w14:paraId="39DA52C5"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1408" w:type="dxa"/>
            <w:tcBorders>
              <w:top w:val="single" w:sz="4" w:space="0" w:color="auto"/>
              <w:left w:val="nil"/>
              <w:bottom w:val="single" w:sz="4" w:space="0" w:color="auto"/>
              <w:right w:val="single" w:sz="4" w:space="0" w:color="auto"/>
            </w:tcBorders>
            <w:shd w:val="clear" w:color="auto" w:fill="auto"/>
            <w:noWrap/>
            <w:hideMark/>
          </w:tcPr>
          <w:p w14:paraId="07A61BEC"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 </w:t>
            </w:r>
          </w:p>
        </w:tc>
        <w:tc>
          <w:tcPr>
            <w:tcW w:w="1126" w:type="dxa"/>
            <w:tcBorders>
              <w:top w:val="single" w:sz="4" w:space="0" w:color="auto"/>
              <w:left w:val="nil"/>
              <w:bottom w:val="single" w:sz="4" w:space="0" w:color="auto"/>
              <w:right w:val="single" w:sz="4" w:space="0" w:color="auto"/>
            </w:tcBorders>
            <w:shd w:val="clear" w:color="auto" w:fill="auto"/>
            <w:noWrap/>
            <w:hideMark/>
          </w:tcPr>
          <w:p w14:paraId="0A89E3BC"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 </w:t>
            </w:r>
          </w:p>
        </w:tc>
        <w:tc>
          <w:tcPr>
            <w:tcW w:w="1129" w:type="dxa"/>
            <w:tcBorders>
              <w:top w:val="single" w:sz="4" w:space="0" w:color="auto"/>
              <w:left w:val="nil"/>
              <w:bottom w:val="single" w:sz="4" w:space="0" w:color="auto"/>
              <w:right w:val="single" w:sz="4" w:space="0" w:color="auto"/>
            </w:tcBorders>
            <w:shd w:val="clear" w:color="auto" w:fill="auto"/>
            <w:noWrap/>
            <w:hideMark/>
          </w:tcPr>
          <w:p w14:paraId="66F26335"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b/>
                <w:bCs/>
                <w:sz w:val="20"/>
                <w:lang w:eastAsia="zh-CN"/>
              </w:rPr>
              <w:t>40 480,00</w:t>
            </w:r>
          </w:p>
        </w:tc>
      </w:tr>
    </w:tbl>
    <w:p w14:paraId="318D8630" w14:textId="77777777" w:rsidR="00D215BD" w:rsidRPr="001314CA" w:rsidRDefault="00D215BD" w:rsidP="00D215BD"/>
    <w:tbl>
      <w:tblPr>
        <w:tblW w:w="9920" w:type="dxa"/>
        <w:jc w:val="center"/>
        <w:tblLayout w:type="fixed"/>
        <w:tblLook w:val="04A0" w:firstRow="1" w:lastRow="0" w:firstColumn="1" w:lastColumn="0" w:noHBand="0" w:noVBand="1"/>
        <w:tblCaption w:val="E"/>
      </w:tblPr>
      <w:tblGrid>
        <w:gridCol w:w="1269"/>
        <w:gridCol w:w="2184"/>
        <w:gridCol w:w="2785"/>
        <w:gridCol w:w="1428"/>
        <w:gridCol w:w="1134"/>
        <w:gridCol w:w="1120"/>
      </w:tblGrid>
      <w:tr w:rsidR="00D215BD" w:rsidRPr="001314CA" w14:paraId="76959A6D" w14:textId="77777777" w:rsidTr="00D215BD">
        <w:trPr>
          <w:trHeight w:val="300"/>
          <w:jc w:val="center"/>
        </w:trPr>
        <w:tc>
          <w:tcPr>
            <w:tcW w:w="1269" w:type="dxa"/>
            <w:tcBorders>
              <w:top w:val="single" w:sz="4" w:space="0" w:color="auto"/>
              <w:left w:val="single" w:sz="4" w:space="0" w:color="auto"/>
              <w:bottom w:val="single" w:sz="4" w:space="0" w:color="auto"/>
              <w:right w:val="single" w:sz="4" w:space="0" w:color="auto"/>
            </w:tcBorders>
            <w:shd w:val="clear" w:color="auto" w:fill="auto"/>
            <w:noWrap/>
            <w:hideMark/>
          </w:tcPr>
          <w:p w14:paraId="1D619F34"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Événement</w:t>
            </w:r>
          </w:p>
        </w:tc>
        <w:tc>
          <w:tcPr>
            <w:tcW w:w="2184" w:type="dxa"/>
            <w:tcBorders>
              <w:top w:val="single" w:sz="4" w:space="0" w:color="auto"/>
              <w:left w:val="nil"/>
              <w:bottom w:val="single" w:sz="4" w:space="0" w:color="auto"/>
              <w:right w:val="single" w:sz="4" w:space="0" w:color="auto"/>
            </w:tcBorders>
            <w:shd w:val="clear" w:color="auto" w:fill="auto"/>
            <w:noWrap/>
            <w:hideMark/>
          </w:tcPr>
          <w:p w14:paraId="45255778"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Pays</w:t>
            </w:r>
          </w:p>
        </w:tc>
        <w:tc>
          <w:tcPr>
            <w:tcW w:w="2785" w:type="dxa"/>
            <w:tcBorders>
              <w:top w:val="single" w:sz="4" w:space="0" w:color="auto"/>
              <w:left w:val="nil"/>
              <w:bottom w:val="single" w:sz="4" w:space="0" w:color="auto"/>
              <w:right w:val="single" w:sz="4" w:space="0" w:color="auto"/>
            </w:tcBorders>
            <w:shd w:val="clear" w:color="auto" w:fill="auto"/>
            <w:noWrap/>
            <w:hideMark/>
          </w:tcPr>
          <w:p w14:paraId="44997EAB"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Entité</w:t>
            </w:r>
          </w:p>
        </w:tc>
        <w:tc>
          <w:tcPr>
            <w:tcW w:w="1428" w:type="dxa"/>
            <w:tcBorders>
              <w:top w:val="single" w:sz="4" w:space="0" w:color="auto"/>
              <w:left w:val="nil"/>
              <w:bottom w:val="single" w:sz="4" w:space="0" w:color="auto"/>
              <w:right w:val="single" w:sz="4" w:space="0" w:color="auto"/>
            </w:tcBorders>
            <w:shd w:val="clear" w:color="auto" w:fill="auto"/>
            <w:noWrap/>
            <w:hideMark/>
          </w:tcPr>
          <w:p w14:paraId="4F9D4B6C"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Montant facturé</w:t>
            </w:r>
          </w:p>
        </w:tc>
        <w:tc>
          <w:tcPr>
            <w:tcW w:w="1134" w:type="dxa"/>
            <w:tcBorders>
              <w:top w:val="single" w:sz="4" w:space="0" w:color="auto"/>
              <w:left w:val="nil"/>
              <w:bottom w:val="single" w:sz="4" w:space="0" w:color="auto"/>
              <w:right w:val="single" w:sz="4" w:space="0" w:color="auto"/>
            </w:tcBorders>
            <w:shd w:val="clear" w:color="auto" w:fill="auto"/>
            <w:noWrap/>
            <w:hideMark/>
          </w:tcPr>
          <w:p w14:paraId="60635E40"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Paiement reçu</w:t>
            </w:r>
          </w:p>
        </w:tc>
        <w:tc>
          <w:tcPr>
            <w:tcW w:w="1120" w:type="dxa"/>
            <w:tcBorders>
              <w:top w:val="single" w:sz="4" w:space="0" w:color="auto"/>
              <w:left w:val="nil"/>
              <w:bottom w:val="single" w:sz="4" w:space="0" w:color="auto"/>
              <w:right w:val="single" w:sz="4" w:space="0" w:color="auto"/>
            </w:tcBorders>
            <w:shd w:val="clear" w:color="auto" w:fill="auto"/>
            <w:noWrap/>
            <w:hideMark/>
          </w:tcPr>
          <w:p w14:paraId="5F23AC4B"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Restant dû</w:t>
            </w:r>
          </w:p>
        </w:tc>
      </w:tr>
      <w:tr w:rsidR="00D215BD" w:rsidRPr="001314CA" w14:paraId="09993AAE" w14:textId="77777777" w:rsidTr="00D215BD">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645237FD"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413AD06F" w14:textId="77777777" w:rsidR="00D215BD" w:rsidRPr="001314CA" w:rsidRDefault="00D215BD" w:rsidP="00D215BD">
            <w:pPr>
              <w:tabs>
                <w:tab w:val="clear" w:pos="567"/>
                <w:tab w:val="clear" w:pos="1134"/>
                <w:tab w:val="clear" w:pos="1701"/>
                <w:tab w:val="clear" w:pos="2268"/>
                <w:tab w:val="clear" w:pos="2835"/>
              </w:tabs>
              <w:spacing w:before="0"/>
              <w:rPr>
                <w:rFonts w:cs="Arial"/>
                <w:sz w:val="20"/>
                <w:lang w:eastAsia="zh-CN"/>
              </w:rPr>
            </w:pPr>
            <w:r w:rsidRPr="001314CA">
              <w:rPr>
                <w:rFonts w:cs="Arial"/>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085AFEE8" w14:textId="77777777" w:rsidR="00D215BD" w:rsidRPr="001314CA" w:rsidRDefault="00D215BD" w:rsidP="00D215BD">
            <w:pPr>
              <w:tabs>
                <w:tab w:val="clear" w:pos="567"/>
                <w:tab w:val="clear" w:pos="1134"/>
                <w:tab w:val="clear" w:pos="1701"/>
                <w:tab w:val="clear" w:pos="2268"/>
                <w:tab w:val="clear" w:pos="2835"/>
              </w:tabs>
              <w:spacing w:before="0"/>
              <w:rPr>
                <w:rFonts w:cs="Arial"/>
                <w:sz w:val="20"/>
                <w:lang w:eastAsia="zh-CN"/>
              </w:rPr>
            </w:pPr>
            <w:r w:rsidRPr="001314CA">
              <w:rPr>
                <w:rFonts w:cs="Arial"/>
                <w:sz w:val="20"/>
                <w:lang w:eastAsia="zh-CN"/>
              </w:rPr>
              <w:t xml:space="preserve">Consulat des </w:t>
            </w:r>
            <w:r w:rsidRPr="00CE7DA7">
              <w:rPr>
                <w:rFonts w:cs="Arial"/>
                <w:caps/>
                <w:sz w:val="20"/>
                <w:lang w:eastAsia="zh-CN"/>
              </w:rPr>
              <w:t>é</w:t>
            </w:r>
            <w:r w:rsidRPr="001314CA">
              <w:rPr>
                <w:rFonts w:cs="Arial"/>
                <w:sz w:val="20"/>
                <w:lang w:eastAsia="zh-CN"/>
              </w:rPr>
              <w:t>tats-Unis à Hong Kong</w:t>
            </w:r>
          </w:p>
        </w:tc>
        <w:tc>
          <w:tcPr>
            <w:tcW w:w="1428" w:type="dxa"/>
            <w:tcBorders>
              <w:top w:val="nil"/>
              <w:left w:val="nil"/>
              <w:bottom w:val="single" w:sz="4" w:space="0" w:color="auto"/>
              <w:right w:val="single" w:sz="4" w:space="0" w:color="auto"/>
            </w:tcBorders>
            <w:shd w:val="clear" w:color="auto" w:fill="auto"/>
            <w:noWrap/>
            <w:hideMark/>
          </w:tcPr>
          <w:p w14:paraId="25F1AFD2" w14:textId="77777777" w:rsidR="00D215BD" w:rsidRPr="001314CA" w:rsidRDefault="00D215BD" w:rsidP="00D215BD">
            <w:pPr>
              <w:tabs>
                <w:tab w:val="clear" w:pos="567"/>
                <w:tab w:val="clear" w:pos="1134"/>
                <w:tab w:val="clear" w:pos="1701"/>
                <w:tab w:val="clear" w:pos="2268"/>
                <w:tab w:val="clear" w:pos="2835"/>
              </w:tabs>
              <w:spacing w:before="0"/>
              <w:jc w:val="right"/>
              <w:rPr>
                <w:rFonts w:cs="Arial"/>
                <w:sz w:val="20"/>
                <w:lang w:eastAsia="zh-CN"/>
              </w:rPr>
            </w:pPr>
            <w:r w:rsidRPr="001314CA">
              <w:rPr>
                <w:rFonts w:cs="Arial"/>
                <w:sz w:val="20"/>
                <w:lang w:eastAsia="zh-CN"/>
              </w:rPr>
              <w:t>400,00</w:t>
            </w:r>
          </w:p>
        </w:tc>
        <w:tc>
          <w:tcPr>
            <w:tcW w:w="1134" w:type="dxa"/>
            <w:tcBorders>
              <w:top w:val="nil"/>
              <w:left w:val="nil"/>
              <w:bottom w:val="single" w:sz="4" w:space="0" w:color="auto"/>
              <w:right w:val="single" w:sz="4" w:space="0" w:color="auto"/>
            </w:tcBorders>
            <w:shd w:val="clear" w:color="auto" w:fill="auto"/>
            <w:noWrap/>
            <w:hideMark/>
          </w:tcPr>
          <w:p w14:paraId="43F2E534" w14:textId="77777777" w:rsidR="00D215BD" w:rsidRPr="001314CA" w:rsidRDefault="00D215BD" w:rsidP="00D215BD">
            <w:pPr>
              <w:tabs>
                <w:tab w:val="clear" w:pos="567"/>
                <w:tab w:val="clear" w:pos="1134"/>
                <w:tab w:val="clear" w:pos="1701"/>
                <w:tab w:val="clear" w:pos="2268"/>
                <w:tab w:val="clear" w:pos="2835"/>
              </w:tabs>
              <w:spacing w:before="0"/>
              <w:jc w:val="right"/>
              <w:rPr>
                <w:rFonts w:cs="Arial"/>
                <w:sz w:val="20"/>
                <w:lang w:eastAsia="zh-CN"/>
              </w:rPr>
            </w:pPr>
            <w:r w:rsidRPr="001314CA">
              <w:rPr>
                <w:rFonts w:cs="Arial"/>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584FD488" w14:textId="77777777" w:rsidR="00D215BD" w:rsidRPr="001314CA" w:rsidRDefault="00D215BD" w:rsidP="00D215BD">
            <w:pPr>
              <w:tabs>
                <w:tab w:val="clear" w:pos="567"/>
                <w:tab w:val="clear" w:pos="1134"/>
                <w:tab w:val="clear" w:pos="1701"/>
                <w:tab w:val="clear" w:pos="2268"/>
                <w:tab w:val="clear" w:pos="2835"/>
              </w:tabs>
              <w:spacing w:before="0"/>
              <w:jc w:val="right"/>
              <w:rPr>
                <w:rFonts w:cs="Arial"/>
                <w:sz w:val="20"/>
                <w:lang w:eastAsia="zh-CN"/>
              </w:rPr>
            </w:pPr>
            <w:r w:rsidRPr="001314CA">
              <w:rPr>
                <w:rFonts w:cs="Arial"/>
                <w:sz w:val="20"/>
                <w:lang w:eastAsia="zh-CN"/>
              </w:rPr>
              <w:t>400,00</w:t>
            </w:r>
          </w:p>
        </w:tc>
      </w:tr>
      <w:tr w:rsidR="00D215BD" w:rsidRPr="001314CA" w14:paraId="41CD7A23" w14:textId="77777777" w:rsidTr="00D215BD">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566CCD72"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27127D03"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0B529377"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roofErr w:type="spellStart"/>
            <w:r w:rsidRPr="001314CA">
              <w:rPr>
                <w:sz w:val="20"/>
                <w:lang w:eastAsia="zh-CN"/>
              </w:rPr>
              <w:t>ChongQing</w:t>
            </w:r>
            <w:proofErr w:type="spellEnd"/>
            <w:r w:rsidRPr="001314CA">
              <w:rPr>
                <w:sz w:val="20"/>
                <w:lang w:eastAsia="zh-CN"/>
              </w:rPr>
              <w:t xml:space="preserve"> Chong You</w:t>
            </w:r>
          </w:p>
        </w:tc>
        <w:tc>
          <w:tcPr>
            <w:tcW w:w="1428" w:type="dxa"/>
            <w:tcBorders>
              <w:top w:val="nil"/>
              <w:left w:val="nil"/>
              <w:bottom w:val="single" w:sz="4" w:space="0" w:color="auto"/>
              <w:right w:val="single" w:sz="4" w:space="0" w:color="auto"/>
            </w:tcBorders>
            <w:shd w:val="clear" w:color="auto" w:fill="auto"/>
            <w:noWrap/>
            <w:hideMark/>
          </w:tcPr>
          <w:p w14:paraId="79EFF89F"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7 200,00</w:t>
            </w:r>
          </w:p>
        </w:tc>
        <w:tc>
          <w:tcPr>
            <w:tcW w:w="1134" w:type="dxa"/>
            <w:tcBorders>
              <w:top w:val="nil"/>
              <w:left w:val="nil"/>
              <w:bottom w:val="single" w:sz="4" w:space="0" w:color="auto"/>
              <w:right w:val="single" w:sz="4" w:space="0" w:color="auto"/>
            </w:tcBorders>
            <w:shd w:val="clear" w:color="auto" w:fill="auto"/>
            <w:noWrap/>
            <w:hideMark/>
          </w:tcPr>
          <w:p w14:paraId="0621D50A"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5AF69C0D"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7 200,00</w:t>
            </w:r>
          </w:p>
        </w:tc>
      </w:tr>
      <w:tr w:rsidR="00D215BD" w:rsidRPr="001314CA" w14:paraId="1C44BA36" w14:textId="77777777" w:rsidTr="00D215BD">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02D35B46"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016135A5"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0953AAAD"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xml:space="preserve">Jiangxi </w:t>
            </w:r>
            <w:proofErr w:type="spellStart"/>
            <w:r w:rsidRPr="001314CA">
              <w:rPr>
                <w:sz w:val="20"/>
                <w:lang w:eastAsia="zh-CN"/>
              </w:rPr>
              <w:t>Lianchuang</w:t>
            </w:r>
            <w:proofErr w:type="spellEnd"/>
          </w:p>
        </w:tc>
        <w:tc>
          <w:tcPr>
            <w:tcW w:w="1428" w:type="dxa"/>
            <w:tcBorders>
              <w:top w:val="nil"/>
              <w:left w:val="nil"/>
              <w:bottom w:val="single" w:sz="4" w:space="0" w:color="auto"/>
              <w:right w:val="single" w:sz="4" w:space="0" w:color="auto"/>
            </w:tcBorders>
            <w:shd w:val="clear" w:color="auto" w:fill="auto"/>
            <w:noWrap/>
            <w:hideMark/>
          </w:tcPr>
          <w:p w14:paraId="69C76E01"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7 200,00</w:t>
            </w:r>
          </w:p>
        </w:tc>
        <w:tc>
          <w:tcPr>
            <w:tcW w:w="1134" w:type="dxa"/>
            <w:tcBorders>
              <w:top w:val="nil"/>
              <w:left w:val="nil"/>
              <w:bottom w:val="single" w:sz="4" w:space="0" w:color="auto"/>
              <w:right w:val="single" w:sz="4" w:space="0" w:color="auto"/>
            </w:tcBorders>
            <w:shd w:val="clear" w:color="auto" w:fill="auto"/>
            <w:noWrap/>
            <w:hideMark/>
          </w:tcPr>
          <w:p w14:paraId="22D40E2A"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3C30193B"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7 200,00</w:t>
            </w:r>
          </w:p>
        </w:tc>
      </w:tr>
      <w:tr w:rsidR="00D215BD" w:rsidRPr="001314CA" w14:paraId="08E84A88" w14:textId="77777777" w:rsidTr="00D215BD">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13A871ED"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40274F70"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3F1F5A53"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roofErr w:type="spellStart"/>
            <w:r w:rsidRPr="001314CA">
              <w:rPr>
                <w:sz w:val="20"/>
                <w:lang w:eastAsia="zh-CN"/>
              </w:rPr>
              <w:t>Naike</w:t>
            </w:r>
            <w:proofErr w:type="spellEnd"/>
            <w:r w:rsidRPr="001314CA">
              <w:rPr>
                <w:sz w:val="20"/>
                <w:lang w:eastAsia="zh-CN"/>
              </w:rPr>
              <w:t xml:space="preserve"> (HK) Digital</w:t>
            </w:r>
          </w:p>
        </w:tc>
        <w:tc>
          <w:tcPr>
            <w:tcW w:w="1428" w:type="dxa"/>
            <w:tcBorders>
              <w:top w:val="nil"/>
              <w:left w:val="nil"/>
              <w:bottom w:val="single" w:sz="4" w:space="0" w:color="auto"/>
              <w:right w:val="single" w:sz="4" w:space="0" w:color="auto"/>
            </w:tcBorders>
            <w:shd w:val="clear" w:color="auto" w:fill="auto"/>
            <w:noWrap/>
            <w:hideMark/>
          </w:tcPr>
          <w:p w14:paraId="30D8E570"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7 200,00</w:t>
            </w:r>
          </w:p>
        </w:tc>
        <w:tc>
          <w:tcPr>
            <w:tcW w:w="1134" w:type="dxa"/>
            <w:tcBorders>
              <w:top w:val="nil"/>
              <w:left w:val="nil"/>
              <w:bottom w:val="single" w:sz="4" w:space="0" w:color="auto"/>
              <w:right w:val="single" w:sz="4" w:space="0" w:color="auto"/>
            </w:tcBorders>
            <w:shd w:val="clear" w:color="auto" w:fill="auto"/>
            <w:noWrap/>
            <w:hideMark/>
          </w:tcPr>
          <w:p w14:paraId="0BE6D7E0"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31F46C37"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7 200,00</w:t>
            </w:r>
          </w:p>
        </w:tc>
      </w:tr>
      <w:tr w:rsidR="00D215BD" w:rsidRPr="001314CA" w14:paraId="7645193D" w14:textId="77777777" w:rsidTr="00D215BD">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528000FF"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13B31C51"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5952158F"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xml:space="preserve">Shenzhen </w:t>
            </w:r>
            <w:proofErr w:type="spellStart"/>
            <w:r w:rsidRPr="001314CA">
              <w:rPr>
                <w:sz w:val="20"/>
                <w:lang w:eastAsia="zh-CN"/>
              </w:rPr>
              <w:t>Orea</w:t>
            </w:r>
            <w:proofErr w:type="spellEnd"/>
            <w:r w:rsidRPr="001314CA">
              <w:rPr>
                <w:sz w:val="20"/>
                <w:lang w:eastAsia="zh-CN"/>
              </w:rPr>
              <w:t xml:space="preserve"> Design</w:t>
            </w:r>
          </w:p>
        </w:tc>
        <w:tc>
          <w:tcPr>
            <w:tcW w:w="1428" w:type="dxa"/>
            <w:tcBorders>
              <w:top w:val="nil"/>
              <w:left w:val="nil"/>
              <w:bottom w:val="single" w:sz="4" w:space="0" w:color="auto"/>
              <w:right w:val="single" w:sz="4" w:space="0" w:color="auto"/>
            </w:tcBorders>
            <w:shd w:val="clear" w:color="auto" w:fill="auto"/>
            <w:noWrap/>
            <w:hideMark/>
          </w:tcPr>
          <w:p w14:paraId="3D11E963"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3 600,00</w:t>
            </w:r>
          </w:p>
        </w:tc>
        <w:tc>
          <w:tcPr>
            <w:tcW w:w="1134" w:type="dxa"/>
            <w:tcBorders>
              <w:top w:val="nil"/>
              <w:left w:val="nil"/>
              <w:bottom w:val="single" w:sz="4" w:space="0" w:color="auto"/>
              <w:right w:val="single" w:sz="4" w:space="0" w:color="auto"/>
            </w:tcBorders>
            <w:shd w:val="clear" w:color="auto" w:fill="auto"/>
            <w:noWrap/>
            <w:hideMark/>
          </w:tcPr>
          <w:p w14:paraId="73335E04"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14AAC49B"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3 600,00</w:t>
            </w:r>
          </w:p>
        </w:tc>
      </w:tr>
      <w:tr w:rsidR="00D215BD" w:rsidRPr="001314CA" w14:paraId="79D46E03" w14:textId="77777777" w:rsidTr="00D215BD">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53E63C6F"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42A95128"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749B3568"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roofErr w:type="spellStart"/>
            <w:r w:rsidRPr="001314CA">
              <w:rPr>
                <w:sz w:val="20"/>
                <w:lang w:eastAsia="zh-CN"/>
              </w:rPr>
              <w:t>Sipnovo</w:t>
            </w:r>
            <w:proofErr w:type="spellEnd"/>
          </w:p>
        </w:tc>
        <w:tc>
          <w:tcPr>
            <w:tcW w:w="1428" w:type="dxa"/>
            <w:tcBorders>
              <w:top w:val="nil"/>
              <w:left w:val="nil"/>
              <w:bottom w:val="single" w:sz="4" w:space="0" w:color="auto"/>
              <w:right w:val="single" w:sz="4" w:space="0" w:color="auto"/>
            </w:tcBorders>
            <w:shd w:val="clear" w:color="auto" w:fill="auto"/>
            <w:noWrap/>
            <w:hideMark/>
          </w:tcPr>
          <w:p w14:paraId="015CDABC"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7 200,00</w:t>
            </w:r>
          </w:p>
        </w:tc>
        <w:tc>
          <w:tcPr>
            <w:tcW w:w="1134" w:type="dxa"/>
            <w:tcBorders>
              <w:top w:val="nil"/>
              <w:left w:val="nil"/>
              <w:bottom w:val="single" w:sz="4" w:space="0" w:color="auto"/>
              <w:right w:val="single" w:sz="4" w:space="0" w:color="auto"/>
            </w:tcBorders>
            <w:shd w:val="clear" w:color="auto" w:fill="auto"/>
            <w:noWrap/>
            <w:hideMark/>
          </w:tcPr>
          <w:p w14:paraId="62400CD3"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4E38F323"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7 200,00</w:t>
            </w:r>
          </w:p>
        </w:tc>
      </w:tr>
      <w:tr w:rsidR="00D215BD" w:rsidRPr="001314CA" w14:paraId="4CAED744" w14:textId="77777777" w:rsidTr="00D215BD">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658D634C"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7C273E56"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088F6062"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xml:space="preserve">Tiger </w:t>
            </w:r>
            <w:proofErr w:type="spellStart"/>
            <w:r w:rsidRPr="001314CA">
              <w:rPr>
                <w:sz w:val="20"/>
                <w:lang w:eastAsia="zh-CN"/>
              </w:rPr>
              <w:t>NetCom</w:t>
            </w:r>
            <w:proofErr w:type="spellEnd"/>
          </w:p>
        </w:tc>
        <w:tc>
          <w:tcPr>
            <w:tcW w:w="1428" w:type="dxa"/>
            <w:tcBorders>
              <w:top w:val="nil"/>
              <w:left w:val="nil"/>
              <w:bottom w:val="single" w:sz="4" w:space="0" w:color="auto"/>
              <w:right w:val="single" w:sz="4" w:space="0" w:color="auto"/>
            </w:tcBorders>
            <w:shd w:val="clear" w:color="auto" w:fill="auto"/>
            <w:noWrap/>
            <w:hideMark/>
          </w:tcPr>
          <w:p w14:paraId="7F713BE1"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3 150,00</w:t>
            </w:r>
          </w:p>
        </w:tc>
        <w:tc>
          <w:tcPr>
            <w:tcW w:w="1134" w:type="dxa"/>
            <w:tcBorders>
              <w:top w:val="nil"/>
              <w:left w:val="nil"/>
              <w:bottom w:val="single" w:sz="4" w:space="0" w:color="auto"/>
              <w:right w:val="single" w:sz="4" w:space="0" w:color="auto"/>
            </w:tcBorders>
            <w:shd w:val="clear" w:color="auto" w:fill="auto"/>
            <w:noWrap/>
            <w:hideMark/>
          </w:tcPr>
          <w:p w14:paraId="3613345B"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19CC463A"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3 150,00</w:t>
            </w:r>
          </w:p>
        </w:tc>
      </w:tr>
      <w:tr w:rsidR="00D215BD" w:rsidRPr="001314CA" w14:paraId="421F14EB" w14:textId="77777777" w:rsidTr="00D215BD">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6A852E62"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125147E9"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5340751C"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roofErr w:type="spellStart"/>
            <w:r w:rsidRPr="001314CA">
              <w:rPr>
                <w:sz w:val="20"/>
                <w:lang w:eastAsia="zh-CN"/>
              </w:rPr>
              <w:t>Vapel</w:t>
            </w:r>
            <w:proofErr w:type="spellEnd"/>
            <w:r w:rsidRPr="001314CA">
              <w:rPr>
                <w:sz w:val="20"/>
                <w:lang w:eastAsia="zh-CN"/>
              </w:rPr>
              <w:t xml:space="preserve"> Power</w:t>
            </w:r>
          </w:p>
        </w:tc>
        <w:tc>
          <w:tcPr>
            <w:tcW w:w="1428" w:type="dxa"/>
            <w:tcBorders>
              <w:top w:val="nil"/>
              <w:left w:val="nil"/>
              <w:bottom w:val="single" w:sz="4" w:space="0" w:color="auto"/>
              <w:right w:val="single" w:sz="4" w:space="0" w:color="auto"/>
            </w:tcBorders>
            <w:shd w:val="clear" w:color="auto" w:fill="auto"/>
            <w:noWrap/>
            <w:hideMark/>
          </w:tcPr>
          <w:p w14:paraId="6AD9873D"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4 800,00</w:t>
            </w:r>
          </w:p>
        </w:tc>
        <w:tc>
          <w:tcPr>
            <w:tcW w:w="1134" w:type="dxa"/>
            <w:tcBorders>
              <w:top w:val="nil"/>
              <w:left w:val="nil"/>
              <w:bottom w:val="single" w:sz="4" w:space="0" w:color="auto"/>
              <w:right w:val="single" w:sz="4" w:space="0" w:color="auto"/>
            </w:tcBorders>
            <w:shd w:val="clear" w:color="auto" w:fill="auto"/>
            <w:noWrap/>
            <w:hideMark/>
          </w:tcPr>
          <w:p w14:paraId="362627B9"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70CEA1B8"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4 800,00</w:t>
            </w:r>
          </w:p>
        </w:tc>
      </w:tr>
      <w:tr w:rsidR="00D215BD" w:rsidRPr="001314CA" w14:paraId="5D6DFA43" w14:textId="77777777" w:rsidTr="00D215BD">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tcPr>
          <w:p w14:paraId="3D7245A0"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p>
        </w:tc>
        <w:tc>
          <w:tcPr>
            <w:tcW w:w="2184" w:type="dxa"/>
            <w:tcBorders>
              <w:top w:val="nil"/>
              <w:left w:val="nil"/>
              <w:bottom w:val="single" w:sz="4" w:space="0" w:color="auto"/>
              <w:right w:val="single" w:sz="4" w:space="0" w:color="auto"/>
            </w:tcBorders>
            <w:shd w:val="clear" w:color="auto" w:fill="auto"/>
            <w:noWrap/>
          </w:tcPr>
          <w:p w14:paraId="63E5E530"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
        </w:tc>
        <w:tc>
          <w:tcPr>
            <w:tcW w:w="2785" w:type="dxa"/>
            <w:tcBorders>
              <w:top w:val="nil"/>
              <w:left w:val="nil"/>
              <w:bottom w:val="single" w:sz="4" w:space="0" w:color="auto"/>
              <w:right w:val="single" w:sz="4" w:space="0" w:color="auto"/>
            </w:tcBorders>
            <w:shd w:val="clear" w:color="auto" w:fill="auto"/>
            <w:noWrap/>
          </w:tcPr>
          <w:p w14:paraId="05964905"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
        </w:tc>
        <w:tc>
          <w:tcPr>
            <w:tcW w:w="1428" w:type="dxa"/>
            <w:tcBorders>
              <w:top w:val="nil"/>
              <w:left w:val="nil"/>
              <w:bottom w:val="single" w:sz="4" w:space="0" w:color="auto"/>
              <w:right w:val="single" w:sz="4" w:space="0" w:color="auto"/>
            </w:tcBorders>
            <w:shd w:val="clear" w:color="auto" w:fill="auto"/>
            <w:noWrap/>
          </w:tcPr>
          <w:p w14:paraId="717BEB7A"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134" w:type="dxa"/>
            <w:tcBorders>
              <w:top w:val="nil"/>
              <w:left w:val="nil"/>
              <w:bottom w:val="single" w:sz="4" w:space="0" w:color="auto"/>
              <w:right w:val="single" w:sz="4" w:space="0" w:color="auto"/>
            </w:tcBorders>
            <w:shd w:val="clear" w:color="auto" w:fill="auto"/>
            <w:noWrap/>
          </w:tcPr>
          <w:p w14:paraId="3A059D09"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120" w:type="dxa"/>
            <w:tcBorders>
              <w:top w:val="nil"/>
              <w:left w:val="nil"/>
              <w:bottom w:val="single" w:sz="4" w:space="0" w:color="auto"/>
              <w:right w:val="single" w:sz="4" w:space="0" w:color="auto"/>
            </w:tcBorders>
            <w:shd w:val="clear" w:color="auto" w:fill="auto"/>
            <w:noWrap/>
          </w:tcPr>
          <w:p w14:paraId="04662389"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r>
      <w:tr w:rsidR="00D215BD" w:rsidRPr="001314CA" w14:paraId="0B10148E" w14:textId="77777777" w:rsidTr="00D215BD">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5F26BEB8" w14:textId="77777777" w:rsidR="00D215BD" w:rsidRPr="001314CA" w:rsidRDefault="00D215BD" w:rsidP="00D215BD">
            <w:pPr>
              <w:tabs>
                <w:tab w:val="clear" w:pos="567"/>
                <w:tab w:val="clear" w:pos="1134"/>
                <w:tab w:val="clear" w:pos="1701"/>
                <w:tab w:val="clear" w:pos="2268"/>
                <w:tab w:val="clear" w:pos="2835"/>
              </w:tabs>
              <w:spacing w:before="0"/>
              <w:jc w:val="center"/>
              <w:rPr>
                <w:rFonts w:cs="Arial"/>
                <w:b/>
                <w:bCs/>
                <w:sz w:val="20"/>
                <w:lang w:eastAsia="zh-CN"/>
              </w:rPr>
            </w:pPr>
            <w:r w:rsidRPr="001314CA">
              <w:rPr>
                <w:rFonts w:cs="Arial"/>
                <w:b/>
                <w:bCs/>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6C6F85A3"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2785" w:type="dxa"/>
            <w:tcBorders>
              <w:top w:val="nil"/>
              <w:left w:val="nil"/>
              <w:bottom w:val="single" w:sz="4" w:space="0" w:color="auto"/>
              <w:right w:val="single" w:sz="4" w:space="0" w:color="auto"/>
            </w:tcBorders>
            <w:shd w:val="clear" w:color="auto" w:fill="auto"/>
            <w:noWrap/>
            <w:hideMark/>
          </w:tcPr>
          <w:p w14:paraId="0D66B488"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1428" w:type="dxa"/>
            <w:tcBorders>
              <w:top w:val="nil"/>
              <w:left w:val="nil"/>
              <w:bottom w:val="single" w:sz="4" w:space="0" w:color="auto"/>
              <w:right w:val="single" w:sz="4" w:space="0" w:color="auto"/>
            </w:tcBorders>
            <w:shd w:val="clear" w:color="auto" w:fill="auto"/>
            <w:noWrap/>
            <w:hideMark/>
          </w:tcPr>
          <w:p w14:paraId="382871B1"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 </w:t>
            </w:r>
          </w:p>
        </w:tc>
        <w:tc>
          <w:tcPr>
            <w:tcW w:w="1134" w:type="dxa"/>
            <w:tcBorders>
              <w:top w:val="nil"/>
              <w:left w:val="nil"/>
              <w:bottom w:val="single" w:sz="4" w:space="0" w:color="auto"/>
              <w:right w:val="single" w:sz="4" w:space="0" w:color="auto"/>
            </w:tcBorders>
            <w:shd w:val="clear" w:color="auto" w:fill="auto"/>
            <w:noWrap/>
            <w:hideMark/>
          </w:tcPr>
          <w:p w14:paraId="029E5431" w14:textId="77777777" w:rsidR="00D215BD" w:rsidRPr="001314CA" w:rsidRDefault="00D215BD" w:rsidP="00D215BD">
            <w:pPr>
              <w:tabs>
                <w:tab w:val="clear" w:pos="567"/>
                <w:tab w:val="clear" w:pos="1134"/>
                <w:tab w:val="clear" w:pos="1701"/>
                <w:tab w:val="clear" w:pos="2268"/>
                <w:tab w:val="clear" w:pos="2835"/>
              </w:tabs>
              <w:spacing w:before="0"/>
              <w:jc w:val="right"/>
              <w:rPr>
                <w:rFonts w:cs="Arial"/>
                <w:b/>
                <w:bCs/>
                <w:sz w:val="20"/>
                <w:lang w:eastAsia="zh-CN"/>
              </w:rPr>
            </w:pPr>
            <w:r w:rsidRPr="001314CA">
              <w:rPr>
                <w:rFonts w:cs="Arial"/>
                <w:b/>
                <w:bCs/>
                <w:sz w:val="20"/>
                <w:lang w:eastAsia="zh-CN"/>
              </w:rPr>
              <w:t> </w:t>
            </w:r>
          </w:p>
        </w:tc>
        <w:tc>
          <w:tcPr>
            <w:tcW w:w="1120" w:type="dxa"/>
            <w:tcBorders>
              <w:top w:val="nil"/>
              <w:left w:val="nil"/>
              <w:bottom w:val="single" w:sz="4" w:space="0" w:color="auto"/>
              <w:right w:val="single" w:sz="4" w:space="0" w:color="auto"/>
            </w:tcBorders>
            <w:shd w:val="clear" w:color="auto" w:fill="auto"/>
            <w:noWrap/>
            <w:hideMark/>
          </w:tcPr>
          <w:p w14:paraId="0F109AD2" w14:textId="77777777" w:rsidR="00D215BD" w:rsidRPr="001314CA" w:rsidRDefault="00D215BD" w:rsidP="00D215BD">
            <w:pPr>
              <w:tabs>
                <w:tab w:val="clear" w:pos="567"/>
                <w:tab w:val="clear" w:pos="1134"/>
                <w:tab w:val="clear" w:pos="1701"/>
                <w:tab w:val="clear" w:pos="2268"/>
                <w:tab w:val="clear" w:pos="2835"/>
              </w:tabs>
              <w:spacing w:before="0"/>
              <w:jc w:val="right"/>
              <w:rPr>
                <w:rFonts w:cs="Arial"/>
                <w:b/>
                <w:bCs/>
                <w:sz w:val="20"/>
                <w:lang w:eastAsia="zh-CN"/>
              </w:rPr>
            </w:pPr>
            <w:r w:rsidRPr="001314CA">
              <w:rPr>
                <w:rFonts w:cs="Arial"/>
                <w:b/>
                <w:bCs/>
                <w:sz w:val="20"/>
                <w:lang w:eastAsia="zh-CN"/>
              </w:rPr>
              <w:t>40 750,00</w:t>
            </w:r>
          </w:p>
        </w:tc>
      </w:tr>
    </w:tbl>
    <w:p w14:paraId="02F140CA" w14:textId="77777777" w:rsidR="00D215BD" w:rsidRPr="001314CA" w:rsidRDefault="00D215BD" w:rsidP="00D215BD"/>
    <w:tbl>
      <w:tblPr>
        <w:tblW w:w="9913" w:type="dxa"/>
        <w:jc w:val="center"/>
        <w:tblLayout w:type="fixed"/>
        <w:tblLook w:val="04A0" w:firstRow="1" w:lastRow="0" w:firstColumn="1" w:lastColumn="0" w:noHBand="0" w:noVBand="1"/>
        <w:tblCaption w:val="E"/>
      </w:tblPr>
      <w:tblGrid>
        <w:gridCol w:w="1251"/>
        <w:gridCol w:w="2202"/>
        <w:gridCol w:w="2785"/>
        <w:gridCol w:w="1428"/>
        <w:gridCol w:w="1134"/>
        <w:gridCol w:w="1113"/>
      </w:tblGrid>
      <w:tr w:rsidR="00D215BD" w:rsidRPr="001314CA" w14:paraId="5A1BF099" w14:textId="77777777" w:rsidTr="00D215BD">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14:paraId="7C4F3782"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Événement</w:t>
            </w:r>
          </w:p>
        </w:tc>
        <w:tc>
          <w:tcPr>
            <w:tcW w:w="2202" w:type="dxa"/>
            <w:tcBorders>
              <w:top w:val="single" w:sz="4" w:space="0" w:color="auto"/>
              <w:left w:val="nil"/>
              <w:bottom w:val="single" w:sz="4" w:space="0" w:color="auto"/>
              <w:right w:val="single" w:sz="4" w:space="0" w:color="auto"/>
            </w:tcBorders>
            <w:shd w:val="clear" w:color="auto" w:fill="auto"/>
            <w:noWrap/>
            <w:hideMark/>
          </w:tcPr>
          <w:p w14:paraId="061163EE"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Pays</w:t>
            </w:r>
          </w:p>
        </w:tc>
        <w:tc>
          <w:tcPr>
            <w:tcW w:w="2785" w:type="dxa"/>
            <w:tcBorders>
              <w:top w:val="single" w:sz="4" w:space="0" w:color="auto"/>
              <w:left w:val="nil"/>
              <w:bottom w:val="single" w:sz="4" w:space="0" w:color="auto"/>
              <w:right w:val="single" w:sz="4" w:space="0" w:color="auto"/>
            </w:tcBorders>
            <w:shd w:val="clear" w:color="auto" w:fill="auto"/>
            <w:noWrap/>
            <w:hideMark/>
          </w:tcPr>
          <w:p w14:paraId="643342A7"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Entité</w:t>
            </w:r>
          </w:p>
        </w:tc>
        <w:tc>
          <w:tcPr>
            <w:tcW w:w="1428" w:type="dxa"/>
            <w:tcBorders>
              <w:top w:val="single" w:sz="4" w:space="0" w:color="auto"/>
              <w:left w:val="nil"/>
              <w:bottom w:val="single" w:sz="4" w:space="0" w:color="auto"/>
              <w:right w:val="single" w:sz="4" w:space="0" w:color="auto"/>
            </w:tcBorders>
            <w:shd w:val="clear" w:color="auto" w:fill="auto"/>
            <w:noWrap/>
            <w:hideMark/>
          </w:tcPr>
          <w:p w14:paraId="1D90EC6B"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Montant facturé</w:t>
            </w:r>
          </w:p>
        </w:tc>
        <w:tc>
          <w:tcPr>
            <w:tcW w:w="1134" w:type="dxa"/>
            <w:tcBorders>
              <w:top w:val="single" w:sz="4" w:space="0" w:color="auto"/>
              <w:left w:val="nil"/>
              <w:bottom w:val="single" w:sz="4" w:space="0" w:color="auto"/>
              <w:right w:val="single" w:sz="4" w:space="0" w:color="auto"/>
            </w:tcBorders>
            <w:shd w:val="clear" w:color="auto" w:fill="auto"/>
            <w:noWrap/>
            <w:hideMark/>
          </w:tcPr>
          <w:p w14:paraId="5BCA7FFD"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Paiement reçu</w:t>
            </w:r>
          </w:p>
        </w:tc>
        <w:tc>
          <w:tcPr>
            <w:tcW w:w="1113" w:type="dxa"/>
            <w:tcBorders>
              <w:top w:val="single" w:sz="4" w:space="0" w:color="auto"/>
              <w:left w:val="nil"/>
              <w:bottom w:val="single" w:sz="4" w:space="0" w:color="auto"/>
              <w:right w:val="single" w:sz="4" w:space="0" w:color="auto"/>
            </w:tcBorders>
            <w:shd w:val="clear" w:color="auto" w:fill="auto"/>
            <w:noWrap/>
            <w:hideMark/>
          </w:tcPr>
          <w:p w14:paraId="029CF2D1"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Restant dû</w:t>
            </w:r>
          </w:p>
        </w:tc>
      </w:tr>
      <w:tr w:rsidR="00D215BD" w:rsidRPr="001314CA" w14:paraId="1338A4E8" w14:textId="77777777" w:rsidTr="00D215BD">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7CEA1205"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3AC24500"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CE7DA7">
              <w:rPr>
                <w:rFonts w:cs="Arial"/>
                <w:caps/>
                <w:sz w:val="20"/>
                <w:lang w:eastAsia="zh-CN"/>
              </w:rPr>
              <w:t>é</w:t>
            </w:r>
            <w:r w:rsidRPr="001314CA">
              <w:rPr>
                <w:sz w:val="20"/>
                <w:lang w:eastAsia="zh-CN"/>
              </w:rPr>
              <w:t>tats-Unis</w:t>
            </w:r>
          </w:p>
        </w:tc>
        <w:tc>
          <w:tcPr>
            <w:tcW w:w="2785" w:type="dxa"/>
            <w:tcBorders>
              <w:top w:val="nil"/>
              <w:left w:val="nil"/>
              <w:bottom w:val="single" w:sz="4" w:space="0" w:color="auto"/>
              <w:right w:val="single" w:sz="4" w:space="0" w:color="auto"/>
            </w:tcBorders>
            <w:shd w:val="clear" w:color="auto" w:fill="auto"/>
            <w:noWrap/>
            <w:hideMark/>
          </w:tcPr>
          <w:p w14:paraId="49DDDC27" w14:textId="77777777" w:rsidR="00D215BD" w:rsidRPr="00513163" w:rsidRDefault="00D215BD" w:rsidP="00D215BD">
            <w:pPr>
              <w:tabs>
                <w:tab w:val="clear" w:pos="567"/>
                <w:tab w:val="clear" w:pos="1134"/>
                <w:tab w:val="clear" w:pos="1701"/>
                <w:tab w:val="clear" w:pos="2268"/>
                <w:tab w:val="clear" w:pos="2835"/>
              </w:tabs>
              <w:spacing w:before="0"/>
              <w:rPr>
                <w:sz w:val="20"/>
                <w:lang w:val="en-US" w:eastAsia="zh-CN"/>
              </w:rPr>
            </w:pPr>
            <w:r w:rsidRPr="00513163">
              <w:rPr>
                <w:sz w:val="20"/>
                <w:lang w:val="en-US" w:eastAsia="zh-CN"/>
              </w:rPr>
              <w:t>E: Telesis Energy and Data</w:t>
            </w:r>
          </w:p>
        </w:tc>
        <w:tc>
          <w:tcPr>
            <w:tcW w:w="1428" w:type="dxa"/>
            <w:tcBorders>
              <w:top w:val="nil"/>
              <w:left w:val="nil"/>
              <w:bottom w:val="single" w:sz="4" w:space="0" w:color="auto"/>
              <w:right w:val="single" w:sz="4" w:space="0" w:color="auto"/>
            </w:tcBorders>
            <w:shd w:val="clear" w:color="auto" w:fill="auto"/>
            <w:noWrap/>
            <w:hideMark/>
          </w:tcPr>
          <w:p w14:paraId="5F53A520"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10 800,00</w:t>
            </w:r>
          </w:p>
        </w:tc>
        <w:tc>
          <w:tcPr>
            <w:tcW w:w="1134" w:type="dxa"/>
            <w:tcBorders>
              <w:top w:val="nil"/>
              <w:left w:val="nil"/>
              <w:bottom w:val="single" w:sz="4" w:space="0" w:color="auto"/>
              <w:right w:val="single" w:sz="4" w:space="0" w:color="auto"/>
            </w:tcBorders>
            <w:shd w:val="clear" w:color="auto" w:fill="auto"/>
            <w:noWrap/>
            <w:hideMark/>
          </w:tcPr>
          <w:p w14:paraId="26F2981D"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13" w:type="dxa"/>
            <w:tcBorders>
              <w:top w:val="nil"/>
              <w:left w:val="nil"/>
              <w:bottom w:val="single" w:sz="4" w:space="0" w:color="auto"/>
              <w:right w:val="single" w:sz="4" w:space="0" w:color="auto"/>
            </w:tcBorders>
            <w:shd w:val="clear" w:color="auto" w:fill="auto"/>
            <w:noWrap/>
            <w:hideMark/>
          </w:tcPr>
          <w:p w14:paraId="43C2620F"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10 800,00</w:t>
            </w:r>
          </w:p>
        </w:tc>
      </w:tr>
      <w:tr w:rsidR="00D215BD" w:rsidRPr="001314CA" w14:paraId="26C9DE9C" w14:textId="77777777" w:rsidTr="00D215BD">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7F1B0862"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4B1D88F8"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Inde</w:t>
            </w:r>
          </w:p>
        </w:tc>
        <w:tc>
          <w:tcPr>
            <w:tcW w:w="2785" w:type="dxa"/>
            <w:tcBorders>
              <w:top w:val="nil"/>
              <w:left w:val="nil"/>
              <w:bottom w:val="single" w:sz="4" w:space="0" w:color="auto"/>
              <w:right w:val="single" w:sz="4" w:space="0" w:color="auto"/>
            </w:tcBorders>
            <w:shd w:val="clear" w:color="auto" w:fill="auto"/>
            <w:noWrap/>
            <w:hideMark/>
          </w:tcPr>
          <w:p w14:paraId="471C6530" w14:textId="77777777" w:rsidR="00D215BD" w:rsidRPr="00513163" w:rsidRDefault="00D215BD" w:rsidP="00D215BD">
            <w:pPr>
              <w:tabs>
                <w:tab w:val="clear" w:pos="567"/>
                <w:tab w:val="clear" w:pos="1134"/>
                <w:tab w:val="clear" w:pos="1701"/>
                <w:tab w:val="clear" w:pos="2268"/>
                <w:tab w:val="clear" w:pos="2835"/>
              </w:tabs>
              <w:spacing w:before="0"/>
              <w:rPr>
                <w:sz w:val="20"/>
                <w:lang w:val="en-US" w:eastAsia="zh-CN"/>
              </w:rPr>
            </w:pPr>
            <w:r w:rsidRPr="00513163">
              <w:rPr>
                <w:sz w:val="20"/>
                <w:lang w:val="en-US" w:eastAsia="zh-CN"/>
              </w:rPr>
              <w:t>REVE Systems (S) Pte Ltd</w:t>
            </w:r>
          </w:p>
        </w:tc>
        <w:tc>
          <w:tcPr>
            <w:tcW w:w="1428" w:type="dxa"/>
            <w:tcBorders>
              <w:top w:val="nil"/>
              <w:left w:val="nil"/>
              <w:bottom w:val="single" w:sz="4" w:space="0" w:color="auto"/>
              <w:right w:val="single" w:sz="4" w:space="0" w:color="auto"/>
            </w:tcBorders>
            <w:shd w:val="clear" w:color="auto" w:fill="auto"/>
            <w:noWrap/>
            <w:hideMark/>
          </w:tcPr>
          <w:p w14:paraId="2762CD23"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10 800,00</w:t>
            </w:r>
          </w:p>
        </w:tc>
        <w:tc>
          <w:tcPr>
            <w:tcW w:w="1134" w:type="dxa"/>
            <w:tcBorders>
              <w:top w:val="nil"/>
              <w:left w:val="nil"/>
              <w:bottom w:val="single" w:sz="4" w:space="0" w:color="auto"/>
              <w:right w:val="single" w:sz="4" w:space="0" w:color="auto"/>
            </w:tcBorders>
            <w:shd w:val="clear" w:color="auto" w:fill="auto"/>
            <w:noWrap/>
            <w:hideMark/>
          </w:tcPr>
          <w:p w14:paraId="1464845F"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113" w:type="dxa"/>
            <w:tcBorders>
              <w:top w:val="nil"/>
              <w:left w:val="nil"/>
              <w:bottom w:val="single" w:sz="4" w:space="0" w:color="auto"/>
              <w:right w:val="single" w:sz="4" w:space="0" w:color="auto"/>
            </w:tcBorders>
            <w:shd w:val="clear" w:color="auto" w:fill="auto"/>
            <w:noWrap/>
            <w:hideMark/>
          </w:tcPr>
          <w:p w14:paraId="6F36DD04"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10 800,00</w:t>
            </w:r>
          </w:p>
        </w:tc>
      </w:tr>
      <w:tr w:rsidR="00D215BD" w:rsidRPr="001314CA" w14:paraId="3A8433C6" w14:textId="77777777" w:rsidTr="00D215BD">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296DDFC3"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772E148D"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CE7DA7">
              <w:rPr>
                <w:rFonts w:cs="Arial"/>
                <w:caps/>
                <w:sz w:val="20"/>
                <w:lang w:eastAsia="zh-CN"/>
              </w:rPr>
              <w:t>é</w:t>
            </w:r>
            <w:r w:rsidRPr="001314CA">
              <w:rPr>
                <w:sz w:val="20"/>
                <w:lang w:eastAsia="zh-CN"/>
              </w:rPr>
              <w:t>tats-Unis</w:t>
            </w:r>
          </w:p>
        </w:tc>
        <w:tc>
          <w:tcPr>
            <w:tcW w:w="2785" w:type="dxa"/>
            <w:tcBorders>
              <w:top w:val="nil"/>
              <w:left w:val="nil"/>
              <w:bottom w:val="single" w:sz="4" w:space="0" w:color="auto"/>
              <w:right w:val="single" w:sz="4" w:space="0" w:color="auto"/>
            </w:tcBorders>
            <w:shd w:val="clear" w:color="auto" w:fill="auto"/>
            <w:noWrap/>
            <w:hideMark/>
          </w:tcPr>
          <w:p w14:paraId="3DD767D3"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roofErr w:type="spellStart"/>
            <w:r w:rsidRPr="001314CA">
              <w:rPr>
                <w:sz w:val="20"/>
                <w:lang w:eastAsia="zh-CN"/>
              </w:rPr>
              <w:t>UTStarcom</w:t>
            </w:r>
            <w:proofErr w:type="spellEnd"/>
            <w:r w:rsidRPr="001314CA">
              <w:rPr>
                <w:sz w:val="20"/>
                <w:lang w:eastAsia="zh-CN"/>
              </w:rPr>
              <w:t xml:space="preserve"> Inc.</w:t>
            </w:r>
          </w:p>
        </w:tc>
        <w:tc>
          <w:tcPr>
            <w:tcW w:w="1428" w:type="dxa"/>
            <w:tcBorders>
              <w:top w:val="nil"/>
              <w:left w:val="nil"/>
              <w:bottom w:val="single" w:sz="4" w:space="0" w:color="auto"/>
              <w:right w:val="single" w:sz="4" w:space="0" w:color="auto"/>
            </w:tcBorders>
            <w:shd w:val="clear" w:color="auto" w:fill="auto"/>
            <w:noWrap/>
            <w:hideMark/>
          </w:tcPr>
          <w:p w14:paraId="0BB6D436"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94 050,00</w:t>
            </w:r>
          </w:p>
        </w:tc>
        <w:tc>
          <w:tcPr>
            <w:tcW w:w="1134" w:type="dxa"/>
            <w:tcBorders>
              <w:top w:val="nil"/>
              <w:left w:val="nil"/>
              <w:bottom w:val="single" w:sz="4" w:space="0" w:color="auto"/>
              <w:right w:val="single" w:sz="4" w:space="0" w:color="auto"/>
            </w:tcBorders>
            <w:shd w:val="clear" w:color="auto" w:fill="auto"/>
            <w:noWrap/>
            <w:hideMark/>
          </w:tcPr>
          <w:p w14:paraId="7FF7C4D3"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47 025,00</w:t>
            </w:r>
          </w:p>
        </w:tc>
        <w:tc>
          <w:tcPr>
            <w:tcW w:w="1113" w:type="dxa"/>
            <w:tcBorders>
              <w:top w:val="nil"/>
              <w:left w:val="nil"/>
              <w:bottom w:val="single" w:sz="4" w:space="0" w:color="auto"/>
              <w:right w:val="single" w:sz="4" w:space="0" w:color="auto"/>
            </w:tcBorders>
            <w:shd w:val="clear" w:color="auto" w:fill="auto"/>
            <w:noWrap/>
            <w:hideMark/>
          </w:tcPr>
          <w:p w14:paraId="5F46CF1B"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47 025,00</w:t>
            </w:r>
          </w:p>
        </w:tc>
      </w:tr>
      <w:tr w:rsidR="00D215BD" w:rsidRPr="001314CA" w14:paraId="5AB99E56" w14:textId="77777777" w:rsidTr="00D215BD">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tcPr>
          <w:p w14:paraId="7CC2FB28"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p>
        </w:tc>
        <w:tc>
          <w:tcPr>
            <w:tcW w:w="2202" w:type="dxa"/>
            <w:tcBorders>
              <w:top w:val="nil"/>
              <w:left w:val="nil"/>
              <w:bottom w:val="single" w:sz="4" w:space="0" w:color="auto"/>
              <w:right w:val="single" w:sz="4" w:space="0" w:color="auto"/>
            </w:tcBorders>
            <w:shd w:val="clear" w:color="auto" w:fill="auto"/>
            <w:noWrap/>
          </w:tcPr>
          <w:p w14:paraId="5F2A31A1"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
        </w:tc>
        <w:tc>
          <w:tcPr>
            <w:tcW w:w="2785" w:type="dxa"/>
            <w:tcBorders>
              <w:top w:val="nil"/>
              <w:left w:val="nil"/>
              <w:bottom w:val="single" w:sz="4" w:space="0" w:color="auto"/>
              <w:right w:val="single" w:sz="4" w:space="0" w:color="auto"/>
            </w:tcBorders>
            <w:shd w:val="clear" w:color="auto" w:fill="auto"/>
            <w:noWrap/>
          </w:tcPr>
          <w:p w14:paraId="70BED051"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
        </w:tc>
        <w:tc>
          <w:tcPr>
            <w:tcW w:w="1428" w:type="dxa"/>
            <w:tcBorders>
              <w:top w:val="nil"/>
              <w:left w:val="nil"/>
              <w:bottom w:val="single" w:sz="4" w:space="0" w:color="auto"/>
              <w:right w:val="single" w:sz="4" w:space="0" w:color="auto"/>
            </w:tcBorders>
            <w:shd w:val="clear" w:color="auto" w:fill="auto"/>
            <w:noWrap/>
          </w:tcPr>
          <w:p w14:paraId="634AA3AB"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134" w:type="dxa"/>
            <w:tcBorders>
              <w:top w:val="nil"/>
              <w:left w:val="nil"/>
              <w:bottom w:val="single" w:sz="4" w:space="0" w:color="auto"/>
              <w:right w:val="single" w:sz="4" w:space="0" w:color="auto"/>
            </w:tcBorders>
            <w:shd w:val="clear" w:color="auto" w:fill="auto"/>
            <w:noWrap/>
          </w:tcPr>
          <w:p w14:paraId="4175B4DB"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113" w:type="dxa"/>
            <w:tcBorders>
              <w:top w:val="nil"/>
              <w:left w:val="nil"/>
              <w:bottom w:val="single" w:sz="4" w:space="0" w:color="auto"/>
              <w:right w:val="single" w:sz="4" w:space="0" w:color="auto"/>
            </w:tcBorders>
            <w:shd w:val="clear" w:color="auto" w:fill="auto"/>
            <w:noWrap/>
          </w:tcPr>
          <w:p w14:paraId="5BA81850"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r>
      <w:tr w:rsidR="00D215BD" w:rsidRPr="001314CA" w14:paraId="6DF7F5EB" w14:textId="77777777" w:rsidTr="00D215BD">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1DFC2AF3" w14:textId="77777777" w:rsidR="00D215BD" w:rsidRPr="001314CA" w:rsidRDefault="00D215BD" w:rsidP="00D215BD">
            <w:pPr>
              <w:tabs>
                <w:tab w:val="clear" w:pos="567"/>
                <w:tab w:val="clear" w:pos="1134"/>
                <w:tab w:val="clear" w:pos="1701"/>
                <w:tab w:val="clear" w:pos="2268"/>
                <w:tab w:val="clear" w:pos="2835"/>
              </w:tabs>
              <w:spacing w:before="0"/>
              <w:jc w:val="center"/>
              <w:rPr>
                <w:rFonts w:cs="Arial"/>
                <w:b/>
                <w:bCs/>
                <w:sz w:val="20"/>
                <w:lang w:eastAsia="zh-CN"/>
              </w:rPr>
            </w:pPr>
            <w:r w:rsidRPr="001314CA">
              <w:rPr>
                <w:rFonts w:cs="Arial"/>
                <w:b/>
                <w:bCs/>
                <w:sz w:val="20"/>
                <w:lang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6E0880B8"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2785" w:type="dxa"/>
            <w:tcBorders>
              <w:top w:val="nil"/>
              <w:left w:val="nil"/>
              <w:bottom w:val="single" w:sz="4" w:space="0" w:color="auto"/>
              <w:right w:val="single" w:sz="4" w:space="0" w:color="auto"/>
            </w:tcBorders>
            <w:shd w:val="clear" w:color="auto" w:fill="auto"/>
            <w:noWrap/>
            <w:hideMark/>
          </w:tcPr>
          <w:p w14:paraId="573F07E1"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1428" w:type="dxa"/>
            <w:tcBorders>
              <w:top w:val="nil"/>
              <w:left w:val="nil"/>
              <w:bottom w:val="single" w:sz="4" w:space="0" w:color="auto"/>
              <w:right w:val="single" w:sz="4" w:space="0" w:color="auto"/>
            </w:tcBorders>
            <w:shd w:val="clear" w:color="auto" w:fill="auto"/>
            <w:noWrap/>
            <w:hideMark/>
          </w:tcPr>
          <w:p w14:paraId="281E3874"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 </w:t>
            </w:r>
          </w:p>
        </w:tc>
        <w:tc>
          <w:tcPr>
            <w:tcW w:w="1134" w:type="dxa"/>
            <w:tcBorders>
              <w:top w:val="nil"/>
              <w:left w:val="nil"/>
              <w:bottom w:val="single" w:sz="4" w:space="0" w:color="auto"/>
              <w:right w:val="single" w:sz="4" w:space="0" w:color="auto"/>
            </w:tcBorders>
            <w:shd w:val="clear" w:color="auto" w:fill="auto"/>
            <w:noWrap/>
            <w:hideMark/>
          </w:tcPr>
          <w:p w14:paraId="2A687B54"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b/>
                <w:bCs/>
                <w:sz w:val="20"/>
                <w:lang w:eastAsia="zh-CN"/>
              </w:rPr>
              <w:t> </w:t>
            </w:r>
          </w:p>
        </w:tc>
        <w:tc>
          <w:tcPr>
            <w:tcW w:w="1113" w:type="dxa"/>
            <w:tcBorders>
              <w:top w:val="nil"/>
              <w:left w:val="nil"/>
              <w:bottom w:val="single" w:sz="4" w:space="0" w:color="auto"/>
              <w:right w:val="single" w:sz="4" w:space="0" w:color="auto"/>
            </w:tcBorders>
            <w:shd w:val="clear" w:color="auto" w:fill="auto"/>
            <w:noWrap/>
            <w:hideMark/>
          </w:tcPr>
          <w:p w14:paraId="05502068"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b/>
                <w:bCs/>
                <w:sz w:val="20"/>
                <w:lang w:eastAsia="zh-CN"/>
              </w:rPr>
              <w:t>68 625,00</w:t>
            </w:r>
          </w:p>
        </w:tc>
      </w:tr>
    </w:tbl>
    <w:p w14:paraId="5CA224CA" w14:textId="77777777" w:rsidR="00D215BD" w:rsidRPr="001314CA" w:rsidRDefault="00D215BD" w:rsidP="00D215BD"/>
    <w:tbl>
      <w:tblPr>
        <w:tblW w:w="9906" w:type="dxa"/>
        <w:jc w:val="center"/>
        <w:tblLayout w:type="fixed"/>
        <w:tblLook w:val="04A0" w:firstRow="1" w:lastRow="0" w:firstColumn="1" w:lastColumn="0" w:noHBand="0" w:noVBand="1"/>
        <w:tblCaption w:val="E"/>
      </w:tblPr>
      <w:tblGrid>
        <w:gridCol w:w="1241"/>
        <w:gridCol w:w="2226"/>
        <w:gridCol w:w="2771"/>
        <w:gridCol w:w="1414"/>
        <w:gridCol w:w="1134"/>
        <w:gridCol w:w="1120"/>
      </w:tblGrid>
      <w:tr w:rsidR="00D215BD" w:rsidRPr="001314CA" w14:paraId="6A1E9AEB" w14:textId="77777777" w:rsidTr="00D215BD">
        <w:trPr>
          <w:trHeight w:val="300"/>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36A534A"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Événement</w:t>
            </w:r>
          </w:p>
        </w:tc>
        <w:tc>
          <w:tcPr>
            <w:tcW w:w="2226" w:type="dxa"/>
            <w:tcBorders>
              <w:top w:val="single" w:sz="4" w:space="0" w:color="auto"/>
              <w:left w:val="nil"/>
              <w:bottom w:val="single" w:sz="4" w:space="0" w:color="auto"/>
              <w:right w:val="single" w:sz="4" w:space="0" w:color="auto"/>
            </w:tcBorders>
            <w:shd w:val="clear" w:color="auto" w:fill="auto"/>
            <w:noWrap/>
            <w:hideMark/>
          </w:tcPr>
          <w:p w14:paraId="310A2C07"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Pays</w:t>
            </w:r>
          </w:p>
        </w:tc>
        <w:tc>
          <w:tcPr>
            <w:tcW w:w="2771" w:type="dxa"/>
            <w:tcBorders>
              <w:top w:val="single" w:sz="4" w:space="0" w:color="auto"/>
              <w:left w:val="nil"/>
              <w:bottom w:val="single" w:sz="4" w:space="0" w:color="auto"/>
              <w:right w:val="single" w:sz="4" w:space="0" w:color="auto"/>
            </w:tcBorders>
            <w:shd w:val="clear" w:color="auto" w:fill="auto"/>
            <w:noWrap/>
            <w:hideMark/>
          </w:tcPr>
          <w:p w14:paraId="6E47E2D4"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Entité</w:t>
            </w:r>
          </w:p>
        </w:tc>
        <w:tc>
          <w:tcPr>
            <w:tcW w:w="1414" w:type="dxa"/>
            <w:tcBorders>
              <w:top w:val="single" w:sz="4" w:space="0" w:color="auto"/>
              <w:left w:val="nil"/>
              <w:bottom w:val="single" w:sz="4" w:space="0" w:color="auto"/>
              <w:right w:val="single" w:sz="4" w:space="0" w:color="auto"/>
            </w:tcBorders>
            <w:shd w:val="clear" w:color="auto" w:fill="auto"/>
            <w:noWrap/>
            <w:hideMark/>
          </w:tcPr>
          <w:p w14:paraId="56D5DA7F"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Montant facturé</w:t>
            </w:r>
          </w:p>
        </w:tc>
        <w:tc>
          <w:tcPr>
            <w:tcW w:w="1134" w:type="dxa"/>
            <w:tcBorders>
              <w:top w:val="single" w:sz="4" w:space="0" w:color="auto"/>
              <w:left w:val="nil"/>
              <w:bottom w:val="single" w:sz="4" w:space="0" w:color="auto"/>
              <w:right w:val="single" w:sz="4" w:space="0" w:color="auto"/>
            </w:tcBorders>
            <w:shd w:val="clear" w:color="auto" w:fill="auto"/>
            <w:noWrap/>
            <w:hideMark/>
          </w:tcPr>
          <w:p w14:paraId="652C2129"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Paiement reçu</w:t>
            </w:r>
          </w:p>
        </w:tc>
        <w:tc>
          <w:tcPr>
            <w:tcW w:w="1120" w:type="dxa"/>
            <w:tcBorders>
              <w:top w:val="single" w:sz="4" w:space="0" w:color="auto"/>
              <w:left w:val="nil"/>
              <w:bottom w:val="single" w:sz="4" w:space="0" w:color="auto"/>
              <w:right w:val="single" w:sz="4" w:space="0" w:color="auto"/>
            </w:tcBorders>
            <w:shd w:val="clear" w:color="auto" w:fill="auto"/>
            <w:noWrap/>
            <w:hideMark/>
          </w:tcPr>
          <w:p w14:paraId="690118BB" w14:textId="77777777" w:rsidR="00D215BD" w:rsidRPr="001314CA" w:rsidRDefault="00D215BD" w:rsidP="00D215BD">
            <w:pPr>
              <w:tabs>
                <w:tab w:val="clear" w:pos="567"/>
                <w:tab w:val="clear" w:pos="1134"/>
                <w:tab w:val="clear" w:pos="1701"/>
                <w:tab w:val="clear" w:pos="2268"/>
                <w:tab w:val="clear" w:pos="2835"/>
              </w:tabs>
              <w:spacing w:before="0"/>
              <w:jc w:val="center"/>
              <w:rPr>
                <w:b/>
                <w:sz w:val="20"/>
                <w:lang w:eastAsia="zh-CN"/>
              </w:rPr>
            </w:pPr>
            <w:r w:rsidRPr="001314CA">
              <w:rPr>
                <w:b/>
                <w:sz w:val="20"/>
                <w:lang w:eastAsia="zh-CN"/>
              </w:rPr>
              <w:t>Restant dû</w:t>
            </w:r>
          </w:p>
        </w:tc>
      </w:tr>
      <w:tr w:rsidR="00D215BD" w:rsidRPr="001314CA" w14:paraId="6F73B9D2" w14:textId="77777777" w:rsidTr="00D215BD">
        <w:trPr>
          <w:trHeight w:val="300"/>
          <w:jc w:val="center"/>
        </w:trPr>
        <w:tc>
          <w:tcPr>
            <w:tcW w:w="1241" w:type="dxa"/>
            <w:tcBorders>
              <w:top w:val="nil"/>
              <w:left w:val="single" w:sz="4" w:space="0" w:color="auto"/>
              <w:bottom w:val="single" w:sz="4" w:space="0" w:color="auto"/>
              <w:right w:val="single" w:sz="4" w:space="0" w:color="auto"/>
            </w:tcBorders>
            <w:shd w:val="clear" w:color="auto" w:fill="auto"/>
            <w:noWrap/>
            <w:hideMark/>
          </w:tcPr>
          <w:p w14:paraId="332A132C"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2011</w:t>
            </w:r>
          </w:p>
        </w:tc>
        <w:tc>
          <w:tcPr>
            <w:tcW w:w="2226" w:type="dxa"/>
            <w:tcBorders>
              <w:top w:val="nil"/>
              <w:left w:val="nil"/>
              <w:bottom w:val="single" w:sz="4" w:space="0" w:color="auto"/>
              <w:right w:val="single" w:sz="4" w:space="0" w:color="auto"/>
            </w:tcBorders>
            <w:shd w:val="clear" w:color="auto" w:fill="auto"/>
            <w:noWrap/>
            <w:hideMark/>
          </w:tcPr>
          <w:p w14:paraId="702E44BD"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Suisse</w:t>
            </w:r>
          </w:p>
        </w:tc>
        <w:tc>
          <w:tcPr>
            <w:tcW w:w="2771" w:type="dxa"/>
            <w:tcBorders>
              <w:top w:val="nil"/>
              <w:left w:val="nil"/>
              <w:bottom w:val="single" w:sz="4" w:space="0" w:color="auto"/>
              <w:right w:val="single" w:sz="4" w:space="0" w:color="auto"/>
            </w:tcBorders>
            <w:shd w:val="clear" w:color="auto" w:fill="auto"/>
            <w:noWrap/>
            <w:hideMark/>
          </w:tcPr>
          <w:p w14:paraId="3A100AFC"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Client World 2011</w:t>
            </w:r>
          </w:p>
        </w:tc>
        <w:tc>
          <w:tcPr>
            <w:tcW w:w="1414" w:type="dxa"/>
            <w:tcBorders>
              <w:top w:val="nil"/>
              <w:left w:val="nil"/>
              <w:bottom w:val="single" w:sz="4" w:space="0" w:color="auto"/>
              <w:right w:val="single" w:sz="4" w:space="0" w:color="auto"/>
            </w:tcBorders>
            <w:shd w:val="clear" w:color="auto" w:fill="auto"/>
            <w:noWrap/>
            <w:hideMark/>
          </w:tcPr>
          <w:p w14:paraId="148236FF"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203 243,05</w:t>
            </w:r>
          </w:p>
        </w:tc>
        <w:tc>
          <w:tcPr>
            <w:tcW w:w="1134" w:type="dxa"/>
            <w:tcBorders>
              <w:top w:val="nil"/>
              <w:left w:val="nil"/>
              <w:bottom w:val="single" w:sz="4" w:space="0" w:color="auto"/>
              <w:right w:val="single" w:sz="4" w:space="0" w:color="auto"/>
            </w:tcBorders>
            <w:shd w:val="clear" w:color="auto" w:fill="auto"/>
            <w:noWrap/>
            <w:hideMark/>
          </w:tcPr>
          <w:p w14:paraId="6284991F"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194 643,25</w:t>
            </w:r>
          </w:p>
        </w:tc>
        <w:tc>
          <w:tcPr>
            <w:tcW w:w="1120" w:type="dxa"/>
            <w:tcBorders>
              <w:top w:val="nil"/>
              <w:left w:val="nil"/>
              <w:bottom w:val="single" w:sz="4" w:space="0" w:color="auto"/>
              <w:right w:val="single" w:sz="4" w:space="0" w:color="auto"/>
            </w:tcBorders>
            <w:shd w:val="clear" w:color="auto" w:fill="auto"/>
            <w:noWrap/>
            <w:hideMark/>
          </w:tcPr>
          <w:p w14:paraId="13F314DA"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8 599,80</w:t>
            </w:r>
          </w:p>
        </w:tc>
      </w:tr>
      <w:tr w:rsidR="00D215BD" w:rsidRPr="001314CA" w14:paraId="6037FF8D" w14:textId="77777777" w:rsidTr="00D215BD">
        <w:trPr>
          <w:trHeight w:val="300"/>
          <w:jc w:val="center"/>
        </w:trPr>
        <w:tc>
          <w:tcPr>
            <w:tcW w:w="1241" w:type="dxa"/>
            <w:tcBorders>
              <w:top w:val="nil"/>
              <w:left w:val="single" w:sz="4" w:space="0" w:color="auto"/>
              <w:bottom w:val="single" w:sz="4" w:space="0" w:color="auto"/>
              <w:right w:val="single" w:sz="4" w:space="0" w:color="auto"/>
            </w:tcBorders>
            <w:shd w:val="clear" w:color="auto" w:fill="auto"/>
            <w:noWrap/>
          </w:tcPr>
          <w:p w14:paraId="45ACAA32"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p>
        </w:tc>
        <w:tc>
          <w:tcPr>
            <w:tcW w:w="2226" w:type="dxa"/>
            <w:tcBorders>
              <w:top w:val="nil"/>
              <w:left w:val="nil"/>
              <w:bottom w:val="single" w:sz="4" w:space="0" w:color="auto"/>
              <w:right w:val="single" w:sz="4" w:space="0" w:color="auto"/>
            </w:tcBorders>
            <w:shd w:val="clear" w:color="auto" w:fill="auto"/>
            <w:noWrap/>
          </w:tcPr>
          <w:p w14:paraId="0C0A1237"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
        </w:tc>
        <w:tc>
          <w:tcPr>
            <w:tcW w:w="2771" w:type="dxa"/>
            <w:tcBorders>
              <w:top w:val="nil"/>
              <w:left w:val="nil"/>
              <w:bottom w:val="single" w:sz="4" w:space="0" w:color="auto"/>
              <w:right w:val="single" w:sz="4" w:space="0" w:color="auto"/>
            </w:tcBorders>
            <w:shd w:val="clear" w:color="auto" w:fill="auto"/>
            <w:noWrap/>
          </w:tcPr>
          <w:p w14:paraId="7969777B"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
        </w:tc>
        <w:tc>
          <w:tcPr>
            <w:tcW w:w="1414" w:type="dxa"/>
            <w:tcBorders>
              <w:top w:val="nil"/>
              <w:left w:val="nil"/>
              <w:bottom w:val="single" w:sz="4" w:space="0" w:color="auto"/>
              <w:right w:val="single" w:sz="4" w:space="0" w:color="auto"/>
            </w:tcBorders>
            <w:shd w:val="clear" w:color="auto" w:fill="auto"/>
            <w:noWrap/>
          </w:tcPr>
          <w:p w14:paraId="5E19B007"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134" w:type="dxa"/>
            <w:tcBorders>
              <w:top w:val="nil"/>
              <w:left w:val="nil"/>
              <w:bottom w:val="single" w:sz="4" w:space="0" w:color="auto"/>
              <w:right w:val="single" w:sz="4" w:space="0" w:color="auto"/>
            </w:tcBorders>
            <w:shd w:val="clear" w:color="auto" w:fill="auto"/>
            <w:noWrap/>
          </w:tcPr>
          <w:p w14:paraId="1A82F09C"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120" w:type="dxa"/>
            <w:tcBorders>
              <w:top w:val="nil"/>
              <w:left w:val="nil"/>
              <w:bottom w:val="single" w:sz="4" w:space="0" w:color="auto"/>
              <w:right w:val="single" w:sz="4" w:space="0" w:color="auto"/>
            </w:tcBorders>
            <w:shd w:val="clear" w:color="auto" w:fill="auto"/>
            <w:noWrap/>
          </w:tcPr>
          <w:p w14:paraId="2C555203"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r>
      <w:tr w:rsidR="00D215BD" w:rsidRPr="001314CA" w14:paraId="2782C0EC" w14:textId="77777777" w:rsidTr="00D215BD">
        <w:trPr>
          <w:trHeight w:val="300"/>
          <w:jc w:val="center"/>
        </w:trPr>
        <w:tc>
          <w:tcPr>
            <w:tcW w:w="1241" w:type="dxa"/>
            <w:tcBorders>
              <w:top w:val="nil"/>
              <w:left w:val="single" w:sz="4" w:space="0" w:color="auto"/>
              <w:bottom w:val="single" w:sz="4" w:space="0" w:color="auto"/>
              <w:right w:val="single" w:sz="4" w:space="0" w:color="auto"/>
            </w:tcBorders>
            <w:shd w:val="clear" w:color="auto" w:fill="auto"/>
            <w:noWrap/>
            <w:hideMark/>
          </w:tcPr>
          <w:p w14:paraId="5F53A27B" w14:textId="77777777" w:rsidR="00D215BD" w:rsidRPr="001314CA" w:rsidRDefault="00D215BD" w:rsidP="00D215BD">
            <w:pPr>
              <w:tabs>
                <w:tab w:val="clear" w:pos="567"/>
                <w:tab w:val="clear" w:pos="1134"/>
                <w:tab w:val="clear" w:pos="1701"/>
                <w:tab w:val="clear" w:pos="2268"/>
                <w:tab w:val="clear" w:pos="2835"/>
              </w:tabs>
              <w:spacing w:before="0"/>
              <w:jc w:val="center"/>
              <w:rPr>
                <w:rFonts w:cs="Arial"/>
                <w:b/>
                <w:bCs/>
                <w:sz w:val="20"/>
                <w:lang w:eastAsia="zh-CN"/>
              </w:rPr>
            </w:pPr>
            <w:r w:rsidRPr="001314CA">
              <w:rPr>
                <w:rFonts w:cs="Arial"/>
                <w:b/>
                <w:bCs/>
                <w:sz w:val="20"/>
                <w:lang w:eastAsia="zh-CN"/>
              </w:rPr>
              <w:t>TLC 2011</w:t>
            </w:r>
          </w:p>
        </w:tc>
        <w:tc>
          <w:tcPr>
            <w:tcW w:w="2226" w:type="dxa"/>
            <w:tcBorders>
              <w:top w:val="nil"/>
              <w:left w:val="nil"/>
              <w:bottom w:val="single" w:sz="4" w:space="0" w:color="auto"/>
              <w:right w:val="single" w:sz="4" w:space="0" w:color="auto"/>
            </w:tcBorders>
            <w:shd w:val="clear" w:color="auto" w:fill="auto"/>
            <w:noWrap/>
            <w:hideMark/>
          </w:tcPr>
          <w:p w14:paraId="268D35DB"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2771" w:type="dxa"/>
            <w:tcBorders>
              <w:top w:val="nil"/>
              <w:left w:val="nil"/>
              <w:bottom w:val="single" w:sz="4" w:space="0" w:color="auto"/>
              <w:right w:val="single" w:sz="4" w:space="0" w:color="auto"/>
            </w:tcBorders>
            <w:shd w:val="clear" w:color="auto" w:fill="auto"/>
            <w:noWrap/>
            <w:hideMark/>
          </w:tcPr>
          <w:p w14:paraId="1257DEFD"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1414" w:type="dxa"/>
            <w:tcBorders>
              <w:top w:val="nil"/>
              <w:left w:val="nil"/>
              <w:bottom w:val="single" w:sz="4" w:space="0" w:color="auto"/>
              <w:right w:val="single" w:sz="4" w:space="0" w:color="auto"/>
            </w:tcBorders>
            <w:shd w:val="clear" w:color="auto" w:fill="auto"/>
            <w:noWrap/>
            <w:hideMark/>
          </w:tcPr>
          <w:p w14:paraId="50124DE0"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 </w:t>
            </w:r>
          </w:p>
        </w:tc>
        <w:tc>
          <w:tcPr>
            <w:tcW w:w="1134" w:type="dxa"/>
            <w:tcBorders>
              <w:top w:val="nil"/>
              <w:left w:val="nil"/>
              <w:bottom w:val="single" w:sz="4" w:space="0" w:color="auto"/>
              <w:right w:val="single" w:sz="4" w:space="0" w:color="auto"/>
            </w:tcBorders>
            <w:shd w:val="clear" w:color="auto" w:fill="auto"/>
            <w:noWrap/>
            <w:hideMark/>
          </w:tcPr>
          <w:p w14:paraId="69426C87"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b/>
                <w:bCs/>
                <w:sz w:val="20"/>
                <w:lang w:eastAsia="zh-CN"/>
              </w:rPr>
              <w:t> </w:t>
            </w:r>
          </w:p>
        </w:tc>
        <w:tc>
          <w:tcPr>
            <w:tcW w:w="1120" w:type="dxa"/>
            <w:tcBorders>
              <w:top w:val="nil"/>
              <w:left w:val="nil"/>
              <w:bottom w:val="single" w:sz="4" w:space="0" w:color="auto"/>
              <w:right w:val="single" w:sz="4" w:space="0" w:color="auto"/>
            </w:tcBorders>
            <w:shd w:val="clear" w:color="auto" w:fill="auto"/>
            <w:noWrap/>
            <w:hideMark/>
          </w:tcPr>
          <w:p w14:paraId="344A754C"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b/>
                <w:bCs/>
                <w:sz w:val="20"/>
                <w:lang w:eastAsia="zh-CN"/>
              </w:rPr>
              <w:t>8 599,80</w:t>
            </w:r>
          </w:p>
        </w:tc>
      </w:tr>
    </w:tbl>
    <w:p w14:paraId="5E2FEF2E" w14:textId="77777777" w:rsidR="00D215BD" w:rsidRPr="001314CA" w:rsidRDefault="00D215BD" w:rsidP="00D215BD">
      <w:pPr>
        <w:spacing w:after="120"/>
        <w:jc w:val="center"/>
        <w:rPr>
          <w:b/>
          <w:sz w:val="28"/>
        </w:rPr>
      </w:pPr>
      <w:r w:rsidRPr="001314CA">
        <w:rPr>
          <w:b/>
          <w:sz w:val="28"/>
        </w:rPr>
        <w:lastRenderedPageBreak/>
        <w:t xml:space="preserve">Liste des débiteurs au 31.12.2020 des manifestations </w:t>
      </w:r>
      <w:r w:rsidRPr="001314CA">
        <w:rPr>
          <w:b/>
          <w:sz w:val="28"/>
        </w:rPr>
        <w:br/>
        <w:t>bouclées ITU TELECOM (</w:t>
      </w:r>
      <w:r w:rsidRPr="001314CA">
        <w:rPr>
          <w:b/>
          <w:i/>
          <w:iCs/>
          <w:sz w:val="28"/>
        </w:rPr>
        <w:t>suite</w:t>
      </w:r>
      <w:r w:rsidRPr="001314CA">
        <w:rPr>
          <w:b/>
          <w:sz w:val="28"/>
        </w:rPr>
        <w:t>)</w:t>
      </w:r>
    </w:p>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D215BD" w:rsidRPr="001314CA" w14:paraId="658DE951"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6FF7A28E"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hideMark/>
          </w:tcPr>
          <w:p w14:paraId="0A24228B"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Pays</w:t>
            </w:r>
          </w:p>
        </w:tc>
        <w:tc>
          <w:tcPr>
            <w:tcW w:w="2274" w:type="dxa"/>
            <w:tcBorders>
              <w:top w:val="single" w:sz="4" w:space="0" w:color="auto"/>
              <w:left w:val="nil"/>
              <w:bottom w:val="single" w:sz="4" w:space="0" w:color="auto"/>
              <w:right w:val="single" w:sz="4" w:space="0" w:color="auto"/>
            </w:tcBorders>
            <w:shd w:val="clear" w:color="auto" w:fill="auto"/>
            <w:noWrap/>
            <w:hideMark/>
          </w:tcPr>
          <w:p w14:paraId="274DD2D7"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Entité</w:t>
            </w:r>
          </w:p>
        </w:tc>
        <w:tc>
          <w:tcPr>
            <w:tcW w:w="1843" w:type="dxa"/>
            <w:tcBorders>
              <w:top w:val="single" w:sz="4" w:space="0" w:color="auto"/>
              <w:left w:val="nil"/>
              <w:bottom w:val="single" w:sz="4" w:space="0" w:color="auto"/>
              <w:right w:val="single" w:sz="4" w:space="0" w:color="auto"/>
            </w:tcBorders>
            <w:shd w:val="clear" w:color="auto" w:fill="auto"/>
            <w:noWrap/>
            <w:hideMark/>
          </w:tcPr>
          <w:p w14:paraId="6F9E3940"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hideMark/>
          </w:tcPr>
          <w:p w14:paraId="24074077"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hideMark/>
          </w:tcPr>
          <w:p w14:paraId="4540E494"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Restant dû</w:t>
            </w:r>
          </w:p>
        </w:tc>
      </w:tr>
      <w:tr w:rsidR="00D215BD" w:rsidRPr="001314CA" w14:paraId="2621EC66" w14:textId="77777777" w:rsidTr="00D215BD">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103CA351"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2014</w:t>
            </w:r>
          </w:p>
        </w:tc>
        <w:tc>
          <w:tcPr>
            <w:tcW w:w="1553" w:type="dxa"/>
            <w:tcBorders>
              <w:top w:val="nil"/>
              <w:left w:val="nil"/>
              <w:bottom w:val="single" w:sz="4" w:space="0" w:color="auto"/>
              <w:right w:val="single" w:sz="4" w:space="0" w:color="auto"/>
            </w:tcBorders>
            <w:shd w:val="clear" w:color="auto" w:fill="auto"/>
            <w:noWrap/>
            <w:hideMark/>
          </w:tcPr>
          <w:p w14:paraId="01521A92"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Congo</w:t>
            </w:r>
          </w:p>
        </w:tc>
        <w:tc>
          <w:tcPr>
            <w:tcW w:w="2274" w:type="dxa"/>
            <w:tcBorders>
              <w:top w:val="nil"/>
              <w:left w:val="nil"/>
              <w:bottom w:val="single" w:sz="4" w:space="0" w:color="auto"/>
              <w:right w:val="single" w:sz="4" w:space="0" w:color="auto"/>
            </w:tcBorders>
            <w:shd w:val="clear" w:color="auto" w:fill="auto"/>
            <w:noWrap/>
            <w:hideMark/>
          </w:tcPr>
          <w:p w14:paraId="45D1F2BC"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Ministère des Postes</w:t>
            </w:r>
          </w:p>
        </w:tc>
        <w:tc>
          <w:tcPr>
            <w:tcW w:w="1843" w:type="dxa"/>
            <w:tcBorders>
              <w:top w:val="nil"/>
              <w:left w:val="nil"/>
              <w:bottom w:val="single" w:sz="4" w:space="0" w:color="auto"/>
              <w:right w:val="single" w:sz="4" w:space="0" w:color="auto"/>
            </w:tcBorders>
            <w:shd w:val="clear" w:color="auto" w:fill="auto"/>
            <w:noWrap/>
            <w:hideMark/>
          </w:tcPr>
          <w:p w14:paraId="2259E9C5"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110 000,00</w:t>
            </w:r>
          </w:p>
        </w:tc>
        <w:tc>
          <w:tcPr>
            <w:tcW w:w="1417" w:type="dxa"/>
            <w:tcBorders>
              <w:top w:val="nil"/>
              <w:left w:val="nil"/>
              <w:bottom w:val="single" w:sz="4" w:space="0" w:color="auto"/>
              <w:right w:val="single" w:sz="4" w:space="0" w:color="auto"/>
            </w:tcBorders>
            <w:shd w:val="clear" w:color="auto" w:fill="auto"/>
            <w:noWrap/>
            <w:hideMark/>
          </w:tcPr>
          <w:p w14:paraId="6E69F6D7"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0,00</w:t>
            </w:r>
          </w:p>
        </w:tc>
        <w:tc>
          <w:tcPr>
            <w:tcW w:w="1418" w:type="dxa"/>
            <w:tcBorders>
              <w:top w:val="nil"/>
              <w:left w:val="nil"/>
              <w:bottom w:val="single" w:sz="4" w:space="0" w:color="auto"/>
              <w:right w:val="single" w:sz="4" w:space="0" w:color="auto"/>
            </w:tcBorders>
            <w:shd w:val="clear" w:color="auto" w:fill="auto"/>
            <w:noWrap/>
            <w:hideMark/>
          </w:tcPr>
          <w:p w14:paraId="722F92DC"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110 000,00</w:t>
            </w:r>
          </w:p>
        </w:tc>
      </w:tr>
      <w:tr w:rsidR="00D215BD" w:rsidRPr="001314CA" w14:paraId="1CB5167D" w14:textId="77777777" w:rsidTr="00D215BD">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7E76BCDF" w14:textId="77777777" w:rsidR="00D215BD" w:rsidRPr="001314CA" w:rsidRDefault="00D215BD" w:rsidP="00D215BD">
            <w:pPr>
              <w:tabs>
                <w:tab w:val="clear" w:pos="567"/>
                <w:tab w:val="clear" w:pos="1134"/>
                <w:tab w:val="clear" w:pos="1701"/>
                <w:tab w:val="clear" w:pos="2268"/>
                <w:tab w:val="clear" w:pos="2835"/>
              </w:tabs>
              <w:spacing w:before="0"/>
              <w:jc w:val="center"/>
              <w:rPr>
                <w:rFonts w:cstheme="majorBidi"/>
                <w:sz w:val="20"/>
                <w:lang w:eastAsia="zh-CN"/>
              </w:rPr>
            </w:pPr>
          </w:p>
        </w:tc>
        <w:tc>
          <w:tcPr>
            <w:tcW w:w="1553" w:type="dxa"/>
            <w:tcBorders>
              <w:top w:val="nil"/>
              <w:left w:val="nil"/>
              <w:bottom w:val="single" w:sz="4" w:space="0" w:color="auto"/>
              <w:right w:val="single" w:sz="4" w:space="0" w:color="auto"/>
            </w:tcBorders>
            <w:shd w:val="clear" w:color="auto" w:fill="auto"/>
            <w:noWrap/>
          </w:tcPr>
          <w:p w14:paraId="2C38C394" w14:textId="77777777" w:rsidR="00D215BD" w:rsidRPr="001314CA" w:rsidRDefault="00D215BD" w:rsidP="00D215BD">
            <w:pPr>
              <w:tabs>
                <w:tab w:val="clear" w:pos="567"/>
                <w:tab w:val="clear" w:pos="1134"/>
                <w:tab w:val="clear" w:pos="1701"/>
                <w:tab w:val="clear" w:pos="2268"/>
                <w:tab w:val="clear" w:pos="2835"/>
              </w:tabs>
              <w:spacing w:before="0"/>
              <w:rPr>
                <w:rFonts w:cstheme="majorBidi"/>
                <w:sz w:val="20"/>
                <w:lang w:eastAsia="zh-CN"/>
              </w:rPr>
            </w:pPr>
          </w:p>
        </w:tc>
        <w:tc>
          <w:tcPr>
            <w:tcW w:w="2274" w:type="dxa"/>
            <w:tcBorders>
              <w:top w:val="nil"/>
              <w:left w:val="nil"/>
              <w:bottom w:val="single" w:sz="4" w:space="0" w:color="auto"/>
              <w:right w:val="single" w:sz="4" w:space="0" w:color="auto"/>
            </w:tcBorders>
            <w:shd w:val="clear" w:color="auto" w:fill="auto"/>
            <w:noWrap/>
          </w:tcPr>
          <w:p w14:paraId="18B3D551" w14:textId="77777777" w:rsidR="00D215BD" w:rsidRPr="001314CA" w:rsidRDefault="00D215BD" w:rsidP="00D215BD">
            <w:pPr>
              <w:tabs>
                <w:tab w:val="clear" w:pos="567"/>
                <w:tab w:val="clear" w:pos="1134"/>
                <w:tab w:val="clear" w:pos="1701"/>
                <w:tab w:val="clear" w:pos="2268"/>
                <w:tab w:val="clear" w:pos="2835"/>
              </w:tabs>
              <w:spacing w:before="0"/>
              <w:rPr>
                <w:rFonts w:cstheme="majorBidi"/>
                <w:sz w:val="20"/>
                <w:lang w:eastAsia="zh-CN"/>
              </w:rPr>
            </w:pPr>
          </w:p>
        </w:tc>
        <w:tc>
          <w:tcPr>
            <w:tcW w:w="1843" w:type="dxa"/>
            <w:tcBorders>
              <w:top w:val="nil"/>
              <w:left w:val="nil"/>
              <w:bottom w:val="single" w:sz="4" w:space="0" w:color="auto"/>
              <w:right w:val="single" w:sz="4" w:space="0" w:color="auto"/>
            </w:tcBorders>
            <w:shd w:val="clear" w:color="auto" w:fill="auto"/>
            <w:noWrap/>
          </w:tcPr>
          <w:p w14:paraId="460B4204" w14:textId="77777777" w:rsidR="00D215BD" w:rsidRPr="001314CA" w:rsidRDefault="00D215BD" w:rsidP="00D215BD">
            <w:pPr>
              <w:tabs>
                <w:tab w:val="clear" w:pos="567"/>
                <w:tab w:val="clear" w:pos="1134"/>
                <w:tab w:val="clear" w:pos="1701"/>
                <w:tab w:val="clear" w:pos="2268"/>
                <w:tab w:val="clear" w:pos="2835"/>
              </w:tabs>
              <w:spacing w:before="0"/>
              <w:jc w:val="right"/>
              <w:rPr>
                <w:rFonts w:cstheme="majorBidi"/>
                <w:sz w:val="20"/>
                <w:lang w:eastAsia="zh-CN"/>
              </w:rPr>
            </w:pPr>
          </w:p>
        </w:tc>
        <w:tc>
          <w:tcPr>
            <w:tcW w:w="1417" w:type="dxa"/>
            <w:tcBorders>
              <w:top w:val="nil"/>
              <w:left w:val="nil"/>
              <w:bottom w:val="single" w:sz="4" w:space="0" w:color="auto"/>
              <w:right w:val="single" w:sz="4" w:space="0" w:color="auto"/>
            </w:tcBorders>
            <w:shd w:val="clear" w:color="auto" w:fill="auto"/>
            <w:noWrap/>
          </w:tcPr>
          <w:p w14:paraId="38F07922" w14:textId="77777777" w:rsidR="00D215BD" w:rsidRPr="001314CA" w:rsidRDefault="00D215BD" w:rsidP="00D215BD">
            <w:pPr>
              <w:tabs>
                <w:tab w:val="clear" w:pos="567"/>
                <w:tab w:val="clear" w:pos="1134"/>
                <w:tab w:val="clear" w:pos="1701"/>
                <w:tab w:val="clear" w:pos="2268"/>
                <w:tab w:val="clear" w:pos="2835"/>
              </w:tabs>
              <w:spacing w:before="0"/>
              <w:jc w:val="right"/>
              <w:rPr>
                <w:rFonts w:cstheme="majorBidi"/>
                <w:sz w:val="20"/>
                <w:lang w:eastAsia="zh-CN"/>
              </w:rPr>
            </w:pPr>
          </w:p>
        </w:tc>
        <w:tc>
          <w:tcPr>
            <w:tcW w:w="1418" w:type="dxa"/>
            <w:tcBorders>
              <w:top w:val="nil"/>
              <w:left w:val="nil"/>
              <w:bottom w:val="single" w:sz="4" w:space="0" w:color="auto"/>
              <w:right w:val="single" w:sz="4" w:space="0" w:color="auto"/>
            </w:tcBorders>
            <w:shd w:val="clear" w:color="auto" w:fill="auto"/>
            <w:noWrap/>
          </w:tcPr>
          <w:p w14:paraId="7C63D37B" w14:textId="77777777" w:rsidR="00D215BD" w:rsidRPr="001314CA" w:rsidRDefault="00D215BD" w:rsidP="00D215BD">
            <w:pPr>
              <w:tabs>
                <w:tab w:val="clear" w:pos="567"/>
                <w:tab w:val="clear" w:pos="1134"/>
                <w:tab w:val="clear" w:pos="1701"/>
                <w:tab w:val="clear" w:pos="2268"/>
                <w:tab w:val="clear" w:pos="2835"/>
              </w:tabs>
              <w:spacing w:before="0"/>
              <w:jc w:val="right"/>
              <w:rPr>
                <w:rFonts w:cstheme="majorBidi"/>
                <w:sz w:val="20"/>
                <w:lang w:eastAsia="zh-CN"/>
              </w:rPr>
            </w:pPr>
          </w:p>
        </w:tc>
      </w:tr>
      <w:tr w:rsidR="00D215BD" w:rsidRPr="001314CA" w14:paraId="369E2D91"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6A2C762D" w14:textId="77777777" w:rsidR="00D215BD" w:rsidRPr="001314CA" w:rsidRDefault="00D215BD" w:rsidP="00D215BD">
            <w:pPr>
              <w:tabs>
                <w:tab w:val="clear" w:pos="567"/>
                <w:tab w:val="clear" w:pos="1134"/>
                <w:tab w:val="clear" w:pos="1701"/>
                <w:tab w:val="clear" w:pos="2268"/>
                <w:tab w:val="clear" w:pos="2835"/>
              </w:tabs>
              <w:spacing w:before="0"/>
              <w:jc w:val="center"/>
              <w:rPr>
                <w:b/>
                <w:bCs/>
                <w:sz w:val="20"/>
                <w:lang w:eastAsia="zh-CN"/>
              </w:rPr>
            </w:pPr>
            <w:r w:rsidRPr="001314CA">
              <w:rPr>
                <w:b/>
                <w:bCs/>
                <w:sz w:val="20"/>
                <w:lang w:eastAsia="zh-CN"/>
              </w:rPr>
              <w:t>TLC 2014</w:t>
            </w:r>
          </w:p>
        </w:tc>
        <w:tc>
          <w:tcPr>
            <w:tcW w:w="1553" w:type="dxa"/>
            <w:tcBorders>
              <w:top w:val="single" w:sz="4" w:space="0" w:color="auto"/>
              <w:left w:val="nil"/>
              <w:bottom w:val="single" w:sz="4" w:space="0" w:color="auto"/>
              <w:right w:val="single" w:sz="4" w:space="0" w:color="auto"/>
            </w:tcBorders>
            <w:shd w:val="clear" w:color="auto" w:fill="auto"/>
            <w:noWrap/>
            <w:hideMark/>
          </w:tcPr>
          <w:p w14:paraId="46BE821A"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hideMark/>
          </w:tcPr>
          <w:p w14:paraId="1591EC8D"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1A2C8D2E"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r w:rsidRPr="001314CA">
              <w:rPr>
                <w:sz w:val="20"/>
                <w:lang w:eastAsia="zh-CN"/>
              </w:rPr>
              <w:t> </w:t>
            </w:r>
          </w:p>
        </w:tc>
        <w:tc>
          <w:tcPr>
            <w:tcW w:w="1417" w:type="dxa"/>
            <w:tcBorders>
              <w:top w:val="single" w:sz="4" w:space="0" w:color="auto"/>
              <w:left w:val="nil"/>
              <w:bottom w:val="single" w:sz="4" w:space="0" w:color="auto"/>
              <w:right w:val="single" w:sz="4" w:space="0" w:color="auto"/>
            </w:tcBorders>
            <w:shd w:val="clear" w:color="auto" w:fill="auto"/>
            <w:noWrap/>
            <w:hideMark/>
          </w:tcPr>
          <w:p w14:paraId="3A30DAC7" w14:textId="77777777" w:rsidR="00D215BD" w:rsidRPr="001314CA" w:rsidRDefault="00D215BD" w:rsidP="00D215BD">
            <w:pPr>
              <w:tabs>
                <w:tab w:val="clear" w:pos="567"/>
                <w:tab w:val="clear" w:pos="1134"/>
                <w:tab w:val="clear" w:pos="1701"/>
                <w:tab w:val="clear" w:pos="2268"/>
                <w:tab w:val="clear" w:pos="2835"/>
              </w:tabs>
              <w:spacing w:before="0"/>
              <w:jc w:val="right"/>
              <w:rPr>
                <w:rFonts w:cs="Arial"/>
                <w:b/>
                <w:bCs/>
                <w:sz w:val="20"/>
                <w:lang w:eastAsia="zh-CN"/>
              </w:rPr>
            </w:pPr>
            <w:r w:rsidRPr="001314CA">
              <w:rPr>
                <w:rFonts w:cs="Arial"/>
                <w:b/>
                <w:bCs/>
                <w:sz w:val="20"/>
                <w:lang w:eastAsia="zh-C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F45DF8D" w14:textId="77777777" w:rsidR="00D215BD" w:rsidRPr="001314CA" w:rsidRDefault="00D215BD" w:rsidP="00D215BD">
            <w:pPr>
              <w:tabs>
                <w:tab w:val="clear" w:pos="567"/>
                <w:tab w:val="clear" w:pos="1134"/>
                <w:tab w:val="clear" w:pos="1701"/>
                <w:tab w:val="clear" w:pos="2268"/>
                <w:tab w:val="clear" w:pos="2835"/>
              </w:tabs>
              <w:spacing w:before="0"/>
              <w:jc w:val="right"/>
              <w:rPr>
                <w:rFonts w:cs="Arial"/>
                <w:b/>
                <w:bCs/>
                <w:sz w:val="20"/>
                <w:lang w:eastAsia="zh-CN"/>
              </w:rPr>
            </w:pPr>
            <w:r w:rsidRPr="001314CA">
              <w:rPr>
                <w:rFonts w:cs="Arial"/>
                <w:b/>
                <w:bCs/>
                <w:sz w:val="20"/>
                <w:lang w:eastAsia="zh-CN"/>
              </w:rPr>
              <w:t>110 000,00</w:t>
            </w:r>
          </w:p>
        </w:tc>
      </w:tr>
    </w:tbl>
    <w:p w14:paraId="6D46EB90" w14:textId="77777777" w:rsidR="00D215BD" w:rsidRPr="001314CA" w:rsidRDefault="00D215BD" w:rsidP="00D215BD"/>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D215BD" w:rsidRPr="001314CA" w14:paraId="7C9D6063"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54C7F5FD"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tcPr>
          <w:p w14:paraId="1634BC5C"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Pays</w:t>
            </w:r>
          </w:p>
        </w:tc>
        <w:tc>
          <w:tcPr>
            <w:tcW w:w="2274" w:type="dxa"/>
            <w:tcBorders>
              <w:top w:val="single" w:sz="4" w:space="0" w:color="auto"/>
              <w:left w:val="nil"/>
              <w:bottom w:val="single" w:sz="4" w:space="0" w:color="auto"/>
              <w:right w:val="single" w:sz="4" w:space="0" w:color="auto"/>
            </w:tcBorders>
            <w:shd w:val="clear" w:color="auto" w:fill="auto"/>
            <w:noWrap/>
          </w:tcPr>
          <w:p w14:paraId="002AD9E9"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Entité</w:t>
            </w:r>
          </w:p>
        </w:tc>
        <w:tc>
          <w:tcPr>
            <w:tcW w:w="1843" w:type="dxa"/>
            <w:tcBorders>
              <w:top w:val="single" w:sz="4" w:space="0" w:color="auto"/>
              <w:left w:val="nil"/>
              <w:bottom w:val="single" w:sz="4" w:space="0" w:color="auto"/>
              <w:right w:val="single" w:sz="4" w:space="0" w:color="auto"/>
            </w:tcBorders>
            <w:shd w:val="clear" w:color="auto" w:fill="auto"/>
            <w:noWrap/>
          </w:tcPr>
          <w:p w14:paraId="06F673E0"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tcPr>
          <w:p w14:paraId="37C7FCA5"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tcPr>
          <w:p w14:paraId="0E340480"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Restant dû</w:t>
            </w:r>
          </w:p>
        </w:tc>
      </w:tr>
      <w:tr w:rsidR="00D215BD" w:rsidRPr="001314CA" w14:paraId="31498823"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C87B784" w14:textId="77777777" w:rsidR="00D215BD" w:rsidRPr="001314CA" w:rsidRDefault="00D215BD" w:rsidP="00D215BD">
            <w:pPr>
              <w:tabs>
                <w:tab w:val="clear" w:pos="567"/>
                <w:tab w:val="clear" w:pos="1134"/>
                <w:tab w:val="clear" w:pos="1701"/>
                <w:tab w:val="clear" w:pos="2268"/>
                <w:tab w:val="clear" w:pos="2835"/>
              </w:tabs>
              <w:spacing w:before="60"/>
              <w:jc w:val="center"/>
              <w:rPr>
                <w:sz w:val="20"/>
                <w:lang w:eastAsia="zh-CN"/>
              </w:rPr>
            </w:pPr>
            <w:r w:rsidRPr="001314CA">
              <w:rPr>
                <w:sz w:val="20"/>
                <w:lang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tcPr>
          <w:p w14:paraId="3D981F0A" w14:textId="77777777" w:rsidR="00D215BD" w:rsidRPr="001314CA" w:rsidRDefault="00D215BD" w:rsidP="00D215BD">
            <w:pPr>
              <w:tabs>
                <w:tab w:val="clear" w:pos="567"/>
                <w:tab w:val="clear" w:pos="1134"/>
                <w:tab w:val="clear" w:pos="1701"/>
                <w:tab w:val="clear" w:pos="2268"/>
                <w:tab w:val="clear" w:pos="2835"/>
              </w:tabs>
              <w:spacing w:before="60"/>
              <w:rPr>
                <w:sz w:val="20"/>
                <w:lang w:eastAsia="zh-CN"/>
              </w:rPr>
            </w:pPr>
            <w:r w:rsidRPr="001314CA">
              <w:rPr>
                <w:sz w:val="20"/>
                <w:lang w:eastAsia="zh-CN"/>
              </w:rPr>
              <w:t>Sri Lanka</w:t>
            </w:r>
          </w:p>
        </w:tc>
        <w:tc>
          <w:tcPr>
            <w:tcW w:w="2274" w:type="dxa"/>
            <w:tcBorders>
              <w:top w:val="single" w:sz="4" w:space="0" w:color="auto"/>
              <w:left w:val="nil"/>
              <w:bottom w:val="single" w:sz="4" w:space="0" w:color="auto"/>
              <w:right w:val="single" w:sz="4" w:space="0" w:color="auto"/>
            </w:tcBorders>
            <w:shd w:val="clear" w:color="auto" w:fill="auto"/>
            <w:noWrap/>
          </w:tcPr>
          <w:p w14:paraId="0FEBA58B" w14:textId="77777777" w:rsidR="00D215BD" w:rsidRPr="001314CA" w:rsidRDefault="00D215BD" w:rsidP="00D215BD">
            <w:pPr>
              <w:tabs>
                <w:tab w:val="clear" w:pos="567"/>
                <w:tab w:val="clear" w:pos="1134"/>
                <w:tab w:val="clear" w:pos="1701"/>
                <w:tab w:val="clear" w:pos="2268"/>
                <w:tab w:val="clear" w:pos="2835"/>
              </w:tabs>
              <w:spacing w:before="60"/>
              <w:rPr>
                <w:sz w:val="20"/>
                <w:lang w:eastAsia="zh-CN"/>
              </w:rPr>
            </w:pPr>
            <w:proofErr w:type="spellStart"/>
            <w:r w:rsidRPr="001314CA">
              <w:rPr>
                <w:sz w:val="20"/>
                <w:lang w:eastAsia="zh-CN"/>
              </w:rPr>
              <w:t>Negete</w:t>
            </w:r>
            <w:proofErr w:type="spellEnd"/>
            <w:r w:rsidRPr="001314CA">
              <w:rPr>
                <w:sz w:val="20"/>
                <w:lang w:eastAsia="zh-CN"/>
              </w:rPr>
              <w:t xml:space="preserve"> </w:t>
            </w:r>
            <w:proofErr w:type="spellStart"/>
            <w:r w:rsidRPr="001314CA">
              <w:rPr>
                <w:sz w:val="20"/>
                <w:lang w:eastAsia="zh-CN"/>
              </w:rPr>
              <w:t>Private</w:t>
            </w:r>
            <w:proofErr w:type="spellEnd"/>
            <w:r w:rsidRPr="001314CA">
              <w:rPr>
                <w:sz w:val="20"/>
                <w:lang w:eastAsia="zh-CN"/>
              </w:rPr>
              <w:t xml:space="preserve"> Ltd.</w:t>
            </w:r>
          </w:p>
        </w:tc>
        <w:tc>
          <w:tcPr>
            <w:tcW w:w="1843" w:type="dxa"/>
            <w:tcBorders>
              <w:top w:val="single" w:sz="4" w:space="0" w:color="auto"/>
              <w:left w:val="nil"/>
              <w:bottom w:val="single" w:sz="4" w:space="0" w:color="auto"/>
              <w:right w:val="single" w:sz="4" w:space="0" w:color="auto"/>
            </w:tcBorders>
            <w:shd w:val="clear" w:color="auto" w:fill="auto"/>
            <w:noWrap/>
          </w:tcPr>
          <w:p w14:paraId="5E3A6FFB"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02E6C9A7"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6AD2BA7F"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1 200,00</w:t>
            </w:r>
          </w:p>
        </w:tc>
      </w:tr>
      <w:tr w:rsidR="00D215BD" w:rsidRPr="001314CA" w14:paraId="1872698B"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CF863C7" w14:textId="77777777" w:rsidR="00D215BD" w:rsidRPr="001314CA" w:rsidRDefault="00D215BD" w:rsidP="00D215BD">
            <w:pPr>
              <w:tabs>
                <w:tab w:val="clear" w:pos="567"/>
                <w:tab w:val="clear" w:pos="1134"/>
                <w:tab w:val="clear" w:pos="1701"/>
                <w:tab w:val="clear" w:pos="2268"/>
                <w:tab w:val="clear" w:pos="2835"/>
              </w:tabs>
              <w:spacing w:before="60"/>
              <w:jc w:val="center"/>
              <w:rPr>
                <w:sz w:val="20"/>
                <w:lang w:eastAsia="zh-CN"/>
              </w:rPr>
            </w:pPr>
            <w:r w:rsidRPr="001314CA">
              <w:rPr>
                <w:sz w:val="20"/>
                <w:lang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tcPr>
          <w:p w14:paraId="1018CAEC" w14:textId="77777777" w:rsidR="00D215BD" w:rsidRPr="001314CA" w:rsidRDefault="00D215BD" w:rsidP="00D215BD">
            <w:pPr>
              <w:tabs>
                <w:tab w:val="clear" w:pos="567"/>
                <w:tab w:val="clear" w:pos="1134"/>
                <w:tab w:val="clear" w:pos="1701"/>
                <w:tab w:val="clear" w:pos="2268"/>
                <w:tab w:val="clear" w:pos="2835"/>
              </w:tabs>
              <w:spacing w:before="60"/>
              <w:rPr>
                <w:sz w:val="20"/>
                <w:lang w:eastAsia="zh-CN"/>
              </w:rPr>
            </w:pPr>
            <w:r w:rsidRPr="001314CA">
              <w:rPr>
                <w:sz w:val="20"/>
                <w:lang w:eastAsia="zh-CN"/>
              </w:rPr>
              <w:t>Égypte</w:t>
            </w:r>
          </w:p>
        </w:tc>
        <w:tc>
          <w:tcPr>
            <w:tcW w:w="2274" w:type="dxa"/>
            <w:tcBorders>
              <w:top w:val="single" w:sz="4" w:space="0" w:color="auto"/>
              <w:left w:val="nil"/>
              <w:bottom w:val="single" w:sz="4" w:space="0" w:color="auto"/>
              <w:right w:val="single" w:sz="4" w:space="0" w:color="auto"/>
            </w:tcBorders>
            <w:shd w:val="clear" w:color="auto" w:fill="auto"/>
            <w:noWrap/>
          </w:tcPr>
          <w:p w14:paraId="222D7C81" w14:textId="77777777" w:rsidR="00D215BD" w:rsidRPr="001314CA" w:rsidRDefault="00D215BD" w:rsidP="00D215BD">
            <w:pPr>
              <w:tabs>
                <w:tab w:val="clear" w:pos="567"/>
                <w:tab w:val="clear" w:pos="1134"/>
                <w:tab w:val="clear" w:pos="1701"/>
                <w:tab w:val="clear" w:pos="2268"/>
                <w:tab w:val="clear" w:pos="2835"/>
              </w:tabs>
              <w:spacing w:before="60"/>
              <w:rPr>
                <w:sz w:val="20"/>
                <w:lang w:eastAsia="zh-CN"/>
              </w:rPr>
            </w:pPr>
            <w:proofErr w:type="spellStart"/>
            <w:r w:rsidRPr="001314CA">
              <w:rPr>
                <w:sz w:val="20"/>
                <w:lang w:eastAsia="zh-CN"/>
              </w:rPr>
              <w:t>Tawasol</w:t>
            </w:r>
            <w:proofErr w:type="spellEnd"/>
            <w:r w:rsidRPr="001314CA">
              <w:rPr>
                <w:sz w:val="20"/>
                <w:lang w:eastAsia="zh-CN"/>
              </w:rPr>
              <w:t xml:space="preserve"> IT</w:t>
            </w:r>
          </w:p>
        </w:tc>
        <w:tc>
          <w:tcPr>
            <w:tcW w:w="1843" w:type="dxa"/>
            <w:tcBorders>
              <w:top w:val="single" w:sz="4" w:space="0" w:color="auto"/>
              <w:left w:val="nil"/>
              <w:bottom w:val="single" w:sz="4" w:space="0" w:color="auto"/>
              <w:right w:val="single" w:sz="4" w:space="0" w:color="auto"/>
            </w:tcBorders>
            <w:shd w:val="clear" w:color="auto" w:fill="auto"/>
            <w:noWrap/>
          </w:tcPr>
          <w:p w14:paraId="460E2041"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26F82AB7"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198B84CD"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1 200,00</w:t>
            </w:r>
          </w:p>
        </w:tc>
      </w:tr>
      <w:tr w:rsidR="00D215BD" w:rsidRPr="001314CA" w14:paraId="1D31A712"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7847AE64" w14:textId="77777777" w:rsidR="00D215BD" w:rsidRPr="001314CA" w:rsidRDefault="00D215BD" w:rsidP="00D215BD">
            <w:pPr>
              <w:tabs>
                <w:tab w:val="clear" w:pos="567"/>
                <w:tab w:val="clear" w:pos="1134"/>
                <w:tab w:val="clear" w:pos="1701"/>
                <w:tab w:val="clear" w:pos="2268"/>
                <w:tab w:val="clear" w:pos="2835"/>
              </w:tabs>
              <w:spacing w:before="60"/>
              <w:jc w:val="center"/>
              <w:rPr>
                <w:sz w:val="20"/>
                <w:lang w:eastAsia="zh-CN"/>
              </w:rPr>
            </w:pPr>
          </w:p>
        </w:tc>
        <w:tc>
          <w:tcPr>
            <w:tcW w:w="1553" w:type="dxa"/>
            <w:tcBorders>
              <w:top w:val="single" w:sz="4" w:space="0" w:color="auto"/>
              <w:left w:val="nil"/>
              <w:bottom w:val="single" w:sz="4" w:space="0" w:color="auto"/>
              <w:right w:val="single" w:sz="4" w:space="0" w:color="auto"/>
            </w:tcBorders>
            <w:shd w:val="clear" w:color="auto" w:fill="auto"/>
            <w:noWrap/>
          </w:tcPr>
          <w:p w14:paraId="70FA3BAB" w14:textId="77777777" w:rsidR="00D215BD" w:rsidRPr="001314CA" w:rsidRDefault="00D215BD" w:rsidP="00D215BD">
            <w:pPr>
              <w:tabs>
                <w:tab w:val="clear" w:pos="567"/>
                <w:tab w:val="clear" w:pos="1134"/>
                <w:tab w:val="clear" w:pos="1701"/>
                <w:tab w:val="clear" w:pos="2268"/>
                <w:tab w:val="clear" w:pos="2835"/>
              </w:tabs>
              <w:spacing w:before="60"/>
              <w:rPr>
                <w:sz w:val="20"/>
                <w:lang w:eastAsia="zh-CN"/>
              </w:rPr>
            </w:pPr>
            <w:r w:rsidRPr="001314CA">
              <w:rPr>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4AD00D60" w14:textId="77777777" w:rsidR="00D215BD" w:rsidRPr="001314CA" w:rsidRDefault="00D215BD" w:rsidP="00D215BD">
            <w:pPr>
              <w:tabs>
                <w:tab w:val="clear" w:pos="567"/>
                <w:tab w:val="clear" w:pos="1134"/>
                <w:tab w:val="clear" w:pos="1701"/>
                <w:tab w:val="clear" w:pos="2268"/>
                <w:tab w:val="clear" w:pos="2835"/>
              </w:tabs>
              <w:spacing w:before="60"/>
              <w:rPr>
                <w:sz w:val="20"/>
                <w:lang w:eastAsia="zh-CN"/>
              </w:rPr>
            </w:pPr>
            <w:r w:rsidRPr="001314CA">
              <w:rPr>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2A9DF843"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0949FAC2"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7625A4D6"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 </w:t>
            </w:r>
          </w:p>
        </w:tc>
      </w:tr>
      <w:tr w:rsidR="00D215BD" w:rsidRPr="001314CA" w14:paraId="284D1A6A"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14E324CC" w14:textId="77777777" w:rsidR="00D215BD" w:rsidRPr="001314CA" w:rsidRDefault="00D215BD" w:rsidP="00D215BD">
            <w:pPr>
              <w:tabs>
                <w:tab w:val="clear" w:pos="567"/>
                <w:tab w:val="clear" w:pos="1134"/>
                <w:tab w:val="clear" w:pos="1701"/>
                <w:tab w:val="clear" w:pos="2268"/>
                <w:tab w:val="clear" w:pos="2835"/>
              </w:tabs>
              <w:spacing w:before="60"/>
              <w:jc w:val="center"/>
              <w:rPr>
                <w:b/>
                <w:bCs/>
                <w:sz w:val="20"/>
                <w:lang w:eastAsia="zh-CN"/>
              </w:rPr>
            </w:pPr>
            <w:r w:rsidRPr="001314CA">
              <w:rPr>
                <w:b/>
                <w:bCs/>
                <w:sz w:val="20"/>
                <w:lang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tcPr>
          <w:p w14:paraId="690775FB" w14:textId="77777777" w:rsidR="00D215BD" w:rsidRPr="001314CA" w:rsidRDefault="00D215BD" w:rsidP="00D215BD">
            <w:pPr>
              <w:tabs>
                <w:tab w:val="clear" w:pos="567"/>
                <w:tab w:val="clear" w:pos="1134"/>
                <w:tab w:val="clear" w:pos="1701"/>
                <w:tab w:val="clear" w:pos="2268"/>
                <w:tab w:val="clear" w:pos="2835"/>
              </w:tabs>
              <w:spacing w:before="60"/>
              <w:rPr>
                <w:sz w:val="20"/>
                <w:lang w:eastAsia="zh-CN"/>
              </w:rPr>
            </w:pPr>
            <w:r w:rsidRPr="001314CA">
              <w:rPr>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5E461026" w14:textId="77777777" w:rsidR="00D215BD" w:rsidRPr="001314CA" w:rsidRDefault="00D215BD" w:rsidP="00D215BD">
            <w:pPr>
              <w:tabs>
                <w:tab w:val="clear" w:pos="567"/>
                <w:tab w:val="clear" w:pos="1134"/>
                <w:tab w:val="clear" w:pos="1701"/>
                <w:tab w:val="clear" w:pos="2268"/>
                <w:tab w:val="clear" w:pos="2835"/>
              </w:tabs>
              <w:spacing w:before="60"/>
              <w:rPr>
                <w:sz w:val="20"/>
                <w:lang w:eastAsia="zh-CN"/>
              </w:rPr>
            </w:pPr>
            <w:r w:rsidRPr="001314CA">
              <w:rPr>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40E66635"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61EBE860" w14:textId="77777777" w:rsidR="00D215BD" w:rsidRPr="001314CA" w:rsidRDefault="00D215BD" w:rsidP="00D215BD">
            <w:pPr>
              <w:tabs>
                <w:tab w:val="clear" w:pos="567"/>
                <w:tab w:val="clear" w:pos="1134"/>
                <w:tab w:val="clear" w:pos="1701"/>
                <w:tab w:val="clear" w:pos="2268"/>
                <w:tab w:val="clear" w:pos="2835"/>
              </w:tabs>
              <w:spacing w:before="60"/>
              <w:jc w:val="right"/>
              <w:rPr>
                <w:rFonts w:cs="Arial"/>
                <w:b/>
                <w:bCs/>
                <w:sz w:val="20"/>
                <w:lang w:eastAsia="zh-CN"/>
              </w:rPr>
            </w:pPr>
            <w:r w:rsidRPr="001314CA">
              <w:rPr>
                <w:rFonts w:cs="Arial"/>
                <w:b/>
                <w:bCs/>
                <w:sz w:val="20"/>
                <w:lang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323EA502" w14:textId="77777777" w:rsidR="00D215BD" w:rsidRPr="001314CA" w:rsidRDefault="00D215BD" w:rsidP="00D215BD">
            <w:pPr>
              <w:tabs>
                <w:tab w:val="clear" w:pos="567"/>
                <w:tab w:val="clear" w:pos="1134"/>
                <w:tab w:val="clear" w:pos="1701"/>
                <w:tab w:val="clear" w:pos="2268"/>
                <w:tab w:val="clear" w:pos="2835"/>
              </w:tabs>
              <w:spacing w:before="60"/>
              <w:jc w:val="right"/>
              <w:rPr>
                <w:rFonts w:cs="Arial"/>
                <w:b/>
                <w:bCs/>
                <w:sz w:val="20"/>
                <w:lang w:eastAsia="zh-CN"/>
              </w:rPr>
            </w:pPr>
            <w:r w:rsidRPr="001314CA">
              <w:rPr>
                <w:rFonts w:cs="Arial"/>
                <w:b/>
                <w:bCs/>
                <w:sz w:val="20"/>
                <w:lang w:eastAsia="zh-CN"/>
              </w:rPr>
              <w:t>2 400,00</w:t>
            </w:r>
          </w:p>
        </w:tc>
      </w:tr>
    </w:tbl>
    <w:p w14:paraId="30FB226F" w14:textId="77777777" w:rsidR="00D215BD" w:rsidRPr="001314CA" w:rsidRDefault="00D215BD" w:rsidP="00D215BD"/>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D215BD" w:rsidRPr="001314CA" w14:paraId="309C0AEF"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2D64D291"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tcPr>
          <w:p w14:paraId="0FEEE124"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Pays</w:t>
            </w:r>
          </w:p>
        </w:tc>
        <w:tc>
          <w:tcPr>
            <w:tcW w:w="2274" w:type="dxa"/>
            <w:tcBorders>
              <w:top w:val="single" w:sz="4" w:space="0" w:color="auto"/>
              <w:left w:val="nil"/>
              <w:bottom w:val="single" w:sz="4" w:space="0" w:color="auto"/>
              <w:right w:val="single" w:sz="4" w:space="0" w:color="auto"/>
            </w:tcBorders>
            <w:shd w:val="clear" w:color="auto" w:fill="auto"/>
            <w:noWrap/>
          </w:tcPr>
          <w:p w14:paraId="5A3FDB19"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Entité</w:t>
            </w:r>
          </w:p>
        </w:tc>
        <w:tc>
          <w:tcPr>
            <w:tcW w:w="1843" w:type="dxa"/>
            <w:tcBorders>
              <w:top w:val="single" w:sz="4" w:space="0" w:color="auto"/>
              <w:left w:val="nil"/>
              <w:bottom w:val="single" w:sz="4" w:space="0" w:color="auto"/>
              <w:right w:val="single" w:sz="4" w:space="0" w:color="auto"/>
            </w:tcBorders>
            <w:shd w:val="clear" w:color="auto" w:fill="auto"/>
            <w:noWrap/>
          </w:tcPr>
          <w:p w14:paraId="5EC530B0"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tcPr>
          <w:p w14:paraId="4DE9AB46"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tcPr>
          <w:p w14:paraId="185C8662"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Restant dû</w:t>
            </w:r>
          </w:p>
        </w:tc>
      </w:tr>
      <w:tr w:rsidR="00D215BD" w:rsidRPr="001314CA" w14:paraId="399E33B9"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D5C488A" w14:textId="77777777" w:rsidR="00D215BD" w:rsidRPr="001314CA" w:rsidRDefault="00D215BD" w:rsidP="00D215BD">
            <w:pPr>
              <w:tabs>
                <w:tab w:val="clear" w:pos="567"/>
                <w:tab w:val="clear" w:pos="1134"/>
                <w:tab w:val="clear" w:pos="1701"/>
                <w:tab w:val="clear" w:pos="2268"/>
                <w:tab w:val="clear" w:pos="2835"/>
              </w:tabs>
              <w:spacing w:before="60"/>
              <w:jc w:val="center"/>
              <w:rPr>
                <w:sz w:val="20"/>
                <w:lang w:eastAsia="zh-CN"/>
              </w:rPr>
            </w:pPr>
            <w:r w:rsidRPr="001314CA">
              <w:rPr>
                <w:sz w:val="20"/>
                <w:lang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0857CE8C" w14:textId="77777777" w:rsidR="00D215BD" w:rsidRPr="001314CA" w:rsidRDefault="00D215BD" w:rsidP="00D215BD">
            <w:pPr>
              <w:tabs>
                <w:tab w:val="clear" w:pos="567"/>
                <w:tab w:val="clear" w:pos="1134"/>
                <w:tab w:val="clear" w:pos="1701"/>
                <w:tab w:val="clear" w:pos="2268"/>
                <w:tab w:val="clear" w:pos="2835"/>
              </w:tabs>
              <w:spacing w:before="60"/>
              <w:rPr>
                <w:sz w:val="20"/>
                <w:lang w:eastAsia="zh-CN"/>
              </w:rPr>
            </w:pPr>
            <w:r w:rsidRPr="001314CA">
              <w:rPr>
                <w:sz w:val="20"/>
                <w:lang w:eastAsia="zh-CN"/>
              </w:rPr>
              <w:t>Ouganda</w:t>
            </w:r>
          </w:p>
        </w:tc>
        <w:tc>
          <w:tcPr>
            <w:tcW w:w="2274" w:type="dxa"/>
            <w:tcBorders>
              <w:top w:val="single" w:sz="4" w:space="0" w:color="auto"/>
              <w:left w:val="nil"/>
              <w:bottom w:val="single" w:sz="4" w:space="0" w:color="auto"/>
              <w:right w:val="single" w:sz="4" w:space="0" w:color="auto"/>
            </w:tcBorders>
            <w:shd w:val="clear" w:color="auto" w:fill="auto"/>
            <w:noWrap/>
          </w:tcPr>
          <w:p w14:paraId="2B9B8071" w14:textId="77777777" w:rsidR="00D215BD" w:rsidRPr="001314CA" w:rsidRDefault="00D215BD" w:rsidP="00D215BD">
            <w:pPr>
              <w:tabs>
                <w:tab w:val="clear" w:pos="567"/>
                <w:tab w:val="clear" w:pos="1134"/>
                <w:tab w:val="clear" w:pos="1701"/>
                <w:tab w:val="clear" w:pos="2268"/>
                <w:tab w:val="clear" w:pos="2835"/>
              </w:tabs>
              <w:spacing w:before="60"/>
              <w:rPr>
                <w:sz w:val="20"/>
                <w:lang w:eastAsia="zh-CN"/>
              </w:rPr>
            </w:pPr>
            <w:proofErr w:type="spellStart"/>
            <w:r w:rsidRPr="001314CA">
              <w:rPr>
                <w:sz w:val="20"/>
                <w:lang w:eastAsia="zh-CN"/>
              </w:rPr>
              <w:t>Abercom</w:t>
            </w:r>
            <w:proofErr w:type="spellEnd"/>
            <w:r w:rsidRPr="001314CA">
              <w:rPr>
                <w:sz w:val="20"/>
                <w:lang w:eastAsia="zh-CN"/>
              </w:rPr>
              <w:t>(U)</w:t>
            </w:r>
          </w:p>
        </w:tc>
        <w:tc>
          <w:tcPr>
            <w:tcW w:w="1843" w:type="dxa"/>
            <w:tcBorders>
              <w:top w:val="single" w:sz="4" w:space="0" w:color="auto"/>
              <w:left w:val="nil"/>
              <w:bottom w:val="single" w:sz="4" w:space="0" w:color="auto"/>
              <w:right w:val="single" w:sz="4" w:space="0" w:color="auto"/>
            </w:tcBorders>
            <w:shd w:val="clear" w:color="auto" w:fill="auto"/>
            <w:noWrap/>
          </w:tcPr>
          <w:p w14:paraId="079B2FA5"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677F7015"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1EFBB6BD"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1 200,00</w:t>
            </w:r>
          </w:p>
        </w:tc>
      </w:tr>
      <w:tr w:rsidR="00D215BD" w:rsidRPr="001314CA" w14:paraId="0A4C7149"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533097E" w14:textId="77777777" w:rsidR="00D215BD" w:rsidRPr="001314CA" w:rsidRDefault="00D215BD" w:rsidP="00D215BD">
            <w:pPr>
              <w:tabs>
                <w:tab w:val="clear" w:pos="567"/>
                <w:tab w:val="clear" w:pos="1134"/>
                <w:tab w:val="clear" w:pos="1701"/>
                <w:tab w:val="clear" w:pos="2268"/>
                <w:tab w:val="clear" w:pos="2835"/>
              </w:tabs>
              <w:spacing w:before="60"/>
              <w:jc w:val="center"/>
              <w:rPr>
                <w:sz w:val="20"/>
                <w:lang w:eastAsia="zh-CN"/>
              </w:rPr>
            </w:pPr>
            <w:r w:rsidRPr="001314CA">
              <w:rPr>
                <w:sz w:val="20"/>
                <w:lang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11FFCC9E" w14:textId="77777777" w:rsidR="00D215BD" w:rsidRPr="001314CA" w:rsidRDefault="00D215BD" w:rsidP="00D215BD">
            <w:pPr>
              <w:tabs>
                <w:tab w:val="clear" w:pos="567"/>
                <w:tab w:val="clear" w:pos="1134"/>
                <w:tab w:val="clear" w:pos="1701"/>
                <w:tab w:val="clear" w:pos="2268"/>
                <w:tab w:val="clear" w:pos="2835"/>
              </w:tabs>
              <w:spacing w:before="60"/>
              <w:rPr>
                <w:color w:val="000000"/>
                <w:sz w:val="20"/>
                <w:lang w:eastAsia="zh-CN"/>
              </w:rPr>
            </w:pPr>
            <w:r w:rsidRPr="001314CA">
              <w:rPr>
                <w:color w:val="000000"/>
                <w:sz w:val="20"/>
                <w:lang w:eastAsia="zh-CN"/>
              </w:rPr>
              <w:t>Kenya</w:t>
            </w:r>
          </w:p>
        </w:tc>
        <w:tc>
          <w:tcPr>
            <w:tcW w:w="2274" w:type="dxa"/>
            <w:tcBorders>
              <w:top w:val="single" w:sz="4" w:space="0" w:color="auto"/>
              <w:left w:val="nil"/>
              <w:bottom w:val="single" w:sz="4" w:space="0" w:color="auto"/>
              <w:right w:val="single" w:sz="4" w:space="0" w:color="auto"/>
            </w:tcBorders>
            <w:shd w:val="clear" w:color="auto" w:fill="auto"/>
            <w:noWrap/>
          </w:tcPr>
          <w:p w14:paraId="1D597276" w14:textId="77777777" w:rsidR="00D215BD" w:rsidRPr="001314CA" w:rsidRDefault="00D215BD" w:rsidP="00D215BD">
            <w:pPr>
              <w:tabs>
                <w:tab w:val="clear" w:pos="567"/>
                <w:tab w:val="clear" w:pos="1134"/>
                <w:tab w:val="clear" w:pos="1701"/>
                <w:tab w:val="clear" w:pos="2268"/>
                <w:tab w:val="clear" w:pos="2835"/>
              </w:tabs>
              <w:spacing w:before="60"/>
              <w:rPr>
                <w:color w:val="000000"/>
                <w:sz w:val="20"/>
                <w:lang w:eastAsia="zh-CN"/>
              </w:rPr>
            </w:pPr>
            <w:proofErr w:type="spellStart"/>
            <w:r w:rsidRPr="001314CA">
              <w:rPr>
                <w:color w:val="000000"/>
                <w:sz w:val="20"/>
                <w:lang w:eastAsia="zh-CN"/>
              </w:rPr>
              <w:t>FarmDrive</w:t>
            </w:r>
            <w:proofErr w:type="spellEnd"/>
          </w:p>
        </w:tc>
        <w:tc>
          <w:tcPr>
            <w:tcW w:w="1843" w:type="dxa"/>
            <w:tcBorders>
              <w:top w:val="single" w:sz="4" w:space="0" w:color="auto"/>
              <w:left w:val="nil"/>
              <w:bottom w:val="single" w:sz="4" w:space="0" w:color="auto"/>
              <w:right w:val="single" w:sz="4" w:space="0" w:color="auto"/>
            </w:tcBorders>
            <w:shd w:val="clear" w:color="auto" w:fill="auto"/>
            <w:noWrap/>
          </w:tcPr>
          <w:p w14:paraId="0B88E107" w14:textId="77777777" w:rsidR="00D215BD" w:rsidRPr="001314CA" w:rsidRDefault="00D215BD" w:rsidP="00D215BD">
            <w:pPr>
              <w:tabs>
                <w:tab w:val="clear" w:pos="567"/>
                <w:tab w:val="clear" w:pos="1134"/>
                <w:tab w:val="clear" w:pos="1701"/>
                <w:tab w:val="clear" w:pos="2268"/>
                <w:tab w:val="clear" w:pos="2835"/>
              </w:tabs>
              <w:spacing w:before="60"/>
              <w:jc w:val="right"/>
              <w:rPr>
                <w:color w:val="000000"/>
                <w:sz w:val="20"/>
                <w:lang w:eastAsia="zh-CN"/>
              </w:rPr>
            </w:pPr>
            <w:r w:rsidRPr="001314CA">
              <w:rPr>
                <w:color w:val="000000"/>
                <w:sz w:val="20"/>
                <w:lang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1D2D79F3" w14:textId="77777777" w:rsidR="00D215BD" w:rsidRPr="001314CA" w:rsidRDefault="00D215BD" w:rsidP="00D215BD">
            <w:pPr>
              <w:tabs>
                <w:tab w:val="clear" w:pos="567"/>
                <w:tab w:val="clear" w:pos="1134"/>
                <w:tab w:val="clear" w:pos="1701"/>
                <w:tab w:val="clear" w:pos="2268"/>
                <w:tab w:val="clear" w:pos="2835"/>
              </w:tabs>
              <w:spacing w:before="60"/>
              <w:jc w:val="right"/>
              <w:rPr>
                <w:color w:val="000000"/>
                <w:sz w:val="20"/>
                <w:lang w:eastAsia="zh-CN"/>
              </w:rPr>
            </w:pPr>
            <w:r w:rsidRPr="001314CA">
              <w:rPr>
                <w:color w:val="000000"/>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74AC1FCA"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1 200,00</w:t>
            </w:r>
          </w:p>
        </w:tc>
      </w:tr>
      <w:tr w:rsidR="00D215BD" w:rsidRPr="001314CA" w14:paraId="7152989F"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1A2BC63" w14:textId="77777777" w:rsidR="00D215BD" w:rsidRPr="001314CA" w:rsidRDefault="00D215BD" w:rsidP="00D215BD">
            <w:pPr>
              <w:tabs>
                <w:tab w:val="clear" w:pos="567"/>
                <w:tab w:val="clear" w:pos="1134"/>
                <w:tab w:val="clear" w:pos="1701"/>
                <w:tab w:val="clear" w:pos="2268"/>
                <w:tab w:val="clear" w:pos="2835"/>
              </w:tabs>
              <w:spacing w:before="60"/>
              <w:jc w:val="center"/>
              <w:rPr>
                <w:sz w:val="20"/>
                <w:lang w:eastAsia="zh-CN"/>
              </w:rPr>
            </w:pPr>
            <w:r w:rsidRPr="001314CA">
              <w:rPr>
                <w:sz w:val="20"/>
                <w:lang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4B21E4A7" w14:textId="77777777" w:rsidR="00D215BD" w:rsidRPr="001314CA" w:rsidRDefault="00D215BD" w:rsidP="00D215BD">
            <w:pPr>
              <w:tabs>
                <w:tab w:val="clear" w:pos="567"/>
                <w:tab w:val="clear" w:pos="1134"/>
                <w:tab w:val="clear" w:pos="1701"/>
                <w:tab w:val="clear" w:pos="2268"/>
                <w:tab w:val="clear" w:pos="2835"/>
              </w:tabs>
              <w:spacing w:before="60"/>
              <w:rPr>
                <w:color w:val="000000"/>
                <w:sz w:val="20"/>
                <w:lang w:eastAsia="zh-CN"/>
              </w:rPr>
            </w:pPr>
            <w:r w:rsidRPr="001314CA">
              <w:rPr>
                <w:color w:val="000000"/>
                <w:sz w:val="20"/>
                <w:lang w:eastAsia="zh-CN"/>
              </w:rPr>
              <w:t>Argentine</w:t>
            </w:r>
          </w:p>
        </w:tc>
        <w:tc>
          <w:tcPr>
            <w:tcW w:w="2274" w:type="dxa"/>
            <w:tcBorders>
              <w:top w:val="single" w:sz="4" w:space="0" w:color="auto"/>
              <w:left w:val="nil"/>
              <w:bottom w:val="single" w:sz="4" w:space="0" w:color="auto"/>
              <w:right w:val="single" w:sz="4" w:space="0" w:color="auto"/>
            </w:tcBorders>
            <w:shd w:val="clear" w:color="auto" w:fill="auto"/>
            <w:noWrap/>
          </w:tcPr>
          <w:p w14:paraId="6E4DA778" w14:textId="77777777" w:rsidR="00D215BD" w:rsidRPr="001314CA" w:rsidRDefault="00D215BD" w:rsidP="00D215BD">
            <w:pPr>
              <w:tabs>
                <w:tab w:val="clear" w:pos="567"/>
                <w:tab w:val="clear" w:pos="1134"/>
                <w:tab w:val="clear" w:pos="1701"/>
                <w:tab w:val="clear" w:pos="2268"/>
                <w:tab w:val="clear" w:pos="2835"/>
              </w:tabs>
              <w:spacing w:before="60"/>
              <w:rPr>
                <w:color w:val="000000"/>
                <w:sz w:val="20"/>
                <w:lang w:eastAsia="zh-CN"/>
              </w:rPr>
            </w:pPr>
            <w:proofErr w:type="spellStart"/>
            <w:r w:rsidRPr="001314CA">
              <w:rPr>
                <w:color w:val="000000"/>
                <w:sz w:val="20"/>
                <w:lang w:eastAsia="zh-CN"/>
              </w:rPr>
              <w:t>Ministerio</w:t>
            </w:r>
            <w:proofErr w:type="spellEnd"/>
            <w:r w:rsidRPr="001314CA">
              <w:rPr>
                <w:color w:val="000000"/>
                <w:sz w:val="20"/>
                <w:lang w:eastAsia="zh-CN"/>
              </w:rPr>
              <w:t xml:space="preserve"> de </w:t>
            </w:r>
            <w:proofErr w:type="spellStart"/>
            <w:r w:rsidRPr="001314CA">
              <w:rPr>
                <w:color w:val="000000"/>
                <w:sz w:val="20"/>
                <w:lang w:eastAsia="zh-CN"/>
              </w:rPr>
              <w:t>Comunicaciones</w:t>
            </w:r>
            <w:proofErr w:type="spellEnd"/>
          </w:p>
        </w:tc>
        <w:tc>
          <w:tcPr>
            <w:tcW w:w="1843" w:type="dxa"/>
            <w:tcBorders>
              <w:top w:val="single" w:sz="4" w:space="0" w:color="auto"/>
              <w:left w:val="nil"/>
              <w:bottom w:val="single" w:sz="4" w:space="0" w:color="auto"/>
              <w:right w:val="single" w:sz="4" w:space="0" w:color="auto"/>
            </w:tcBorders>
            <w:shd w:val="clear" w:color="auto" w:fill="auto"/>
            <w:noWrap/>
          </w:tcPr>
          <w:p w14:paraId="341E8767" w14:textId="77777777" w:rsidR="00D215BD" w:rsidRPr="001314CA" w:rsidRDefault="00D215BD" w:rsidP="00D215BD">
            <w:pPr>
              <w:tabs>
                <w:tab w:val="clear" w:pos="567"/>
                <w:tab w:val="clear" w:pos="1134"/>
                <w:tab w:val="clear" w:pos="1701"/>
                <w:tab w:val="clear" w:pos="2268"/>
                <w:tab w:val="clear" w:pos="2835"/>
              </w:tabs>
              <w:spacing w:before="60"/>
              <w:jc w:val="right"/>
              <w:rPr>
                <w:color w:val="000000"/>
                <w:sz w:val="20"/>
                <w:lang w:eastAsia="zh-CN"/>
              </w:rPr>
            </w:pPr>
            <w:r w:rsidRPr="001314CA">
              <w:rPr>
                <w:color w:val="000000"/>
                <w:sz w:val="20"/>
                <w:lang w:eastAsia="zh-CN"/>
              </w:rPr>
              <w:t>40 000,00</w:t>
            </w:r>
          </w:p>
        </w:tc>
        <w:tc>
          <w:tcPr>
            <w:tcW w:w="1417" w:type="dxa"/>
            <w:tcBorders>
              <w:top w:val="single" w:sz="4" w:space="0" w:color="auto"/>
              <w:left w:val="nil"/>
              <w:bottom w:val="single" w:sz="4" w:space="0" w:color="auto"/>
              <w:right w:val="single" w:sz="4" w:space="0" w:color="auto"/>
            </w:tcBorders>
            <w:shd w:val="clear" w:color="auto" w:fill="auto"/>
            <w:noWrap/>
          </w:tcPr>
          <w:p w14:paraId="123D47F9" w14:textId="77777777" w:rsidR="00D215BD" w:rsidRPr="001314CA" w:rsidRDefault="00D215BD" w:rsidP="00D215BD">
            <w:pPr>
              <w:tabs>
                <w:tab w:val="clear" w:pos="567"/>
                <w:tab w:val="clear" w:pos="1134"/>
                <w:tab w:val="clear" w:pos="1701"/>
                <w:tab w:val="clear" w:pos="2268"/>
                <w:tab w:val="clear" w:pos="2835"/>
              </w:tabs>
              <w:spacing w:before="60"/>
              <w:jc w:val="right"/>
              <w:rPr>
                <w:color w:val="000000"/>
                <w:sz w:val="20"/>
                <w:lang w:eastAsia="zh-CN"/>
              </w:rPr>
            </w:pPr>
            <w:r w:rsidRPr="001314CA">
              <w:rPr>
                <w:color w:val="000000"/>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53FECEDB"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40 000,00</w:t>
            </w:r>
          </w:p>
        </w:tc>
      </w:tr>
      <w:tr w:rsidR="00D215BD" w:rsidRPr="001314CA" w14:paraId="77E514D3"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8B60FA4" w14:textId="77777777" w:rsidR="00D215BD" w:rsidRPr="001314CA" w:rsidRDefault="00D215BD" w:rsidP="00D215BD">
            <w:pPr>
              <w:tabs>
                <w:tab w:val="clear" w:pos="567"/>
                <w:tab w:val="clear" w:pos="1134"/>
                <w:tab w:val="clear" w:pos="1701"/>
                <w:tab w:val="clear" w:pos="2268"/>
                <w:tab w:val="clear" w:pos="2835"/>
              </w:tabs>
              <w:spacing w:before="60"/>
              <w:jc w:val="center"/>
              <w:rPr>
                <w:sz w:val="20"/>
                <w:lang w:eastAsia="zh-CN"/>
              </w:rPr>
            </w:pPr>
            <w:r w:rsidRPr="001314CA">
              <w:rPr>
                <w:sz w:val="20"/>
                <w:lang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4B82AE11" w14:textId="77777777" w:rsidR="00D215BD" w:rsidRPr="001314CA" w:rsidRDefault="00D215BD" w:rsidP="00D215BD">
            <w:pPr>
              <w:tabs>
                <w:tab w:val="clear" w:pos="567"/>
                <w:tab w:val="clear" w:pos="1134"/>
                <w:tab w:val="clear" w:pos="1701"/>
                <w:tab w:val="clear" w:pos="2268"/>
                <w:tab w:val="clear" w:pos="2835"/>
              </w:tabs>
              <w:spacing w:before="60"/>
              <w:rPr>
                <w:color w:val="000000"/>
                <w:sz w:val="20"/>
                <w:lang w:eastAsia="zh-CN"/>
              </w:rPr>
            </w:pPr>
            <w:r w:rsidRPr="001314CA">
              <w:rPr>
                <w:color w:val="000000"/>
                <w:sz w:val="20"/>
                <w:lang w:eastAsia="zh-CN"/>
              </w:rPr>
              <w:t>Soudan</w:t>
            </w:r>
          </w:p>
        </w:tc>
        <w:tc>
          <w:tcPr>
            <w:tcW w:w="2274" w:type="dxa"/>
            <w:tcBorders>
              <w:top w:val="single" w:sz="4" w:space="0" w:color="auto"/>
              <w:left w:val="nil"/>
              <w:bottom w:val="single" w:sz="4" w:space="0" w:color="auto"/>
              <w:right w:val="single" w:sz="4" w:space="0" w:color="auto"/>
            </w:tcBorders>
            <w:shd w:val="clear" w:color="auto" w:fill="auto"/>
            <w:noWrap/>
          </w:tcPr>
          <w:p w14:paraId="6F5C9173" w14:textId="77777777" w:rsidR="00D215BD" w:rsidRPr="001314CA" w:rsidRDefault="00D215BD" w:rsidP="00D215BD">
            <w:pPr>
              <w:tabs>
                <w:tab w:val="clear" w:pos="567"/>
                <w:tab w:val="clear" w:pos="1134"/>
                <w:tab w:val="clear" w:pos="1701"/>
                <w:tab w:val="clear" w:pos="2268"/>
                <w:tab w:val="clear" w:pos="2835"/>
              </w:tabs>
              <w:spacing w:before="60"/>
              <w:rPr>
                <w:color w:val="000000"/>
                <w:sz w:val="20"/>
                <w:lang w:eastAsia="zh-CN"/>
              </w:rPr>
            </w:pPr>
            <w:r w:rsidRPr="001314CA">
              <w:rPr>
                <w:color w:val="000000"/>
                <w:sz w:val="20"/>
                <w:lang w:eastAsia="zh-CN"/>
              </w:rPr>
              <w:t>National Information Center</w:t>
            </w:r>
          </w:p>
        </w:tc>
        <w:tc>
          <w:tcPr>
            <w:tcW w:w="1843" w:type="dxa"/>
            <w:tcBorders>
              <w:top w:val="single" w:sz="4" w:space="0" w:color="auto"/>
              <w:left w:val="nil"/>
              <w:bottom w:val="single" w:sz="4" w:space="0" w:color="auto"/>
              <w:right w:val="single" w:sz="4" w:space="0" w:color="auto"/>
            </w:tcBorders>
            <w:shd w:val="clear" w:color="auto" w:fill="auto"/>
            <w:noWrap/>
          </w:tcPr>
          <w:p w14:paraId="4D44C95C" w14:textId="77777777" w:rsidR="00D215BD" w:rsidRPr="001314CA" w:rsidRDefault="00D215BD" w:rsidP="00D215BD">
            <w:pPr>
              <w:tabs>
                <w:tab w:val="clear" w:pos="567"/>
                <w:tab w:val="clear" w:pos="1134"/>
                <w:tab w:val="clear" w:pos="1701"/>
                <w:tab w:val="clear" w:pos="2268"/>
                <w:tab w:val="clear" w:pos="2835"/>
              </w:tabs>
              <w:spacing w:before="60"/>
              <w:jc w:val="right"/>
              <w:rPr>
                <w:color w:val="000000"/>
                <w:sz w:val="20"/>
                <w:lang w:eastAsia="zh-CN"/>
              </w:rPr>
            </w:pPr>
            <w:r w:rsidRPr="001314CA">
              <w:rPr>
                <w:color w:val="000000"/>
                <w:sz w:val="20"/>
                <w:lang w:eastAsia="zh-CN"/>
              </w:rPr>
              <w:t>50 000,00</w:t>
            </w:r>
          </w:p>
        </w:tc>
        <w:tc>
          <w:tcPr>
            <w:tcW w:w="1417" w:type="dxa"/>
            <w:tcBorders>
              <w:top w:val="single" w:sz="4" w:space="0" w:color="auto"/>
              <w:left w:val="nil"/>
              <w:bottom w:val="single" w:sz="4" w:space="0" w:color="auto"/>
              <w:right w:val="single" w:sz="4" w:space="0" w:color="auto"/>
            </w:tcBorders>
            <w:shd w:val="clear" w:color="auto" w:fill="auto"/>
            <w:noWrap/>
          </w:tcPr>
          <w:p w14:paraId="62EDAD81" w14:textId="77777777" w:rsidR="00D215BD" w:rsidRPr="001314CA" w:rsidRDefault="00D215BD" w:rsidP="00D215BD">
            <w:pPr>
              <w:tabs>
                <w:tab w:val="clear" w:pos="567"/>
                <w:tab w:val="clear" w:pos="1134"/>
                <w:tab w:val="clear" w:pos="1701"/>
                <w:tab w:val="clear" w:pos="2268"/>
                <w:tab w:val="clear" w:pos="2835"/>
              </w:tabs>
              <w:spacing w:before="60"/>
              <w:jc w:val="right"/>
              <w:rPr>
                <w:color w:val="000000"/>
                <w:sz w:val="20"/>
                <w:lang w:eastAsia="zh-CN"/>
              </w:rPr>
            </w:pPr>
            <w:r w:rsidRPr="001314CA">
              <w:rPr>
                <w:color w:val="000000"/>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53261AF5" w14:textId="77777777" w:rsidR="00D215BD" w:rsidRPr="001314CA" w:rsidRDefault="00D215BD" w:rsidP="00D215BD">
            <w:pPr>
              <w:tabs>
                <w:tab w:val="clear" w:pos="567"/>
                <w:tab w:val="clear" w:pos="1134"/>
                <w:tab w:val="clear" w:pos="1701"/>
                <w:tab w:val="clear" w:pos="2268"/>
                <w:tab w:val="clear" w:pos="2835"/>
              </w:tabs>
              <w:spacing w:before="60"/>
              <w:jc w:val="right"/>
              <w:rPr>
                <w:sz w:val="20"/>
                <w:lang w:eastAsia="zh-CN"/>
              </w:rPr>
            </w:pPr>
            <w:r w:rsidRPr="001314CA">
              <w:rPr>
                <w:sz w:val="20"/>
                <w:lang w:eastAsia="zh-CN"/>
              </w:rPr>
              <w:t>50 000,00</w:t>
            </w:r>
          </w:p>
        </w:tc>
      </w:tr>
      <w:tr w:rsidR="00D215BD" w:rsidRPr="001314CA" w14:paraId="4F18B47B"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2A5CCB1B" w14:textId="77777777" w:rsidR="00D215BD" w:rsidRPr="001314CA" w:rsidRDefault="00D215BD" w:rsidP="00D215BD">
            <w:pPr>
              <w:tabs>
                <w:tab w:val="clear" w:pos="567"/>
                <w:tab w:val="clear" w:pos="1134"/>
                <w:tab w:val="clear" w:pos="1701"/>
                <w:tab w:val="clear" w:pos="2268"/>
                <w:tab w:val="clear" w:pos="2835"/>
              </w:tabs>
              <w:spacing w:before="60"/>
              <w:jc w:val="center"/>
              <w:rPr>
                <w:color w:val="000000"/>
                <w:sz w:val="20"/>
                <w:lang w:eastAsia="zh-CN"/>
              </w:rPr>
            </w:pPr>
          </w:p>
        </w:tc>
        <w:tc>
          <w:tcPr>
            <w:tcW w:w="1553" w:type="dxa"/>
            <w:tcBorders>
              <w:top w:val="single" w:sz="4" w:space="0" w:color="auto"/>
              <w:left w:val="nil"/>
              <w:bottom w:val="single" w:sz="4" w:space="0" w:color="auto"/>
              <w:right w:val="single" w:sz="4" w:space="0" w:color="auto"/>
            </w:tcBorders>
            <w:shd w:val="clear" w:color="auto" w:fill="auto"/>
            <w:noWrap/>
          </w:tcPr>
          <w:p w14:paraId="44E88660" w14:textId="77777777" w:rsidR="00D215BD" w:rsidRPr="001314CA" w:rsidRDefault="00D215BD" w:rsidP="00D215BD">
            <w:pPr>
              <w:tabs>
                <w:tab w:val="clear" w:pos="567"/>
                <w:tab w:val="clear" w:pos="1134"/>
                <w:tab w:val="clear" w:pos="1701"/>
                <w:tab w:val="clear" w:pos="2268"/>
                <w:tab w:val="clear" w:pos="2835"/>
              </w:tabs>
              <w:spacing w:before="60"/>
              <w:rPr>
                <w:color w:val="000000"/>
                <w:sz w:val="20"/>
                <w:lang w:eastAsia="zh-CN"/>
              </w:rPr>
            </w:pPr>
            <w:r w:rsidRPr="001314CA">
              <w:rPr>
                <w:color w:val="000000"/>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2777FA3A" w14:textId="77777777" w:rsidR="00D215BD" w:rsidRPr="001314CA" w:rsidRDefault="00D215BD" w:rsidP="00D215BD">
            <w:pPr>
              <w:tabs>
                <w:tab w:val="clear" w:pos="567"/>
                <w:tab w:val="clear" w:pos="1134"/>
                <w:tab w:val="clear" w:pos="1701"/>
                <w:tab w:val="clear" w:pos="2268"/>
                <w:tab w:val="clear" w:pos="2835"/>
              </w:tabs>
              <w:spacing w:before="60"/>
              <w:rPr>
                <w:color w:val="000000"/>
                <w:sz w:val="20"/>
                <w:lang w:eastAsia="zh-CN"/>
              </w:rPr>
            </w:pPr>
            <w:r w:rsidRPr="001314CA">
              <w:rPr>
                <w:color w:val="000000"/>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40C74562" w14:textId="77777777" w:rsidR="00D215BD" w:rsidRPr="001314CA" w:rsidRDefault="00D215BD" w:rsidP="00D215BD">
            <w:pPr>
              <w:tabs>
                <w:tab w:val="clear" w:pos="567"/>
                <w:tab w:val="clear" w:pos="1134"/>
                <w:tab w:val="clear" w:pos="1701"/>
                <w:tab w:val="clear" w:pos="2268"/>
                <w:tab w:val="clear" w:pos="2835"/>
              </w:tabs>
              <w:spacing w:before="60"/>
              <w:jc w:val="right"/>
              <w:rPr>
                <w:color w:val="000000"/>
                <w:sz w:val="20"/>
                <w:lang w:eastAsia="zh-CN"/>
              </w:rPr>
            </w:pPr>
            <w:r w:rsidRPr="001314CA">
              <w:rPr>
                <w:color w:val="000000"/>
                <w:sz w:val="20"/>
                <w:lang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37BD90ED" w14:textId="77777777" w:rsidR="00D215BD" w:rsidRPr="001314CA" w:rsidRDefault="00D215BD" w:rsidP="00D215BD">
            <w:pPr>
              <w:tabs>
                <w:tab w:val="clear" w:pos="567"/>
                <w:tab w:val="clear" w:pos="1134"/>
                <w:tab w:val="clear" w:pos="1701"/>
                <w:tab w:val="clear" w:pos="2268"/>
                <w:tab w:val="clear" w:pos="2835"/>
              </w:tabs>
              <w:spacing w:before="60"/>
              <w:jc w:val="right"/>
              <w:rPr>
                <w:color w:val="000000"/>
                <w:sz w:val="20"/>
                <w:lang w:eastAsia="zh-CN"/>
              </w:rPr>
            </w:pPr>
            <w:r w:rsidRPr="001314CA">
              <w:rPr>
                <w:color w:val="000000"/>
                <w:sz w:val="20"/>
                <w:lang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7E6DA325" w14:textId="77777777" w:rsidR="00D215BD" w:rsidRPr="001314CA" w:rsidRDefault="00D215BD" w:rsidP="00D215BD">
            <w:pPr>
              <w:tabs>
                <w:tab w:val="clear" w:pos="567"/>
                <w:tab w:val="clear" w:pos="1134"/>
                <w:tab w:val="clear" w:pos="1701"/>
                <w:tab w:val="clear" w:pos="2268"/>
                <w:tab w:val="clear" w:pos="2835"/>
              </w:tabs>
              <w:spacing w:before="60"/>
              <w:jc w:val="right"/>
              <w:rPr>
                <w:color w:val="000000"/>
                <w:sz w:val="20"/>
                <w:lang w:eastAsia="zh-CN"/>
              </w:rPr>
            </w:pPr>
            <w:r w:rsidRPr="001314CA">
              <w:rPr>
                <w:color w:val="000000"/>
                <w:sz w:val="20"/>
                <w:lang w:eastAsia="zh-CN"/>
              </w:rPr>
              <w:t> </w:t>
            </w:r>
          </w:p>
        </w:tc>
      </w:tr>
      <w:tr w:rsidR="00D215BD" w:rsidRPr="001314CA" w14:paraId="3AA9D3C6"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1D0BE36" w14:textId="77777777" w:rsidR="00D215BD" w:rsidRPr="001314CA" w:rsidRDefault="00D215BD" w:rsidP="00D215BD">
            <w:pPr>
              <w:tabs>
                <w:tab w:val="clear" w:pos="567"/>
                <w:tab w:val="clear" w:pos="1134"/>
                <w:tab w:val="clear" w:pos="1701"/>
                <w:tab w:val="clear" w:pos="2268"/>
                <w:tab w:val="clear" w:pos="2835"/>
              </w:tabs>
              <w:spacing w:before="60"/>
              <w:jc w:val="center"/>
              <w:rPr>
                <w:b/>
                <w:bCs/>
                <w:color w:val="000000"/>
                <w:sz w:val="20"/>
                <w:lang w:eastAsia="zh-CN"/>
              </w:rPr>
            </w:pPr>
            <w:r w:rsidRPr="001314CA">
              <w:rPr>
                <w:b/>
                <w:bCs/>
                <w:color w:val="000000"/>
                <w:sz w:val="20"/>
                <w:lang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401DC3D5" w14:textId="77777777" w:rsidR="00D215BD" w:rsidRPr="001314CA" w:rsidRDefault="00D215BD" w:rsidP="00D215BD">
            <w:pPr>
              <w:tabs>
                <w:tab w:val="clear" w:pos="567"/>
                <w:tab w:val="clear" w:pos="1134"/>
                <w:tab w:val="clear" w:pos="1701"/>
                <w:tab w:val="clear" w:pos="2268"/>
                <w:tab w:val="clear" w:pos="2835"/>
              </w:tabs>
              <w:spacing w:before="60"/>
              <w:rPr>
                <w:color w:val="000000"/>
                <w:sz w:val="20"/>
                <w:lang w:eastAsia="zh-CN"/>
              </w:rPr>
            </w:pPr>
            <w:r w:rsidRPr="001314CA">
              <w:rPr>
                <w:color w:val="000000"/>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50EE8E48" w14:textId="77777777" w:rsidR="00D215BD" w:rsidRPr="001314CA" w:rsidRDefault="00D215BD" w:rsidP="00D215BD">
            <w:pPr>
              <w:tabs>
                <w:tab w:val="clear" w:pos="567"/>
                <w:tab w:val="clear" w:pos="1134"/>
                <w:tab w:val="clear" w:pos="1701"/>
                <w:tab w:val="clear" w:pos="2268"/>
                <w:tab w:val="clear" w:pos="2835"/>
              </w:tabs>
              <w:spacing w:before="60"/>
              <w:rPr>
                <w:color w:val="000000"/>
                <w:sz w:val="20"/>
                <w:lang w:eastAsia="zh-CN"/>
              </w:rPr>
            </w:pPr>
            <w:r w:rsidRPr="001314CA">
              <w:rPr>
                <w:color w:val="000000"/>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6AD55112" w14:textId="77777777" w:rsidR="00D215BD" w:rsidRPr="001314CA" w:rsidRDefault="00D215BD" w:rsidP="00D215BD">
            <w:pPr>
              <w:tabs>
                <w:tab w:val="clear" w:pos="567"/>
                <w:tab w:val="clear" w:pos="1134"/>
                <w:tab w:val="clear" w:pos="1701"/>
                <w:tab w:val="clear" w:pos="2268"/>
                <w:tab w:val="clear" w:pos="2835"/>
              </w:tabs>
              <w:spacing w:before="60"/>
              <w:jc w:val="right"/>
              <w:rPr>
                <w:color w:val="000000"/>
                <w:sz w:val="20"/>
                <w:lang w:eastAsia="zh-CN"/>
              </w:rPr>
            </w:pPr>
            <w:r w:rsidRPr="001314CA">
              <w:rPr>
                <w:color w:val="000000"/>
                <w:sz w:val="20"/>
                <w:lang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1494157B" w14:textId="77777777" w:rsidR="00D215BD" w:rsidRPr="001314CA" w:rsidRDefault="00D215BD" w:rsidP="00D215BD">
            <w:pPr>
              <w:tabs>
                <w:tab w:val="clear" w:pos="567"/>
                <w:tab w:val="clear" w:pos="1134"/>
                <w:tab w:val="clear" w:pos="1701"/>
                <w:tab w:val="clear" w:pos="2268"/>
                <w:tab w:val="clear" w:pos="2835"/>
              </w:tabs>
              <w:spacing w:before="60"/>
              <w:jc w:val="right"/>
              <w:rPr>
                <w:rFonts w:ascii="Arial" w:hAnsi="Arial" w:cs="Arial"/>
                <w:b/>
                <w:bCs/>
                <w:sz w:val="20"/>
                <w:lang w:eastAsia="zh-CN"/>
              </w:rPr>
            </w:pPr>
            <w:r w:rsidRPr="001314CA">
              <w:rPr>
                <w:rFonts w:ascii="Arial" w:hAnsi="Arial" w:cs="Arial"/>
                <w:b/>
                <w:bCs/>
                <w:sz w:val="20"/>
                <w:lang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1008BF91" w14:textId="77777777" w:rsidR="00D215BD" w:rsidRPr="001314CA" w:rsidRDefault="00D215BD" w:rsidP="00D215BD">
            <w:pPr>
              <w:tabs>
                <w:tab w:val="clear" w:pos="567"/>
                <w:tab w:val="clear" w:pos="1134"/>
                <w:tab w:val="clear" w:pos="1701"/>
                <w:tab w:val="clear" w:pos="2268"/>
                <w:tab w:val="clear" w:pos="2835"/>
              </w:tabs>
              <w:spacing w:before="60"/>
              <w:jc w:val="right"/>
              <w:rPr>
                <w:rFonts w:cs="Arial"/>
                <w:b/>
                <w:bCs/>
                <w:sz w:val="20"/>
                <w:lang w:eastAsia="zh-CN"/>
              </w:rPr>
            </w:pPr>
            <w:r w:rsidRPr="001314CA">
              <w:rPr>
                <w:rFonts w:cs="Arial"/>
                <w:b/>
                <w:bCs/>
                <w:sz w:val="20"/>
                <w:lang w:eastAsia="zh-CN"/>
              </w:rPr>
              <w:t>92 400,00</w:t>
            </w:r>
          </w:p>
        </w:tc>
      </w:tr>
    </w:tbl>
    <w:p w14:paraId="202E3251" w14:textId="77777777" w:rsidR="00D215BD" w:rsidRPr="001314CA" w:rsidRDefault="00D215BD" w:rsidP="00D215BD">
      <w:pPr>
        <w:spacing w:before="240" w:after="120"/>
        <w:jc w:val="center"/>
        <w:rPr>
          <w:b/>
          <w:sz w:val="28"/>
        </w:rPr>
      </w:pPr>
      <w:r w:rsidRPr="001314CA">
        <w:rPr>
          <w:b/>
          <w:sz w:val="28"/>
        </w:rPr>
        <w:br w:type="page"/>
      </w:r>
    </w:p>
    <w:p w14:paraId="274D09AC" w14:textId="77777777" w:rsidR="00D215BD" w:rsidRPr="001314CA" w:rsidRDefault="00D215BD" w:rsidP="00D215BD">
      <w:pPr>
        <w:spacing w:before="240" w:after="120"/>
        <w:jc w:val="center"/>
        <w:rPr>
          <w:b/>
          <w:sz w:val="28"/>
        </w:rPr>
      </w:pPr>
      <w:r w:rsidRPr="001314CA">
        <w:rPr>
          <w:b/>
          <w:sz w:val="28"/>
        </w:rPr>
        <w:lastRenderedPageBreak/>
        <w:t xml:space="preserve">Liste des débiteurs au 31.12.2020 des manifestations </w:t>
      </w:r>
      <w:r w:rsidRPr="001314CA">
        <w:rPr>
          <w:b/>
          <w:sz w:val="28"/>
        </w:rPr>
        <w:br/>
        <w:t>bouclées ITU TELECOM (</w:t>
      </w:r>
      <w:r w:rsidRPr="001314CA">
        <w:rPr>
          <w:b/>
          <w:i/>
          <w:iCs/>
          <w:sz w:val="28"/>
        </w:rPr>
        <w:t>fin)</w:t>
      </w:r>
    </w:p>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D215BD" w:rsidRPr="001314CA" w14:paraId="1735713B"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5178C075"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hideMark/>
          </w:tcPr>
          <w:p w14:paraId="207C3274"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Pays</w:t>
            </w:r>
          </w:p>
        </w:tc>
        <w:tc>
          <w:tcPr>
            <w:tcW w:w="2274" w:type="dxa"/>
            <w:tcBorders>
              <w:top w:val="single" w:sz="4" w:space="0" w:color="auto"/>
              <w:left w:val="nil"/>
              <w:bottom w:val="single" w:sz="4" w:space="0" w:color="auto"/>
              <w:right w:val="single" w:sz="4" w:space="0" w:color="auto"/>
            </w:tcBorders>
            <w:shd w:val="clear" w:color="auto" w:fill="auto"/>
            <w:noWrap/>
            <w:hideMark/>
          </w:tcPr>
          <w:p w14:paraId="57A85FD6"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Entité</w:t>
            </w:r>
          </w:p>
        </w:tc>
        <w:tc>
          <w:tcPr>
            <w:tcW w:w="1843" w:type="dxa"/>
            <w:tcBorders>
              <w:top w:val="single" w:sz="4" w:space="0" w:color="auto"/>
              <w:left w:val="nil"/>
              <w:bottom w:val="single" w:sz="4" w:space="0" w:color="auto"/>
              <w:right w:val="single" w:sz="4" w:space="0" w:color="auto"/>
            </w:tcBorders>
            <w:shd w:val="clear" w:color="auto" w:fill="auto"/>
            <w:noWrap/>
            <w:hideMark/>
          </w:tcPr>
          <w:p w14:paraId="71716A75"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hideMark/>
          </w:tcPr>
          <w:p w14:paraId="270E02EA"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hideMark/>
          </w:tcPr>
          <w:p w14:paraId="5F92A0F3"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Restant dû</w:t>
            </w:r>
          </w:p>
        </w:tc>
      </w:tr>
      <w:tr w:rsidR="00D215BD" w:rsidRPr="001314CA" w14:paraId="67F0BB47" w14:textId="77777777" w:rsidTr="00D215BD">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7845ADEF"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2017</w:t>
            </w:r>
          </w:p>
        </w:tc>
        <w:tc>
          <w:tcPr>
            <w:tcW w:w="1553" w:type="dxa"/>
            <w:tcBorders>
              <w:top w:val="nil"/>
              <w:left w:val="nil"/>
              <w:bottom w:val="single" w:sz="4" w:space="0" w:color="auto"/>
              <w:right w:val="single" w:sz="4" w:space="0" w:color="auto"/>
            </w:tcBorders>
            <w:shd w:val="clear" w:color="auto" w:fill="auto"/>
            <w:noWrap/>
          </w:tcPr>
          <w:p w14:paraId="242EB14C"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Yémen</w:t>
            </w:r>
          </w:p>
        </w:tc>
        <w:tc>
          <w:tcPr>
            <w:tcW w:w="2274" w:type="dxa"/>
            <w:tcBorders>
              <w:top w:val="nil"/>
              <w:left w:val="nil"/>
              <w:bottom w:val="single" w:sz="4" w:space="0" w:color="auto"/>
              <w:right w:val="single" w:sz="4" w:space="0" w:color="auto"/>
            </w:tcBorders>
            <w:shd w:val="clear" w:color="auto" w:fill="auto"/>
            <w:noWrap/>
          </w:tcPr>
          <w:p w14:paraId="2E5473AC"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roofErr w:type="spellStart"/>
            <w:r w:rsidRPr="001314CA">
              <w:rPr>
                <w:sz w:val="20"/>
                <w:lang w:eastAsia="zh-CN"/>
              </w:rPr>
              <w:t>AnaMehani</w:t>
            </w:r>
            <w:proofErr w:type="spellEnd"/>
          </w:p>
        </w:tc>
        <w:tc>
          <w:tcPr>
            <w:tcW w:w="1843" w:type="dxa"/>
            <w:tcBorders>
              <w:top w:val="nil"/>
              <w:left w:val="nil"/>
              <w:bottom w:val="single" w:sz="4" w:space="0" w:color="auto"/>
              <w:right w:val="single" w:sz="4" w:space="0" w:color="auto"/>
            </w:tcBorders>
            <w:shd w:val="clear" w:color="auto" w:fill="auto"/>
            <w:noWrap/>
          </w:tcPr>
          <w:p w14:paraId="78E656C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sz w:val="20"/>
                <w:lang w:eastAsia="zh-CN"/>
              </w:rPr>
              <w:t>1 200,00</w:t>
            </w:r>
          </w:p>
        </w:tc>
        <w:tc>
          <w:tcPr>
            <w:tcW w:w="1417" w:type="dxa"/>
            <w:tcBorders>
              <w:top w:val="nil"/>
              <w:left w:val="nil"/>
              <w:bottom w:val="single" w:sz="4" w:space="0" w:color="auto"/>
              <w:right w:val="single" w:sz="4" w:space="0" w:color="auto"/>
            </w:tcBorders>
            <w:shd w:val="clear" w:color="auto" w:fill="auto"/>
            <w:noWrap/>
          </w:tcPr>
          <w:p w14:paraId="379B696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sz w:val="20"/>
                <w:lang w:eastAsia="zh-CN"/>
              </w:rPr>
              <w:t>0,00</w:t>
            </w:r>
          </w:p>
        </w:tc>
        <w:tc>
          <w:tcPr>
            <w:tcW w:w="1418" w:type="dxa"/>
            <w:tcBorders>
              <w:top w:val="nil"/>
              <w:left w:val="nil"/>
              <w:bottom w:val="single" w:sz="4" w:space="0" w:color="auto"/>
              <w:right w:val="single" w:sz="4" w:space="0" w:color="auto"/>
            </w:tcBorders>
            <w:shd w:val="clear" w:color="auto" w:fill="auto"/>
            <w:noWrap/>
          </w:tcPr>
          <w:p w14:paraId="60278A4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sz w:val="20"/>
                <w:lang w:eastAsia="zh-CN"/>
              </w:rPr>
              <w:t>1 200,00</w:t>
            </w:r>
          </w:p>
        </w:tc>
      </w:tr>
      <w:tr w:rsidR="00D215BD" w:rsidRPr="001314CA" w14:paraId="16888453" w14:textId="77777777" w:rsidTr="00D215BD">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194D8BCE"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2017</w:t>
            </w:r>
          </w:p>
        </w:tc>
        <w:tc>
          <w:tcPr>
            <w:tcW w:w="1553" w:type="dxa"/>
            <w:tcBorders>
              <w:top w:val="nil"/>
              <w:left w:val="nil"/>
              <w:bottom w:val="single" w:sz="4" w:space="0" w:color="auto"/>
              <w:right w:val="single" w:sz="4" w:space="0" w:color="auto"/>
            </w:tcBorders>
            <w:shd w:val="clear" w:color="auto" w:fill="auto"/>
            <w:noWrap/>
            <w:hideMark/>
          </w:tcPr>
          <w:p w14:paraId="4EF91EB9"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Cameroun</w:t>
            </w:r>
          </w:p>
        </w:tc>
        <w:tc>
          <w:tcPr>
            <w:tcW w:w="2274" w:type="dxa"/>
            <w:tcBorders>
              <w:top w:val="nil"/>
              <w:left w:val="nil"/>
              <w:bottom w:val="single" w:sz="4" w:space="0" w:color="auto"/>
              <w:right w:val="single" w:sz="4" w:space="0" w:color="auto"/>
            </w:tcBorders>
            <w:shd w:val="clear" w:color="auto" w:fill="auto"/>
            <w:noWrap/>
            <w:hideMark/>
          </w:tcPr>
          <w:p w14:paraId="461C8496" w14:textId="77777777" w:rsidR="00D215BD" w:rsidRPr="00513163" w:rsidRDefault="00D215BD" w:rsidP="00D215BD">
            <w:pPr>
              <w:tabs>
                <w:tab w:val="clear" w:pos="567"/>
                <w:tab w:val="clear" w:pos="1134"/>
                <w:tab w:val="clear" w:pos="1701"/>
                <w:tab w:val="clear" w:pos="2268"/>
                <w:tab w:val="clear" w:pos="2835"/>
              </w:tabs>
              <w:spacing w:before="0"/>
              <w:rPr>
                <w:sz w:val="20"/>
                <w:lang w:val="en-US" w:eastAsia="zh-CN"/>
              </w:rPr>
            </w:pPr>
            <w:r w:rsidRPr="00513163">
              <w:rPr>
                <w:sz w:val="20"/>
                <w:lang w:val="en-US" w:eastAsia="zh-CN"/>
              </w:rPr>
              <w:t>Citizen Assoc, For Tech. Development</w:t>
            </w:r>
          </w:p>
        </w:tc>
        <w:tc>
          <w:tcPr>
            <w:tcW w:w="1843" w:type="dxa"/>
            <w:tcBorders>
              <w:top w:val="nil"/>
              <w:left w:val="nil"/>
              <w:bottom w:val="single" w:sz="4" w:space="0" w:color="auto"/>
              <w:right w:val="single" w:sz="4" w:space="0" w:color="auto"/>
            </w:tcBorders>
            <w:shd w:val="clear" w:color="auto" w:fill="auto"/>
            <w:noWrap/>
          </w:tcPr>
          <w:p w14:paraId="4F173F1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1314CA">
              <w:rPr>
                <w:color w:val="000000"/>
                <w:sz w:val="20"/>
                <w:lang w:eastAsia="zh-CN"/>
              </w:rPr>
              <w:t>1 200,00</w:t>
            </w:r>
          </w:p>
        </w:tc>
        <w:tc>
          <w:tcPr>
            <w:tcW w:w="1417" w:type="dxa"/>
            <w:tcBorders>
              <w:top w:val="nil"/>
              <w:left w:val="nil"/>
              <w:bottom w:val="single" w:sz="4" w:space="0" w:color="auto"/>
              <w:right w:val="single" w:sz="4" w:space="0" w:color="auto"/>
            </w:tcBorders>
            <w:shd w:val="clear" w:color="auto" w:fill="auto"/>
            <w:noWrap/>
          </w:tcPr>
          <w:p w14:paraId="49DD267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1314CA">
              <w:rPr>
                <w:color w:val="000000"/>
                <w:sz w:val="20"/>
                <w:lang w:eastAsia="zh-CN"/>
              </w:rPr>
              <w:t>0,00</w:t>
            </w:r>
          </w:p>
        </w:tc>
        <w:tc>
          <w:tcPr>
            <w:tcW w:w="1418" w:type="dxa"/>
            <w:tcBorders>
              <w:top w:val="nil"/>
              <w:left w:val="nil"/>
              <w:bottom w:val="single" w:sz="4" w:space="0" w:color="auto"/>
              <w:right w:val="single" w:sz="4" w:space="0" w:color="auto"/>
            </w:tcBorders>
            <w:shd w:val="clear" w:color="auto" w:fill="auto"/>
            <w:noWrap/>
          </w:tcPr>
          <w:p w14:paraId="4419381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sz w:val="20"/>
                <w:lang w:eastAsia="zh-CN"/>
              </w:rPr>
              <w:t>1 200,00</w:t>
            </w:r>
          </w:p>
        </w:tc>
      </w:tr>
      <w:tr w:rsidR="00D215BD" w:rsidRPr="001314CA" w14:paraId="34EB4AD6" w14:textId="77777777" w:rsidTr="00D215BD">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0E4914B6"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2017</w:t>
            </w:r>
          </w:p>
        </w:tc>
        <w:tc>
          <w:tcPr>
            <w:tcW w:w="1553" w:type="dxa"/>
            <w:tcBorders>
              <w:top w:val="nil"/>
              <w:left w:val="nil"/>
              <w:bottom w:val="single" w:sz="4" w:space="0" w:color="auto"/>
              <w:right w:val="single" w:sz="4" w:space="0" w:color="auto"/>
            </w:tcBorders>
            <w:shd w:val="clear" w:color="auto" w:fill="auto"/>
            <w:noWrap/>
          </w:tcPr>
          <w:p w14:paraId="24AC3235"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Bénin</w:t>
            </w:r>
          </w:p>
        </w:tc>
        <w:tc>
          <w:tcPr>
            <w:tcW w:w="2274" w:type="dxa"/>
            <w:tcBorders>
              <w:top w:val="nil"/>
              <w:left w:val="nil"/>
              <w:bottom w:val="single" w:sz="4" w:space="0" w:color="auto"/>
              <w:right w:val="single" w:sz="4" w:space="0" w:color="auto"/>
            </w:tcBorders>
            <w:shd w:val="clear" w:color="auto" w:fill="auto"/>
            <w:noWrap/>
          </w:tcPr>
          <w:p w14:paraId="7D0ED58B"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Ministère de l'Économie Numérique</w:t>
            </w:r>
          </w:p>
        </w:tc>
        <w:tc>
          <w:tcPr>
            <w:tcW w:w="1843" w:type="dxa"/>
            <w:tcBorders>
              <w:top w:val="nil"/>
              <w:left w:val="nil"/>
              <w:bottom w:val="single" w:sz="4" w:space="0" w:color="auto"/>
              <w:right w:val="single" w:sz="4" w:space="0" w:color="auto"/>
            </w:tcBorders>
            <w:shd w:val="clear" w:color="auto" w:fill="auto"/>
            <w:noWrap/>
          </w:tcPr>
          <w:p w14:paraId="3D2341D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1314CA">
              <w:rPr>
                <w:color w:val="000000"/>
                <w:sz w:val="20"/>
                <w:lang w:eastAsia="zh-CN"/>
              </w:rPr>
              <w:t>50 000,00</w:t>
            </w:r>
          </w:p>
        </w:tc>
        <w:tc>
          <w:tcPr>
            <w:tcW w:w="1417" w:type="dxa"/>
            <w:tcBorders>
              <w:top w:val="nil"/>
              <w:left w:val="nil"/>
              <w:bottom w:val="single" w:sz="4" w:space="0" w:color="auto"/>
              <w:right w:val="single" w:sz="4" w:space="0" w:color="auto"/>
            </w:tcBorders>
            <w:shd w:val="clear" w:color="auto" w:fill="auto"/>
            <w:noWrap/>
          </w:tcPr>
          <w:p w14:paraId="0CA190D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1314CA">
              <w:rPr>
                <w:color w:val="000000"/>
                <w:sz w:val="20"/>
                <w:lang w:eastAsia="zh-CN"/>
              </w:rPr>
              <w:t>47 048,89</w:t>
            </w:r>
          </w:p>
        </w:tc>
        <w:tc>
          <w:tcPr>
            <w:tcW w:w="1418" w:type="dxa"/>
            <w:tcBorders>
              <w:top w:val="nil"/>
              <w:left w:val="nil"/>
              <w:bottom w:val="single" w:sz="4" w:space="0" w:color="auto"/>
              <w:right w:val="single" w:sz="4" w:space="0" w:color="auto"/>
            </w:tcBorders>
            <w:shd w:val="clear" w:color="auto" w:fill="auto"/>
            <w:noWrap/>
          </w:tcPr>
          <w:p w14:paraId="2D3DBF9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sz w:val="20"/>
                <w:lang w:eastAsia="zh-CN"/>
              </w:rPr>
              <w:t>2 951,11</w:t>
            </w:r>
          </w:p>
        </w:tc>
      </w:tr>
      <w:tr w:rsidR="00D215BD" w:rsidRPr="001314CA" w14:paraId="13F5C39E" w14:textId="77777777" w:rsidTr="00D215BD">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41A2C4D1"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2017</w:t>
            </w:r>
          </w:p>
        </w:tc>
        <w:tc>
          <w:tcPr>
            <w:tcW w:w="1553" w:type="dxa"/>
            <w:tcBorders>
              <w:top w:val="nil"/>
              <w:left w:val="nil"/>
              <w:bottom w:val="single" w:sz="4" w:space="0" w:color="auto"/>
              <w:right w:val="single" w:sz="4" w:space="0" w:color="auto"/>
            </w:tcBorders>
            <w:shd w:val="clear" w:color="auto" w:fill="auto"/>
            <w:noWrap/>
          </w:tcPr>
          <w:p w14:paraId="1C654DEF"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Gabon</w:t>
            </w:r>
          </w:p>
        </w:tc>
        <w:tc>
          <w:tcPr>
            <w:tcW w:w="2274" w:type="dxa"/>
            <w:tcBorders>
              <w:top w:val="nil"/>
              <w:left w:val="nil"/>
              <w:bottom w:val="single" w:sz="4" w:space="0" w:color="auto"/>
              <w:right w:val="single" w:sz="4" w:space="0" w:color="auto"/>
            </w:tcBorders>
            <w:shd w:val="clear" w:color="auto" w:fill="auto"/>
            <w:noWrap/>
          </w:tcPr>
          <w:p w14:paraId="756B92A7"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Ministère de l'Économie Numérique</w:t>
            </w:r>
          </w:p>
        </w:tc>
        <w:tc>
          <w:tcPr>
            <w:tcW w:w="1843" w:type="dxa"/>
            <w:tcBorders>
              <w:top w:val="nil"/>
              <w:left w:val="nil"/>
              <w:bottom w:val="single" w:sz="4" w:space="0" w:color="auto"/>
              <w:right w:val="single" w:sz="4" w:space="0" w:color="auto"/>
            </w:tcBorders>
            <w:shd w:val="clear" w:color="auto" w:fill="auto"/>
            <w:noWrap/>
          </w:tcPr>
          <w:p w14:paraId="3AE5FFC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1314CA">
              <w:rPr>
                <w:color w:val="000000"/>
                <w:sz w:val="20"/>
                <w:lang w:eastAsia="zh-CN"/>
              </w:rPr>
              <w:t>138 000,00</w:t>
            </w:r>
          </w:p>
        </w:tc>
        <w:tc>
          <w:tcPr>
            <w:tcW w:w="1417" w:type="dxa"/>
            <w:tcBorders>
              <w:top w:val="nil"/>
              <w:left w:val="nil"/>
              <w:bottom w:val="single" w:sz="4" w:space="0" w:color="auto"/>
              <w:right w:val="single" w:sz="4" w:space="0" w:color="auto"/>
            </w:tcBorders>
            <w:shd w:val="clear" w:color="auto" w:fill="auto"/>
            <w:noWrap/>
          </w:tcPr>
          <w:p w14:paraId="2492AA3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1314CA">
              <w:rPr>
                <w:color w:val="000000"/>
                <w:sz w:val="20"/>
                <w:lang w:eastAsia="zh-CN"/>
              </w:rPr>
              <w:t>0,00</w:t>
            </w:r>
          </w:p>
        </w:tc>
        <w:tc>
          <w:tcPr>
            <w:tcW w:w="1418" w:type="dxa"/>
            <w:tcBorders>
              <w:top w:val="nil"/>
              <w:left w:val="nil"/>
              <w:bottom w:val="single" w:sz="4" w:space="0" w:color="auto"/>
              <w:right w:val="single" w:sz="4" w:space="0" w:color="auto"/>
            </w:tcBorders>
            <w:shd w:val="clear" w:color="auto" w:fill="auto"/>
            <w:noWrap/>
          </w:tcPr>
          <w:p w14:paraId="2999FFC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sz w:val="20"/>
                <w:lang w:eastAsia="zh-CN"/>
              </w:rPr>
              <w:t>138 000,00</w:t>
            </w:r>
          </w:p>
        </w:tc>
      </w:tr>
      <w:tr w:rsidR="00D215BD" w:rsidRPr="001314CA" w14:paraId="036E548C" w14:textId="77777777" w:rsidTr="00D215BD">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565E4DD4"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p>
        </w:tc>
        <w:tc>
          <w:tcPr>
            <w:tcW w:w="1553" w:type="dxa"/>
            <w:tcBorders>
              <w:top w:val="nil"/>
              <w:left w:val="nil"/>
              <w:bottom w:val="single" w:sz="4" w:space="0" w:color="auto"/>
              <w:right w:val="single" w:sz="4" w:space="0" w:color="auto"/>
            </w:tcBorders>
            <w:shd w:val="clear" w:color="auto" w:fill="auto"/>
            <w:noWrap/>
          </w:tcPr>
          <w:p w14:paraId="7ADC9827"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2274" w:type="dxa"/>
            <w:tcBorders>
              <w:top w:val="nil"/>
              <w:left w:val="nil"/>
              <w:bottom w:val="single" w:sz="4" w:space="0" w:color="auto"/>
              <w:right w:val="single" w:sz="4" w:space="0" w:color="auto"/>
            </w:tcBorders>
            <w:shd w:val="clear" w:color="auto" w:fill="auto"/>
            <w:noWrap/>
          </w:tcPr>
          <w:p w14:paraId="7BC5FDB6"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1843" w:type="dxa"/>
            <w:tcBorders>
              <w:top w:val="nil"/>
              <w:left w:val="nil"/>
              <w:bottom w:val="single" w:sz="4" w:space="0" w:color="auto"/>
              <w:right w:val="single" w:sz="4" w:space="0" w:color="auto"/>
            </w:tcBorders>
            <w:shd w:val="clear" w:color="auto" w:fill="auto"/>
            <w:noWrap/>
          </w:tcPr>
          <w:p w14:paraId="75A31E88"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417" w:type="dxa"/>
            <w:tcBorders>
              <w:top w:val="nil"/>
              <w:left w:val="nil"/>
              <w:bottom w:val="single" w:sz="4" w:space="0" w:color="auto"/>
              <w:right w:val="single" w:sz="4" w:space="0" w:color="auto"/>
            </w:tcBorders>
            <w:shd w:val="clear" w:color="auto" w:fill="auto"/>
            <w:noWrap/>
          </w:tcPr>
          <w:p w14:paraId="0DD74B82"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418" w:type="dxa"/>
            <w:tcBorders>
              <w:top w:val="nil"/>
              <w:left w:val="nil"/>
              <w:bottom w:val="single" w:sz="4" w:space="0" w:color="auto"/>
              <w:right w:val="single" w:sz="4" w:space="0" w:color="auto"/>
            </w:tcBorders>
            <w:shd w:val="clear" w:color="auto" w:fill="auto"/>
            <w:noWrap/>
          </w:tcPr>
          <w:p w14:paraId="177876B2"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r>
      <w:tr w:rsidR="00D215BD" w:rsidRPr="001314CA" w14:paraId="28775A5E"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AAE3615" w14:textId="77777777" w:rsidR="00D215BD" w:rsidRPr="001314CA" w:rsidRDefault="00D215BD" w:rsidP="00D215BD">
            <w:pPr>
              <w:tabs>
                <w:tab w:val="clear" w:pos="567"/>
                <w:tab w:val="clear" w:pos="1134"/>
                <w:tab w:val="clear" w:pos="1701"/>
                <w:tab w:val="clear" w:pos="2268"/>
                <w:tab w:val="clear" w:pos="2835"/>
              </w:tabs>
              <w:spacing w:before="0"/>
              <w:jc w:val="center"/>
              <w:rPr>
                <w:b/>
                <w:bCs/>
                <w:sz w:val="20"/>
                <w:lang w:eastAsia="zh-CN"/>
              </w:rPr>
            </w:pPr>
            <w:r w:rsidRPr="001314CA">
              <w:rPr>
                <w:b/>
                <w:bCs/>
                <w:sz w:val="20"/>
                <w:lang w:eastAsia="zh-CN"/>
              </w:rPr>
              <w:t>TLC 2017</w:t>
            </w:r>
          </w:p>
        </w:tc>
        <w:tc>
          <w:tcPr>
            <w:tcW w:w="1553" w:type="dxa"/>
            <w:tcBorders>
              <w:top w:val="single" w:sz="4" w:space="0" w:color="auto"/>
              <w:left w:val="nil"/>
              <w:bottom w:val="single" w:sz="4" w:space="0" w:color="auto"/>
              <w:right w:val="single" w:sz="4" w:space="0" w:color="auto"/>
            </w:tcBorders>
            <w:shd w:val="clear" w:color="auto" w:fill="auto"/>
            <w:noWrap/>
          </w:tcPr>
          <w:p w14:paraId="485D9873"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b/>
                <w:bCs/>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49AE3EEE"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b/>
                <w:bCs/>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3CB1116B"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p>
        </w:tc>
        <w:tc>
          <w:tcPr>
            <w:tcW w:w="1417" w:type="dxa"/>
            <w:tcBorders>
              <w:top w:val="single" w:sz="4" w:space="0" w:color="auto"/>
              <w:left w:val="nil"/>
              <w:bottom w:val="single" w:sz="4" w:space="0" w:color="auto"/>
              <w:right w:val="single" w:sz="4" w:space="0" w:color="auto"/>
            </w:tcBorders>
            <w:shd w:val="clear" w:color="auto" w:fill="auto"/>
            <w:noWrap/>
          </w:tcPr>
          <w:p w14:paraId="6FF6115B"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p>
        </w:tc>
        <w:tc>
          <w:tcPr>
            <w:tcW w:w="1418" w:type="dxa"/>
            <w:tcBorders>
              <w:top w:val="single" w:sz="4" w:space="0" w:color="auto"/>
              <w:left w:val="nil"/>
              <w:bottom w:val="single" w:sz="4" w:space="0" w:color="auto"/>
              <w:right w:val="single" w:sz="4" w:space="0" w:color="auto"/>
            </w:tcBorders>
            <w:shd w:val="clear" w:color="auto" w:fill="auto"/>
            <w:noWrap/>
          </w:tcPr>
          <w:p w14:paraId="4E04C7F1"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b/>
                <w:bCs/>
                <w:sz w:val="20"/>
                <w:lang w:eastAsia="zh-CN"/>
              </w:rPr>
              <w:t>143 351,11</w:t>
            </w:r>
          </w:p>
        </w:tc>
      </w:tr>
    </w:tbl>
    <w:p w14:paraId="05D29E9F" w14:textId="77777777" w:rsidR="00D215BD" w:rsidRPr="001314CA" w:rsidRDefault="00D215BD" w:rsidP="00D215BD">
      <w:pPr>
        <w:spacing w:before="0"/>
      </w:pPr>
    </w:p>
    <w:tbl>
      <w:tblPr>
        <w:tblW w:w="9787" w:type="dxa"/>
        <w:jc w:val="center"/>
        <w:tblLayout w:type="fixed"/>
        <w:tblLook w:val="04A0" w:firstRow="1" w:lastRow="0" w:firstColumn="1" w:lastColumn="0" w:noHBand="0" w:noVBand="1"/>
        <w:tblCaption w:val="E"/>
      </w:tblPr>
      <w:tblGrid>
        <w:gridCol w:w="1277"/>
        <w:gridCol w:w="1554"/>
        <w:gridCol w:w="2275"/>
        <w:gridCol w:w="1844"/>
        <w:gridCol w:w="1418"/>
        <w:gridCol w:w="1419"/>
      </w:tblGrid>
      <w:tr w:rsidR="00D215BD" w:rsidRPr="001314CA" w14:paraId="25F6047E"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7C1BDE66"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Événement</w:t>
            </w:r>
          </w:p>
        </w:tc>
        <w:tc>
          <w:tcPr>
            <w:tcW w:w="1554" w:type="dxa"/>
            <w:tcBorders>
              <w:top w:val="single" w:sz="4" w:space="0" w:color="auto"/>
              <w:left w:val="nil"/>
              <w:bottom w:val="single" w:sz="4" w:space="0" w:color="auto"/>
              <w:right w:val="single" w:sz="4" w:space="0" w:color="auto"/>
            </w:tcBorders>
            <w:shd w:val="clear" w:color="auto" w:fill="auto"/>
            <w:noWrap/>
            <w:hideMark/>
          </w:tcPr>
          <w:p w14:paraId="542FE870"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Pays</w:t>
            </w:r>
          </w:p>
        </w:tc>
        <w:tc>
          <w:tcPr>
            <w:tcW w:w="2275" w:type="dxa"/>
            <w:tcBorders>
              <w:top w:val="single" w:sz="4" w:space="0" w:color="auto"/>
              <w:left w:val="nil"/>
              <w:bottom w:val="single" w:sz="4" w:space="0" w:color="auto"/>
              <w:right w:val="single" w:sz="4" w:space="0" w:color="auto"/>
            </w:tcBorders>
            <w:shd w:val="clear" w:color="auto" w:fill="auto"/>
            <w:noWrap/>
            <w:hideMark/>
          </w:tcPr>
          <w:p w14:paraId="4CF4F46B"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Entité</w:t>
            </w:r>
          </w:p>
        </w:tc>
        <w:tc>
          <w:tcPr>
            <w:tcW w:w="1844" w:type="dxa"/>
            <w:tcBorders>
              <w:top w:val="single" w:sz="4" w:space="0" w:color="auto"/>
              <w:left w:val="nil"/>
              <w:bottom w:val="single" w:sz="4" w:space="0" w:color="auto"/>
              <w:right w:val="single" w:sz="4" w:space="0" w:color="auto"/>
            </w:tcBorders>
            <w:shd w:val="clear" w:color="auto" w:fill="auto"/>
            <w:noWrap/>
            <w:hideMark/>
          </w:tcPr>
          <w:p w14:paraId="6C517DA4"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Montant facturé</w:t>
            </w:r>
          </w:p>
        </w:tc>
        <w:tc>
          <w:tcPr>
            <w:tcW w:w="1418" w:type="dxa"/>
            <w:tcBorders>
              <w:top w:val="single" w:sz="4" w:space="0" w:color="auto"/>
              <w:left w:val="nil"/>
              <w:bottom w:val="single" w:sz="4" w:space="0" w:color="auto"/>
              <w:right w:val="single" w:sz="4" w:space="0" w:color="auto"/>
            </w:tcBorders>
            <w:shd w:val="clear" w:color="auto" w:fill="auto"/>
            <w:noWrap/>
            <w:hideMark/>
          </w:tcPr>
          <w:p w14:paraId="0D4DF571"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Paiement reçu</w:t>
            </w:r>
          </w:p>
        </w:tc>
        <w:tc>
          <w:tcPr>
            <w:tcW w:w="1419" w:type="dxa"/>
            <w:tcBorders>
              <w:top w:val="single" w:sz="4" w:space="0" w:color="auto"/>
              <w:left w:val="nil"/>
              <w:bottom w:val="single" w:sz="4" w:space="0" w:color="auto"/>
              <w:right w:val="single" w:sz="4" w:space="0" w:color="auto"/>
            </w:tcBorders>
            <w:shd w:val="clear" w:color="auto" w:fill="auto"/>
            <w:noWrap/>
            <w:hideMark/>
          </w:tcPr>
          <w:p w14:paraId="02CDA315" w14:textId="77777777" w:rsidR="00D215BD" w:rsidRPr="001314CA" w:rsidRDefault="00D215BD" w:rsidP="00D215BD">
            <w:pPr>
              <w:tabs>
                <w:tab w:val="clear" w:pos="567"/>
                <w:tab w:val="clear" w:pos="1134"/>
                <w:tab w:val="clear" w:pos="1701"/>
                <w:tab w:val="clear" w:pos="2268"/>
                <w:tab w:val="clear" w:pos="2835"/>
              </w:tabs>
              <w:jc w:val="center"/>
              <w:rPr>
                <w:b/>
                <w:sz w:val="20"/>
                <w:lang w:eastAsia="zh-CN"/>
              </w:rPr>
            </w:pPr>
            <w:r w:rsidRPr="001314CA">
              <w:rPr>
                <w:b/>
                <w:sz w:val="20"/>
                <w:lang w:eastAsia="zh-CN"/>
              </w:rPr>
              <w:t>Restant dû</w:t>
            </w:r>
          </w:p>
        </w:tc>
      </w:tr>
      <w:tr w:rsidR="00D215BD" w:rsidRPr="001314CA" w14:paraId="26C21D8F" w14:textId="77777777" w:rsidTr="00D215BD">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6A172187"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2018</w:t>
            </w:r>
          </w:p>
        </w:tc>
        <w:tc>
          <w:tcPr>
            <w:tcW w:w="1554" w:type="dxa"/>
            <w:tcBorders>
              <w:top w:val="nil"/>
              <w:left w:val="nil"/>
              <w:bottom w:val="single" w:sz="4" w:space="0" w:color="auto"/>
              <w:right w:val="single" w:sz="4" w:space="0" w:color="auto"/>
            </w:tcBorders>
            <w:shd w:val="clear" w:color="auto" w:fill="auto"/>
            <w:noWrap/>
          </w:tcPr>
          <w:p w14:paraId="146E1B07"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République sudafricaine</w:t>
            </w:r>
          </w:p>
        </w:tc>
        <w:tc>
          <w:tcPr>
            <w:tcW w:w="2275" w:type="dxa"/>
            <w:tcBorders>
              <w:top w:val="nil"/>
              <w:left w:val="nil"/>
              <w:bottom w:val="single" w:sz="4" w:space="0" w:color="auto"/>
              <w:right w:val="single" w:sz="4" w:space="0" w:color="auto"/>
            </w:tcBorders>
            <w:shd w:val="clear" w:color="auto" w:fill="auto"/>
            <w:noWrap/>
          </w:tcPr>
          <w:p w14:paraId="5F0F8CF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roofErr w:type="spellStart"/>
            <w:r w:rsidRPr="001314CA">
              <w:rPr>
                <w:sz w:val="20"/>
                <w:lang w:eastAsia="zh-CN"/>
              </w:rPr>
              <w:t>Ekasi</w:t>
            </w:r>
            <w:proofErr w:type="spellEnd"/>
            <w:r w:rsidRPr="001314CA">
              <w:rPr>
                <w:sz w:val="20"/>
                <w:lang w:eastAsia="zh-CN"/>
              </w:rPr>
              <w:t xml:space="preserve"> Gaming</w:t>
            </w:r>
          </w:p>
        </w:tc>
        <w:tc>
          <w:tcPr>
            <w:tcW w:w="1844" w:type="dxa"/>
            <w:tcBorders>
              <w:top w:val="nil"/>
              <w:left w:val="nil"/>
              <w:bottom w:val="single" w:sz="4" w:space="0" w:color="auto"/>
              <w:right w:val="single" w:sz="4" w:space="0" w:color="auto"/>
            </w:tcBorders>
            <w:shd w:val="clear" w:color="auto" w:fill="auto"/>
            <w:noWrap/>
          </w:tcPr>
          <w:p w14:paraId="72A0E7F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sz w:val="20"/>
                <w:lang w:eastAsia="zh-CN"/>
              </w:rPr>
              <w:t>800,00</w:t>
            </w:r>
          </w:p>
        </w:tc>
        <w:tc>
          <w:tcPr>
            <w:tcW w:w="1418" w:type="dxa"/>
            <w:tcBorders>
              <w:top w:val="nil"/>
              <w:left w:val="nil"/>
              <w:bottom w:val="single" w:sz="4" w:space="0" w:color="auto"/>
              <w:right w:val="single" w:sz="4" w:space="0" w:color="auto"/>
            </w:tcBorders>
            <w:shd w:val="clear" w:color="auto" w:fill="auto"/>
            <w:noWrap/>
          </w:tcPr>
          <w:p w14:paraId="21F05DC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sz w:val="20"/>
                <w:lang w:eastAsia="zh-CN"/>
              </w:rPr>
              <w:t>0,00</w:t>
            </w:r>
          </w:p>
        </w:tc>
        <w:tc>
          <w:tcPr>
            <w:tcW w:w="1419" w:type="dxa"/>
            <w:tcBorders>
              <w:top w:val="nil"/>
              <w:left w:val="nil"/>
              <w:bottom w:val="single" w:sz="4" w:space="0" w:color="auto"/>
              <w:right w:val="single" w:sz="4" w:space="0" w:color="auto"/>
            </w:tcBorders>
            <w:shd w:val="clear" w:color="auto" w:fill="auto"/>
            <w:noWrap/>
          </w:tcPr>
          <w:p w14:paraId="1D49796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sz w:val="20"/>
                <w:lang w:eastAsia="zh-CN"/>
              </w:rPr>
              <w:t>800,00</w:t>
            </w:r>
          </w:p>
        </w:tc>
      </w:tr>
      <w:tr w:rsidR="00D215BD" w:rsidRPr="001314CA" w14:paraId="4389564E" w14:textId="77777777" w:rsidTr="00D215BD">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7FF4CDF0"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2018</w:t>
            </w:r>
          </w:p>
        </w:tc>
        <w:tc>
          <w:tcPr>
            <w:tcW w:w="1554" w:type="dxa"/>
            <w:tcBorders>
              <w:top w:val="nil"/>
              <w:left w:val="nil"/>
              <w:bottom w:val="single" w:sz="4" w:space="0" w:color="auto"/>
              <w:right w:val="single" w:sz="4" w:space="0" w:color="auto"/>
            </w:tcBorders>
            <w:shd w:val="clear" w:color="auto" w:fill="auto"/>
            <w:noWrap/>
            <w:hideMark/>
          </w:tcPr>
          <w:p w14:paraId="6D8D6BF7"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Cameroun</w:t>
            </w:r>
          </w:p>
        </w:tc>
        <w:tc>
          <w:tcPr>
            <w:tcW w:w="2275" w:type="dxa"/>
            <w:tcBorders>
              <w:top w:val="nil"/>
              <w:left w:val="nil"/>
              <w:bottom w:val="single" w:sz="4" w:space="0" w:color="auto"/>
              <w:right w:val="single" w:sz="4" w:space="0" w:color="auto"/>
            </w:tcBorders>
            <w:shd w:val="clear" w:color="auto" w:fill="auto"/>
            <w:noWrap/>
          </w:tcPr>
          <w:p w14:paraId="6573E5A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proofErr w:type="spellStart"/>
            <w:r w:rsidRPr="001314CA">
              <w:rPr>
                <w:color w:val="000000"/>
                <w:sz w:val="20"/>
                <w:lang w:eastAsia="zh-CN"/>
              </w:rPr>
              <w:t>Iplans</w:t>
            </w:r>
            <w:proofErr w:type="spellEnd"/>
            <w:r w:rsidRPr="001314CA">
              <w:rPr>
                <w:color w:val="000000"/>
                <w:sz w:val="20"/>
                <w:lang w:eastAsia="zh-CN"/>
              </w:rPr>
              <w:t xml:space="preserve"> SA</w:t>
            </w:r>
          </w:p>
        </w:tc>
        <w:tc>
          <w:tcPr>
            <w:tcW w:w="1844" w:type="dxa"/>
            <w:tcBorders>
              <w:top w:val="nil"/>
              <w:left w:val="nil"/>
              <w:bottom w:val="single" w:sz="4" w:space="0" w:color="auto"/>
              <w:right w:val="single" w:sz="4" w:space="0" w:color="auto"/>
            </w:tcBorders>
            <w:shd w:val="clear" w:color="auto" w:fill="auto"/>
            <w:noWrap/>
          </w:tcPr>
          <w:p w14:paraId="2A3D37E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1314CA">
              <w:rPr>
                <w:color w:val="000000"/>
                <w:sz w:val="20"/>
                <w:lang w:eastAsia="zh-CN"/>
              </w:rPr>
              <w:t>1 200,00</w:t>
            </w:r>
          </w:p>
        </w:tc>
        <w:tc>
          <w:tcPr>
            <w:tcW w:w="1418" w:type="dxa"/>
            <w:tcBorders>
              <w:top w:val="nil"/>
              <w:left w:val="nil"/>
              <w:bottom w:val="single" w:sz="4" w:space="0" w:color="auto"/>
              <w:right w:val="single" w:sz="4" w:space="0" w:color="auto"/>
            </w:tcBorders>
            <w:shd w:val="clear" w:color="auto" w:fill="auto"/>
            <w:noWrap/>
          </w:tcPr>
          <w:p w14:paraId="0996F17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1314CA">
              <w:rPr>
                <w:color w:val="000000"/>
                <w:sz w:val="20"/>
                <w:lang w:eastAsia="zh-CN"/>
              </w:rPr>
              <w:t>0,00</w:t>
            </w:r>
          </w:p>
        </w:tc>
        <w:tc>
          <w:tcPr>
            <w:tcW w:w="1419" w:type="dxa"/>
            <w:tcBorders>
              <w:top w:val="nil"/>
              <w:left w:val="nil"/>
              <w:bottom w:val="single" w:sz="4" w:space="0" w:color="auto"/>
              <w:right w:val="single" w:sz="4" w:space="0" w:color="auto"/>
            </w:tcBorders>
            <w:shd w:val="clear" w:color="auto" w:fill="auto"/>
            <w:noWrap/>
          </w:tcPr>
          <w:p w14:paraId="7EBA137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sz w:val="20"/>
                <w:lang w:eastAsia="zh-CN"/>
              </w:rPr>
              <w:t>1 200,00</w:t>
            </w:r>
          </w:p>
        </w:tc>
      </w:tr>
      <w:tr w:rsidR="00D215BD" w:rsidRPr="001314CA" w14:paraId="3F6D3552" w14:textId="77777777" w:rsidTr="00D215BD">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06C0D045"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r w:rsidRPr="001314CA">
              <w:rPr>
                <w:sz w:val="20"/>
                <w:lang w:eastAsia="zh-CN"/>
              </w:rPr>
              <w:t>TLC 2018</w:t>
            </w:r>
          </w:p>
        </w:tc>
        <w:tc>
          <w:tcPr>
            <w:tcW w:w="1554" w:type="dxa"/>
            <w:tcBorders>
              <w:top w:val="nil"/>
              <w:left w:val="nil"/>
              <w:bottom w:val="single" w:sz="4" w:space="0" w:color="auto"/>
              <w:right w:val="single" w:sz="4" w:space="0" w:color="auto"/>
            </w:tcBorders>
            <w:shd w:val="clear" w:color="auto" w:fill="auto"/>
            <w:noWrap/>
          </w:tcPr>
          <w:p w14:paraId="2E02AA0E"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Royaume-Uni</w:t>
            </w:r>
          </w:p>
        </w:tc>
        <w:tc>
          <w:tcPr>
            <w:tcW w:w="2275" w:type="dxa"/>
            <w:tcBorders>
              <w:top w:val="nil"/>
              <w:left w:val="nil"/>
              <w:bottom w:val="single" w:sz="4" w:space="0" w:color="auto"/>
              <w:right w:val="single" w:sz="4" w:space="0" w:color="auto"/>
            </w:tcBorders>
            <w:shd w:val="clear" w:color="auto" w:fill="auto"/>
            <w:noWrap/>
          </w:tcPr>
          <w:p w14:paraId="37429D6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proofErr w:type="spellStart"/>
            <w:r w:rsidRPr="001314CA">
              <w:rPr>
                <w:color w:val="000000"/>
                <w:sz w:val="20"/>
                <w:lang w:eastAsia="zh-CN"/>
              </w:rPr>
              <w:t>Quika</w:t>
            </w:r>
            <w:proofErr w:type="spellEnd"/>
            <w:r w:rsidRPr="001314CA">
              <w:rPr>
                <w:color w:val="000000"/>
                <w:sz w:val="20"/>
                <w:lang w:eastAsia="zh-CN"/>
              </w:rPr>
              <w:t xml:space="preserve"> Limited</w:t>
            </w:r>
          </w:p>
        </w:tc>
        <w:tc>
          <w:tcPr>
            <w:tcW w:w="1844" w:type="dxa"/>
            <w:tcBorders>
              <w:top w:val="nil"/>
              <w:left w:val="nil"/>
              <w:bottom w:val="single" w:sz="4" w:space="0" w:color="auto"/>
              <w:right w:val="single" w:sz="4" w:space="0" w:color="auto"/>
            </w:tcBorders>
            <w:shd w:val="clear" w:color="auto" w:fill="auto"/>
            <w:noWrap/>
          </w:tcPr>
          <w:p w14:paraId="119D226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1314CA">
              <w:rPr>
                <w:color w:val="000000"/>
                <w:sz w:val="20"/>
                <w:lang w:eastAsia="zh-CN"/>
              </w:rPr>
              <w:t>31 800,00</w:t>
            </w:r>
          </w:p>
        </w:tc>
        <w:tc>
          <w:tcPr>
            <w:tcW w:w="1418" w:type="dxa"/>
            <w:tcBorders>
              <w:top w:val="nil"/>
              <w:left w:val="nil"/>
              <w:bottom w:val="single" w:sz="4" w:space="0" w:color="auto"/>
              <w:right w:val="single" w:sz="4" w:space="0" w:color="auto"/>
            </w:tcBorders>
            <w:shd w:val="clear" w:color="auto" w:fill="auto"/>
            <w:noWrap/>
          </w:tcPr>
          <w:p w14:paraId="543CB24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1314CA">
              <w:rPr>
                <w:color w:val="000000"/>
                <w:sz w:val="20"/>
                <w:lang w:eastAsia="zh-CN"/>
              </w:rPr>
              <w:t>0,00</w:t>
            </w:r>
          </w:p>
        </w:tc>
        <w:tc>
          <w:tcPr>
            <w:tcW w:w="1419" w:type="dxa"/>
            <w:tcBorders>
              <w:top w:val="nil"/>
              <w:left w:val="nil"/>
              <w:bottom w:val="single" w:sz="4" w:space="0" w:color="auto"/>
              <w:right w:val="single" w:sz="4" w:space="0" w:color="auto"/>
            </w:tcBorders>
            <w:shd w:val="clear" w:color="auto" w:fill="auto"/>
            <w:noWrap/>
          </w:tcPr>
          <w:p w14:paraId="37908C9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1314CA">
              <w:rPr>
                <w:sz w:val="20"/>
                <w:lang w:eastAsia="zh-CN"/>
              </w:rPr>
              <w:t>31 800,00</w:t>
            </w:r>
          </w:p>
        </w:tc>
      </w:tr>
      <w:tr w:rsidR="00D215BD" w:rsidRPr="001314CA" w14:paraId="174382FC" w14:textId="77777777" w:rsidTr="00D215BD">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5BA36FCB" w14:textId="77777777" w:rsidR="00D215BD" w:rsidRPr="001314CA" w:rsidRDefault="00D215BD" w:rsidP="00D215BD">
            <w:pPr>
              <w:tabs>
                <w:tab w:val="clear" w:pos="567"/>
                <w:tab w:val="clear" w:pos="1134"/>
                <w:tab w:val="clear" w:pos="1701"/>
                <w:tab w:val="clear" w:pos="2268"/>
                <w:tab w:val="clear" w:pos="2835"/>
              </w:tabs>
              <w:spacing w:before="0"/>
              <w:jc w:val="center"/>
              <w:rPr>
                <w:sz w:val="20"/>
                <w:lang w:eastAsia="zh-CN"/>
              </w:rPr>
            </w:pPr>
          </w:p>
        </w:tc>
        <w:tc>
          <w:tcPr>
            <w:tcW w:w="1554" w:type="dxa"/>
            <w:tcBorders>
              <w:top w:val="nil"/>
              <w:left w:val="nil"/>
              <w:bottom w:val="single" w:sz="4" w:space="0" w:color="auto"/>
              <w:right w:val="single" w:sz="4" w:space="0" w:color="auto"/>
            </w:tcBorders>
            <w:shd w:val="clear" w:color="auto" w:fill="auto"/>
            <w:noWrap/>
          </w:tcPr>
          <w:p w14:paraId="280492E4"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 </w:t>
            </w:r>
          </w:p>
        </w:tc>
        <w:tc>
          <w:tcPr>
            <w:tcW w:w="2275" w:type="dxa"/>
            <w:tcBorders>
              <w:top w:val="nil"/>
              <w:left w:val="nil"/>
              <w:bottom w:val="single" w:sz="4" w:space="0" w:color="auto"/>
              <w:right w:val="single" w:sz="4" w:space="0" w:color="auto"/>
            </w:tcBorders>
            <w:shd w:val="clear" w:color="auto" w:fill="auto"/>
            <w:noWrap/>
          </w:tcPr>
          <w:p w14:paraId="52840DFE"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p>
        </w:tc>
        <w:tc>
          <w:tcPr>
            <w:tcW w:w="1844" w:type="dxa"/>
            <w:tcBorders>
              <w:top w:val="nil"/>
              <w:left w:val="nil"/>
              <w:bottom w:val="single" w:sz="4" w:space="0" w:color="auto"/>
              <w:right w:val="single" w:sz="4" w:space="0" w:color="auto"/>
            </w:tcBorders>
            <w:shd w:val="clear" w:color="auto" w:fill="auto"/>
            <w:noWrap/>
          </w:tcPr>
          <w:p w14:paraId="2F19A8F5"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418" w:type="dxa"/>
            <w:tcBorders>
              <w:top w:val="nil"/>
              <w:left w:val="nil"/>
              <w:bottom w:val="single" w:sz="4" w:space="0" w:color="auto"/>
              <w:right w:val="single" w:sz="4" w:space="0" w:color="auto"/>
            </w:tcBorders>
            <w:shd w:val="clear" w:color="auto" w:fill="auto"/>
            <w:noWrap/>
          </w:tcPr>
          <w:p w14:paraId="06739720"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c>
          <w:tcPr>
            <w:tcW w:w="1419" w:type="dxa"/>
            <w:tcBorders>
              <w:top w:val="nil"/>
              <w:left w:val="nil"/>
              <w:bottom w:val="single" w:sz="4" w:space="0" w:color="auto"/>
              <w:right w:val="single" w:sz="4" w:space="0" w:color="auto"/>
            </w:tcBorders>
            <w:shd w:val="clear" w:color="auto" w:fill="auto"/>
            <w:noWrap/>
          </w:tcPr>
          <w:p w14:paraId="1B794B1E" w14:textId="77777777" w:rsidR="00D215BD" w:rsidRPr="001314CA" w:rsidRDefault="00D215BD" w:rsidP="00D215BD">
            <w:pPr>
              <w:tabs>
                <w:tab w:val="clear" w:pos="567"/>
                <w:tab w:val="clear" w:pos="1134"/>
                <w:tab w:val="clear" w:pos="1701"/>
                <w:tab w:val="clear" w:pos="2268"/>
                <w:tab w:val="clear" w:pos="2835"/>
              </w:tabs>
              <w:spacing w:before="0"/>
              <w:jc w:val="right"/>
              <w:rPr>
                <w:sz w:val="20"/>
                <w:lang w:eastAsia="zh-CN"/>
              </w:rPr>
            </w:pPr>
          </w:p>
        </w:tc>
      </w:tr>
      <w:tr w:rsidR="00D215BD" w:rsidRPr="001314CA" w14:paraId="6665AAFD"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1404C329" w14:textId="77777777" w:rsidR="00D215BD" w:rsidRPr="001314CA" w:rsidRDefault="00D215BD" w:rsidP="00D215BD">
            <w:pPr>
              <w:tabs>
                <w:tab w:val="clear" w:pos="567"/>
                <w:tab w:val="clear" w:pos="1134"/>
                <w:tab w:val="clear" w:pos="1701"/>
                <w:tab w:val="clear" w:pos="2268"/>
                <w:tab w:val="clear" w:pos="2835"/>
              </w:tabs>
              <w:spacing w:before="0"/>
              <w:jc w:val="center"/>
              <w:rPr>
                <w:b/>
                <w:bCs/>
                <w:sz w:val="20"/>
                <w:lang w:eastAsia="zh-CN"/>
              </w:rPr>
            </w:pPr>
            <w:r w:rsidRPr="001314CA">
              <w:rPr>
                <w:b/>
                <w:bCs/>
                <w:sz w:val="20"/>
                <w:lang w:eastAsia="zh-CN"/>
              </w:rPr>
              <w:t>TLC 2018</w:t>
            </w:r>
          </w:p>
        </w:tc>
        <w:tc>
          <w:tcPr>
            <w:tcW w:w="1554" w:type="dxa"/>
            <w:tcBorders>
              <w:top w:val="single" w:sz="4" w:space="0" w:color="auto"/>
              <w:left w:val="nil"/>
              <w:bottom w:val="single" w:sz="4" w:space="0" w:color="auto"/>
              <w:right w:val="single" w:sz="4" w:space="0" w:color="auto"/>
            </w:tcBorders>
            <w:shd w:val="clear" w:color="auto" w:fill="auto"/>
            <w:noWrap/>
          </w:tcPr>
          <w:p w14:paraId="15BFA58F"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b/>
                <w:bCs/>
                <w:sz w:val="20"/>
                <w:lang w:eastAsia="zh-CN"/>
              </w:rPr>
              <w:t> </w:t>
            </w:r>
          </w:p>
        </w:tc>
        <w:tc>
          <w:tcPr>
            <w:tcW w:w="2275" w:type="dxa"/>
            <w:tcBorders>
              <w:top w:val="single" w:sz="4" w:space="0" w:color="auto"/>
              <w:left w:val="nil"/>
              <w:bottom w:val="single" w:sz="4" w:space="0" w:color="auto"/>
              <w:right w:val="single" w:sz="4" w:space="0" w:color="auto"/>
            </w:tcBorders>
            <w:shd w:val="clear" w:color="auto" w:fill="auto"/>
            <w:noWrap/>
          </w:tcPr>
          <w:p w14:paraId="743F121F"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b/>
                <w:bCs/>
                <w:sz w:val="20"/>
                <w:lang w:eastAsia="zh-CN"/>
              </w:rPr>
              <w:t> </w:t>
            </w:r>
          </w:p>
        </w:tc>
        <w:tc>
          <w:tcPr>
            <w:tcW w:w="1844" w:type="dxa"/>
            <w:tcBorders>
              <w:top w:val="single" w:sz="4" w:space="0" w:color="auto"/>
              <w:left w:val="nil"/>
              <w:bottom w:val="single" w:sz="4" w:space="0" w:color="auto"/>
              <w:right w:val="single" w:sz="4" w:space="0" w:color="auto"/>
            </w:tcBorders>
            <w:shd w:val="clear" w:color="auto" w:fill="auto"/>
            <w:noWrap/>
          </w:tcPr>
          <w:p w14:paraId="32A731CA"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p>
        </w:tc>
        <w:tc>
          <w:tcPr>
            <w:tcW w:w="1418" w:type="dxa"/>
            <w:tcBorders>
              <w:top w:val="single" w:sz="4" w:space="0" w:color="auto"/>
              <w:left w:val="nil"/>
              <w:bottom w:val="single" w:sz="4" w:space="0" w:color="auto"/>
              <w:right w:val="single" w:sz="4" w:space="0" w:color="auto"/>
            </w:tcBorders>
            <w:shd w:val="clear" w:color="auto" w:fill="auto"/>
            <w:noWrap/>
          </w:tcPr>
          <w:p w14:paraId="532DD60B"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p>
        </w:tc>
        <w:tc>
          <w:tcPr>
            <w:tcW w:w="1419" w:type="dxa"/>
            <w:tcBorders>
              <w:top w:val="single" w:sz="4" w:space="0" w:color="auto"/>
              <w:left w:val="nil"/>
              <w:bottom w:val="single" w:sz="4" w:space="0" w:color="auto"/>
              <w:right w:val="single" w:sz="4" w:space="0" w:color="auto"/>
            </w:tcBorders>
            <w:shd w:val="clear" w:color="auto" w:fill="auto"/>
            <w:noWrap/>
          </w:tcPr>
          <w:p w14:paraId="20793EA9"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b/>
                <w:bCs/>
                <w:sz w:val="20"/>
                <w:lang w:eastAsia="zh-CN"/>
              </w:rPr>
              <w:t>33 800,00</w:t>
            </w:r>
          </w:p>
        </w:tc>
      </w:tr>
    </w:tbl>
    <w:p w14:paraId="655DA4B1" w14:textId="77777777" w:rsidR="00D215BD" w:rsidRPr="001314CA" w:rsidRDefault="00D215BD" w:rsidP="00D215BD">
      <w:pPr>
        <w:spacing w:before="0"/>
      </w:pPr>
    </w:p>
    <w:tbl>
      <w:tblPr>
        <w:tblW w:w="9787" w:type="dxa"/>
        <w:jc w:val="center"/>
        <w:tblLayout w:type="fixed"/>
        <w:tblLook w:val="04A0" w:firstRow="1" w:lastRow="0" w:firstColumn="1" w:lastColumn="0" w:noHBand="0" w:noVBand="1"/>
        <w:tblCaption w:val="E"/>
      </w:tblPr>
      <w:tblGrid>
        <w:gridCol w:w="1277"/>
        <w:gridCol w:w="1553"/>
        <w:gridCol w:w="2276"/>
        <w:gridCol w:w="1844"/>
        <w:gridCol w:w="1418"/>
        <w:gridCol w:w="1419"/>
      </w:tblGrid>
      <w:tr w:rsidR="00D215BD" w:rsidRPr="001314CA" w14:paraId="3F2C5F66" w14:textId="77777777" w:rsidTr="00D215BD">
        <w:trPr>
          <w:trHeight w:val="300"/>
          <w:jc w:val="center"/>
        </w:trPr>
        <w:tc>
          <w:tcPr>
            <w:tcW w:w="1277" w:type="dxa"/>
            <w:tcBorders>
              <w:top w:val="single" w:sz="4" w:space="0" w:color="auto"/>
              <w:left w:val="single" w:sz="4" w:space="0" w:color="auto"/>
              <w:right w:val="single" w:sz="4" w:space="0" w:color="auto"/>
            </w:tcBorders>
            <w:shd w:val="clear" w:color="auto" w:fill="auto"/>
            <w:noWrap/>
          </w:tcPr>
          <w:p w14:paraId="54841302" w14:textId="77777777" w:rsidR="00D215BD" w:rsidRPr="001314CA" w:rsidRDefault="00D215BD" w:rsidP="00D215BD">
            <w:pPr>
              <w:tabs>
                <w:tab w:val="clear" w:pos="567"/>
                <w:tab w:val="clear" w:pos="1134"/>
                <w:tab w:val="clear" w:pos="1701"/>
                <w:tab w:val="clear" w:pos="2268"/>
                <w:tab w:val="clear" w:pos="2835"/>
              </w:tabs>
              <w:spacing w:after="120"/>
              <w:jc w:val="center"/>
              <w:rPr>
                <w:b/>
                <w:sz w:val="20"/>
              </w:rPr>
            </w:pPr>
            <w:r w:rsidRPr="001314CA">
              <w:rPr>
                <w:b/>
                <w:sz w:val="20"/>
              </w:rPr>
              <w:t>Événement</w:t>
            </w:r>
          </w:p>
        </w:tc>
        <w:tc>
          <w:tcPr>
            <w:tcW w:w="1553" w:type="dxa"/>
            <w:tcBorders>
              <w:top w:val="single" w:sz="4" w:space="0" w:color="auto"/>
              <w:left w:val="nil"/>
              <w:right w:val="single" w:sz="4" w:space="0" w:color="auto"/>
            </w:tcBorders>
            <w:shd w:val="clear" w:color="auto" w:fill="auto"/>
            <w:noWrap/>
          </w:tcPr>
          <w:p w14:paraId="69DA2577" w14:textId="77777777" w:rsidR="00D215BD" w:rsidRPr="001314CA" w:rsidRDefault="00D215BD" w:rsidP="00D215BD">
            <w:pPr>
              <w:tabs>
                <w:tab w:val="clear" w:pos="567"/>
                <w:tab w:val="clear" w:pos="1134"/>
                <w:tab w:val="clear" w:pos="1701"/>
                <w:tab w:val="clear" w:pos="2268"/>
                <w:tab w:val="clear" w:pos="2835"/>
              </w:tabs>
              <w:spacing w:after="120"/>
              <w:jc w:val="center"/>
              <w:rPr>
                <w:b/>
                <w:sz w:val="20"/>
              </w:rPr>
            </w:pPr>
            <w:r w:rsidRPr="001314CA">
              <w:rPr>
                <w:b/>
                <w:sz w:val="20"/>
              </w:rPr>
              <w:t>Pays</w:t>
            </w:r>
          </w:p>
        </w:tc>
        <w:tc>
          <w:tcPr>
            <w:tcW w:w="2276" w:type="dxa"/>
            <w:tcBorders>
              <w:top w:val="single" w:sz="4" w:space="0" w:color="auto"/>
              <w:left w:val="nil"/>
              <w:right w:val="single" w:sz="4" w:space="0" w:color="auto"/>
            </w:tcBorders>
            <w:shd w:val="clear" w:color="auto" w:fill="auto"/>
            <w:noWrap/>
          </w:tcPr>
          <w:p w14:paraId="70DC3C17" w14:textId="77777777" w:rsidR="00D215BD" w:rsidRPr="001314CA" w:rsidRDefault="00D215BD" w:rsidP="00D215BD">
            <w:pPr>
              <w:tabs>
                <w:tab w:val="clear" w:pos="567"/>
                <w:tab w:val="clear" w:pos="1134"/>
                <w:tab w:val="clear" w:pos="1701"/>
                <w:tab w:val="clear" w:pos="2268"/>
                <w:tab w:val="clear" w:pos="2835"/>
              </w:tabs>
              <w:spacing w:after="120"/>
              <w:jc w:val="center"/>
              <w:rPr>
                <w:b/>
                <w:sz w:val="20"/>
              </w:rPr>
            </w:pPr>
            <w:r w:rsidRPr="001314CA">
              <w:rPr>
                <w:b/>
                <w:sz w:val="20"/>
              </w:rPr>
              <w:t>Entité</w:t>
            </w:r>
          </w:p>
        </w:tc>
        <w:tc>
          <w:tcPr>
            <w:tcW w:w="1844" w:type="dxa"/>
            <w:tcBorders>
              <w:top w:val="single" w:sz="4" w:space="0" w:color="auto"/>
              <w:left w:val="nil"/>
              <w:right w:val="single" w:sz="4" w:space="0" w:color="auto"/>
            </w:tcBorders>
            <w:shd w:val="clear" w:color="auto" w:fill="auto"/>
            <w:noWrap/>
          </w:tcPr>
          <w:p w14:paraId="4BFA33D8" w14:textId="77777777" w:rsidR="00D215BD" w:rsidRPr="001314CA" w:rsidRDefault="00D215BD" w:rsidP="00D215BD">
            <w:pPr>
              <w:tabs>
                <w:tab w:val="clear" w:pos="567"/>
                <w:tab w:val="clear" w:pos="1134"/>
                <w:tab w:val="clear" w:pos="1701"/>
                <w:tab w:val="clear" w:pos="2268"/>
                <w:tab w:val="clear" w:pos="2835"/>
              </w:tabs>
              <w:spacing w:after="120"/>
              <w:jc w:val="center"/>
              <w:rPr>
                <w:b/>
                <w:sz w:val="20"/>
              </w:rPr>
            </w:pPr>
            <w:r w:rsidRPr="001314CA">
              <w:rPr>
                <w:b/>
                <w:sz w:val="20"/>
              </w:rPr>
              <w:t>Montant facturé</w:t>
            </w:r>
          </w:p>
        </w:tc>
        <w:tc>
          <w:tcPr>
            <w:tcW w:w="1418" w:type="dxa"/>
            <w:tcBorders>
              <w:top w:val="single" w:sz="4" w:space="0" w:color="auto"/>
              <w:left w:val="nil"/>
              <w:right w:val="single" w:sz="4" w:space="0" w:color="auto"/>
            </w:tcBorders>
            <w:shd w:val="clear" w:color="auto" w:fill="auto"/>
            <w:noWrap/>
          </w:tcPr>
          <w:p w14:paraId="58A3B81D" w14:textId="77777777" w:rsidR="00D215BD" w:rsidRPr="001314CA" w:rsidRDefault="00D215BD" w:rsidP="00D215BD">
            <w:pPr>
              <w:tabs>
                <w:tab w:val="clear" w:pos="567"/>
                <w:tab w:val="clear" w:pos="1134"/>
                <w:tab w:val="clear" w:pos="1701"/>
                <w:tab w:val="clear" w:pos="2268"/>
                <w:tab w:val="clear" w:pos="2835"/>
              </w:tabs>
              <w:spacing w:after="120"/>
              <w:jc w:val="center"/>
              <w:rPr>
                <w:b/>
                <w:sz w:val="20"/>
              </w:rPr>
            </w:pPr>
            <w:r w:rsidRPr="001314CA">
              <w:rPr>
                <w:b/>
                <w:sz w:val="20"/>
              </w:rPr>
              <w:t>Paiement reçu</w:t>
            </w:r>
          </w:p>
        </w:tc>
        <w:tc>
          <w:tcPr>
            <w:tcW w:w="1419" w:type="dxa"/>
            <w:tcBorders>
              <w:top w:val="single" w:sz="4" w:space="0" w:color="auto"/>
              <w:left w:val="nil"/>
              <w:right w:val="single" w:sz="4" w:space="0" w:color="auto"/>
            </w:tcBorders>
            <w:shd w:val="clear" w:color="auto" w:fill="auto"/>
            <w:noWrap/>
          </w:tcPr>
          <w:p w14:paraId="1BDB17CA" w14:textId="77777777" w:rsidR="00D215BD" w:rsidRPr="001314CA" w:rsidRDefault="00D215BD" w:rsidP="00D215BD">
            <w:pPr>
              <w:tabs>
                <w:tab w:val="clear" w:pos="567"/>
                <w:tab w:val="clear" w:pos="1134"/>
                <w:tab w:val="clear" w:pos="1701"/>
                <w:tab w:val="clear" w:pos="2268"/>
                <w:tab w:val="clear" w:pos="2835"/>
              </w:tabs>
              <w:spacing w:after="120"/>
              <w:jc w:val="center"/>
              <w:rPr>
                <w:b/>
                <w:sz w:val="20"/>
              </w:rPr>
            </w:pPr>
            <w:r w:rsidRPr="001314CA">
              <w:rPr>
                <w:b/>
                <w:sz w:val="20"/>
              </w:rPr>
              <w:t>Restant dû</w:t>
            </w:r>
          </w:p>
        </w:tc>
      </w:tr>
      <w:tr w:rsidR="00D215BD" w:rsidRPr="001314CA" w14:paraId="07E1F89D"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24549CAE"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5D0B83C5"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Congo</w:t>
            </w:r>
          </w:p>
        </w:tc>
        <w:tc>
          <w:tcPr>
            <w:tcW w:w="2276" w:type="dxa"/>
            <w:tcBorders>
              <w:top w:val="single" w:sz="4" w:space="0" w:color="auto"/>
              <w:left w:val="single" w:sz="4" w:space="0" w:color="auto"/>
              <w:bottom w:val="single" w:sz="4" w:space="0" w:color="auto"/>
              <w:right w:val="single" w:sz="4" w:space="0" w:color="auto"/>
            </w:tcBorders>
            <w:noWrap/>
          </w:tcPr>
          <w:p w14:paraId="1DCAFE20"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Centre Intégré de Développement (CID)</w:t>
            </w:r>
          </w:p>
        </w:tc>
        <w:tc>
          <w:tcPr>
            <w:tcW w:w="1844" w:type="dxa"/>
            <w:tcBorders>
              <w:top w:val="single" w:sz="4" w:space="0" w:color="auto"/>
              <w:left w:val="single" w:sz="4" w:space="0" w:color="auto"/>
              <w:bottom w:val="single" w:sz="4" w:space="0" w:color="auto"/>
              <w:right w:val="single" w:sz="4" w:space="0" w:color="auto"/>
            </w:tcBorders>
            <w:noWrap/>
          </w:tcPr>
          <w:p w14:paraId="0F83D823"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5 400,00</w:t>
            </w:r>
          </w:p>
        </w:tc>
        <w:tc>
          <w:tcPr>
            <w:tcW w:w="1418" w:type="dxa"/>
            <w:tcBorders>
              <w:top w:val="single" w:sz="4" w:space="0" w:color="auto"/>
              <w:left w:val="single" w:sz="4" w:space="0" w:color="auto"/>
              <w:bottom w:val="single" w:sz="4" w:space="0" w:color="auto"/>
              <w:right w:val="single" w:sz="4" w:space="0" w:color="auto"/>
            </w:tcBorders>
            <w:noWrap/>
          </w:tcPr>
          <w:p w14:paraId="50076745"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47119084"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5 400,00</w:t>
            </w:r>
          </w:p>
        </w:tc>
      </w:tr>
      <w:tr w:rsidR="00D215BD" w:rsidRPr="001314CA" w14:paraId="32F69813"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030B5EA7"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663AE84F"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lang w:eastAsia="zh-CN"/>
              </w:rPr>
              <w:t>République sudafricaine</w:t>
            </w:r>
          </w:p>
        </w:tc>
        <w:tc>
          <w:tcPr>
            <w:tcW w:w="2276" w:type="dxa"/>
            <w:tcBorders>
              <w:top w:val="single" w:sz="4" w:space="0" w:color="auto"/>
              <w:left w:val="single" w:sz="4" w:space="0" w:color="auto"/>
              <w:bottom w:val="single" w:sz="4" w:space="0" w:color="auto"/>
              <w:right w:val="single" w:sz="4" w:space="0" w:color="auto"/>
            </w:tcBorders>
            <w:noWrap/>
          </w:tcPr>
          <w:p w14:paraId="7CEF0F04" w14:textId="77777777" w:rsidR="00D215BD" w:rsidRPr="00513163" w:rsidRDefault="00D215BD" w:rsidP="00D215BD">
            <w:pPr>
              <w:tabs>
                <w:tab w:val="clear" w:pos="567"/>
                <w:tab w:val="clear" w:pos="1134"/>
                <w:tab w:val="clear" w:pos="1701"/>
                <w:tab w:val="clear" w:pos="2268"/>
                <w:tab w:val="clear" w:pos="2835"/>
              </w:tabs>
              <w:spacing w:before="0"/>
              <w:rPr>
                <w:b/>
                <w:bCs/>
                <w:sz w:val="20"/>
                <w:lang w:val="en-US" w:eastAsia="zh-CN"/>
              </w:rPr>
            </w:pPr>
            <w:proofErr w:type="spellStart"/>
            <w:r w:rsidRPr="00513163">
              <w:rPr>
                <w:sz w:val="20"/>
                <w:lang w:val="en-US"/>
              </w:rPr>
              <w:t>Orizur</w:t>
            </w:r>
            <w:proofErr w:type="spellEnd"/>
            <w:r w:rsidRPr="00513163">
              <w:rPr>
                <w:sz w:val="20"/>
                <w:lang w:val="en-US"/>
              </w:rPr>
              <w:t xml:space="preserve"> Consulting Enterprise Pty Ltd.</w:t>
            </w:r>
          </w:p>
        </w:tc>
        <w:tc>
          <w:tcPr>
            <w:tcW w:w="1844" w:type="dxa"/>
            <w:tcBorders>
              <w:top w:val="single" w:sz="4" w:space="0" w:color="auto"/>
              <w:left w:val="single" w:sz="4" w:space="0" w:color="auto"/>
              <w:bottom w:val="single" w:sz="4" w:space="0" w:color="auto"/>
              <w:right w:val="single" w:sz="4" w:space="0" w:color="auto"/>
            </w:tcBorders>
            <w:noWrap/>
          </w:tcPr>
          <w:p w14:paraId="7A200802"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1 000,00</w:t>
            </w:r>
          </w:p>
        </w:tc>
        <w:tc>
          <w:tcPr>
            <w:tcW w:w="1418" w:type="dxa"/>
            <w:tcBorders>
              <w:top w:val="single" w:sz="4" w:space="0" w:color="auto"/>
              <w:left w:val="single" w:sz="4" w:space="0" w:color="auto"/>
              <w:bottom w:val="single" w:sz="4" w:space="0" w:color="auto"/>
              <w:right w:val="single" w:sz="4" w:space="0" w:color="auto"/>
            </w:tcBorders>
            <w:noWrap/>
          </w:tcPr>
          <w:p w14:paraId="39E022CC"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66A3BF81"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1 000,00</w:t>
            </w:r>
          </w:p>
        </w:tc>
      </w:tr>
      <w:tr w:rsidR="00D215BD" w:rsidRPr="001314CA" w14:paraId="395517A3"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3934CD12"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39ABFFE9"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Émirats arabes unis</w:t>
            </w:r>
          </w:p>
        </w:tc>
        <w:tc>
          <w:tcPr>
            <w:tcW w:w="2276" w:type="dxa"/>
            <w:tcBorders>
              <w:top w:val="single" w:sz="4" w:space="0" w:color="auto"/>
              <w:left w:val="single" w:sz="4" w:space="0" w:color="auto"/>
              <w:bottom w:val="single" w:sz="4" w:space="0" w:color="auto"/>
              <w:right w:val="single" w:sz="4" w:space="0" w:color="auto"/>
            </w:tcBorders>
            <w:noWrap/>
          </w:tcPr>
          <w:p w14:paraId="1685555B"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Smart Life for IT</w:t>
            </w:r>
          </w:p>
        </w:tc>
        <w:tc>
          <w:tcPr>
            <w:tcW w:w="1844" w:type="dxa"/>
            <w:tcBorders>
              <w:top w:val="single" w:sz="4" w:space="0" w:color="auto"/>
              <w:left w:val="single" w:sz="4" w:space="0" w:color="auto"/>
              <w:bottom w:val="single" w:sz="4" w:space="0" w:color="auto"/>
              <w:right w:val="single" w:sz="4" w:space="0" w:color="auto"/>
            </w:tcBorders>
            <w:noWrap/>
          </w:tcPr>
          <w:p w14:paraId="14283105"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5 400,00</w:t>
            </w:r>
          </w:p>
        </w:tc>
        <w:tc>
          <w:tcPr>
            <w:tcW w:w="1418" w:type="dxa"/>
            <w:tcBorders>
              <w:top w:val="single" w:sz="4" w:space="0" w:color="auto"/>
              <w:left w:val="single" w:sz="4" w:space="0" w:color="auto"/>
              <w:bottom w:val="single" w:sz="4" w:space="0" w:color="auto"/>
              <w:right w:val="single" w:sz="4" w:space="0" w:color="auto"/>
            </w:tcBorders>
            <w:noWrap/>
          </w:tcPr>
          <w:p w14:paraId="64ED3FB1"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7CB14FF3"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5 400,00</w:t>
            </w:r>
          </w:p>
        </w:tc>
      </w:tr>
      <w:tr w:rsidR="00D215BD" w:rsidRPr="001314CA" w14:paraId="506557BE"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10789385"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7CC01DD8"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Ghana</w:t>
            </w:r>
          </w:p>
        </w:tc>
        <w:tc>
          <w:tcPr>
            <w:tcW w:w="2276" w:type="dxa"/>
            <w:tcBorders>
              <w:top w:val="single" w:sz="4" w:space="0" w:color="auto"/>
              <w:left w:val="single" w:sz="4" w:space="0" w:color="auto"/>
              <w:bottom w:val="single" w:sz="4" w:space="0" w:color="auto"/>
              <w:right w:val="single" w:sz="4" w:space="0" w:color="auto"/>
            </w:tcBorders>
            <w:noWrap/>
          </w:tcPr>
          <w:p w14:paraId="7145E113"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proofErr w:type="spellStart"/>
            <w:r w:rsidRPr="001314CA">
              <w:rPr>
                <w:sz w:val="20"/>
              </w:rPr>
              <w:t>Tawo</w:t>
            </w:r>
            <w:proofErr w:type="spellEnd"/>
            <w:r w:rsidRPr="001314CA">
              <w:rPr>
                <w:sz w:val="20"/>
              </w:rPr>
              <w:t xml:space="preserve"> Mobile Technologies</w:t>
            </w:r>
          </w:p>
        </w:tc>
        <w:tc>
          <w:tcPr>
            <w:tcW w:w="1844" w:type="dxa"/>
            <w:tcBorders>
              <w:top w:val="single" w:sz="4" w:space="0" w:color="auto"/>
              <w:left w:val="single" w:sz="4" w:space="0" w:color="auto"/>
              <w:bottom w:val="single" w:sz="4" w:space="0" w:color="auto"/>
              <w:right w:val="single" w:sz="4" w:space="0" w:color="auto"/>
            </w:tcBorders>
            <w:noWrap/>
          </w:tcPr>
          <w:p w14:paraId="20D88E9D"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1 000,00</w:t>
            </w:r>
          </w:p>
        </w:tc>
        <w:tc>
          <w:tcPr>
            <w:tcW w:w="1418" w:type="dxa"/>
            <w:tcBorders>
              <w:top w:val="single" w:sz="4" w:space="0" w:color="auto"/>
              <w:left w:val="single" w:sz="4" w:space="0" w:color="auto"/>
              <w:bottom w:val="single" w:sz="4" w:space="0" w:color="auto"/>
              <w:right w:val="single" w:sz="4" w:space="0" w:color="auto"/>
            </w:tcBorders>
            <w:noWrap/>
          </w:tcPr>
          <w:p w14:paraId="2EE3E87D"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785AD9E0"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1 000,00</w:t>
            </w:r>
          </w:p>
        </w:tc>
      </w:tr>
      <w:tr w:rsidR="00D215BD" w:rsidRPr="001314CA" w14:paraId="1973DEE5"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5AE3E71E"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74265498"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Inde</w:t>
            </w:r>
          </w:p>
        </w:tc>
        <w:tc>
          <w:tcPr>
            <w:tcW w:w="2276" w:type="dxa"/>
            <w:tcBorders>
              <w:top w:val="single" w:sz="4" w:space="0" w:color="auto"/>
              <w:left w:val="single" w:sz="4" w:space="0" w:color="auto"/>
              <w:bottom w:val="single" w:sz="4" w:space="0" w:color="auto"/>
              <w:right w:val="single" w:sz="4" w:space="0" w:color="auto"/>
            </w:tcBorders>
            <w:noWrap/>
          </w:tcPr>
          <w:p w14:paraId="7D883E3B"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proofErr w:type="spellStart"/>
            <w:r w:rsidRPr="001314CA">
              <w:rPr>
                <w:sz w:val="20"/>
              </w:rPr>
              <w:t>Telecommunication</w:t>
            </w:r>
            <w:proofErr w:type="spellEnd"/>
            <w:r w:rsidRPr="001314CA">
              <w:rPr>
                <w:sz w:val="20"/>
              </w:rPr>
              <w:t xml:space="preserve"> </w:t>
            </w:r>
            <w:proofErr w:type="spellStart"/>
            <w:r w:rsidRPr="001314CA">
              <w:rPr>
                <w:sz w:val="20"/>
              </w:rPr>
              <w:t>Headsets</w:t>
            </w:r>
            <w:proofErr w:type="spellEnd"/>
            <w:r w:rsidRPr="001314CA">
              <w:rPr>
                <w:sz w:val="20"/>
              </w:rPr>
              <w:t xml:space="preserve"> </w:t>
            </w:r>
            <w:proofErr w:type="spellStart"/>
            <w:r w:rsidRPr="001314CA">
              <w:rPr>
                <w:sz w:val="20"/>
              </w:rPr>
              <w:t>India</w:t>
            </w:r>
            <w:proofErr w:type="spellEnd"/>
            <w:r w:rsidRPr="001314CA">
              <w:rPr>
                <w:sz w:val="20"/>
              </w:rPr>
              <w:t xml:space="preserve"> Ltd.</w:t>
            </w:r>
          </w:p>
        </w:tc>
        <w:tc>
          <w:tcPr>
            <w:tcW w:w="1844" w:type="dxa"/>
            <w:tcBorders>
              <w:top w:val="single" w:sz="4" w:space="0" w:color="auto"/>
              <w:left w:val="single" w:sz="4" w:space="0" w:color="auto"/>
              <w:bottom w:val="single" w:sz="4" w:space="0" w:color="auto"/>
              <w:right w:val="single" w:sz="4" w:space="0" w:color="auto"/>
            </w:tcBorders>
            <w:noWrap/>
          </w:tcPr>
          <w:p w14:paraId="6EC856BD"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800,00</w:t>
            </w:r>
          </w:p>
        </w:tc>
        <w:tc>
          <w:tcPr>
            <w:tcW w:w="1418" w:type="dxa"/>
            <w:tcBorders>
              <w:top w:val="single" w:sz="4" w:space="0" w:color="auto"/>
              <w:left w:val="single" w:sz="4" w:space="0" w:color="auto"/>
              <w:bottom w:val="single" w:sz="4" w:space="0" w:color="auto"/>
              <w:right w:val="single" w:sz="4" w:space="0" w:color="auto"/>
            </w:tcBorders>
            <w:noWrap/>
          </w:tcPr>
          <w:p w14:paraId="16B493DD"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28993ADC"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800,00</w:t>
            </w:r>
          </w:p>
        </w:tc>
      </w:tr>
      <w:tr w:rsidR="00D215BD" w:rsidRPr="001314CA" w14:paraId="41430159"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0D3AA9EC"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1E957517"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Hongrie</w:t>
            </w:r>
          </w:p>
        </w:tc>
        <w:tc>
          <w:tcPr>
            <w:tcW w:w="2276" w:type="dxa"/>
            <w:tcBorders>
              <w:top w:val="single" w:sz="4" w:space="0" w:color="auto"/>
              <w:left w:val="single" w:sz="4" w:space="0" w:color="auto"/>
              <w:bottom w:val="single" w:sz="4" w:space="0" w:color="auto"/>
              <w:right w:val="single" w:sz="4" w:space="0" w:color="auto"/>
            </w:tcBorders>
            <w:noWrap/>
          </w:tcPr>
          <w:p w14:paraId="66B9A93A"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r w:rsidRPr="001314CA">
              <w:rPr>
                <w:sz w:val="20"/>
              </w:rPr>
              <w:t xml:space="preserve">The Digital Future </w:t>
            </w:r>
            <w:proofErr w:type="spellStart"/>
            <w:r w:rsidRPr="001314CA">
              <w:rPr>
                <w:sz w:val="20"/>
              </w:rPr>
              <w:t>Foundation</w:t>
            </w:r>
            <w:proofErr w:type="spellEnd"/>
          </w:p>
        </w:tc>
        <w:tc>
          <w:tcPr>
            <w:tcW w:w="1844" w:type="dxa"/>
            <w:tcBorders>
              <w:top w:val="single" w:sz="4" w:space="0" w:color="auto"/>
              <w:left w:val="single" w:sz="4" w:space="0" w:color="auto"/>
              <w:bottom w:val="single" w:sz="4" w:space="0" w:color="auto"/>
              <w:right w:val="single" w:sz="4" w:space="0" w:color="auto"/>
            </w:tcBorders>
            <w:noWrap/>
          </w:tcPr>
          <w:p w14:paraId="7B9E06E9"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48 000,00</w:t>
            </w:r>
          </w:p>
        </w:tc>
        <w:tc>
          <w:tcPr>
            <w:tcW w:w="1418" w:type="dxa"/>
            <w:tcBorders>
              <w:top w:val="single" w:sz="4" w:space="0" w:color="auto"/>
              <w:left w:val="single" w:sz="4" w:space="0" w:color="auto"/>
              <w:bottom w:val="single" w:sz="4" w:space="0" w:color="auto"/>
              <w:right w:val="single" w:sz="4" w:space="0" w:color="auto"/>
            </w:tcBorders>
            <w:noWrap/>
          </w:tcPr>
          <w:p w14:paraId="787C079C"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493CEC53"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sz w:val="20"/>
              </w:rPr>
              <w:t>48 000,00</w:t>
            </w:r>
          </w:p>
        </w:tc>
      </w:tr>
      <w:tr w:rsidR="00D215BD" w:rsidRPr="001314CA" w14:paraId="627D2C02" w14:textId="77777777" w:rsidTr="00D215BD">
        <w:trPr>
          <w:trHeight w:val="300"/>
          <w:jc w:val="center"/>
        </w:trPr>
        <w:tc>
          <w:tcPr>
            <w:tcW w:w="1277" w:type="dxa"/>
            <w:tcBorders>
              <w:left w:val="single" w:sz="4" w:space="0" w:color="auto"/>
              <w:bottom w:val="single" w:sz="4" w:space="0" w:color="auto"/>
              <w:right w:val="single" w:sz="4" w:space="0" w:color="auto"/>
            </w:tcBorders>
            <w:shd w:val="clear" w:color="auto" w:fill="auto"/>
            <w:noWrap/>
          </w:tcPr>
          <w:p w14:paraId="42977AF7" w14:textId="77777777" w:rsidR="00D215BD" w:rsidRPr="001314CA" w:rsidRDefault="00D215BD" w:rsidP="00D215BD">
            <w:pPr>
              <w:tabs>
                <w:tab w:val="clear" w:pos="567"/>
                <w:tab w:val="clear" w:pos="1134"/>
                <w:tab w:val="clear" w:pos="1701"/>
                <w:tab w:val="clear" w:pos="2268"/>
                <w:tab w:val="clear" w:pos="2835"/>
              </w:tabs>
              <w:spacing w:before="0"/>
              <w:jc w:val="center"/>
              <w:rPr>
                <w:b/>
                <w:bCs/>
                <w:sz w:val="20"/>
                <w:lang w:eastAsia="zh-CN"/>
              </w:rPr>
            </w:pPr>
          </w:p>
        </w:tc>
        <w:tc>
          <w:tcPr>
            <w:tcW w:w="1553" w:type="dxa"/>
            <w:tcBorders>
              <w:left w:val="nil"/>
              <w:bottom w:val="single" w:sz="4" w:space="0" w:color="auto"/>
              <w:right w:val="single" w:sz="4" w:space="0" w:color="auto"/>
            </w:tcBorders>
            <w:shd w:val="clear" w:color="auto" w:fill="auto"/>
            <w:noWrap/>
          </w:tcPr>
          <w:p w14:paraId="48552215"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p>
        </w:tc>
        <w:tc>
          <w:tcPr>
            <w:tcW w:w="2276" w:type="dxa"/>
            <w:tcBorders>
              <w:left w:val="nil"/>
              <w:bottom w:val="single" w:sz="4" w:space="0" w:color="auto"/>
              <w:right w:val="single" w:sz="4" w:space="0" w:color="auto"/>
            </w:tcBorders>
            <w:shd w:val="clear" w:color="auto" w:fill="auto"/>
            <w:noWrap/>
          </w:tcPr>
          <w:p w14:paraId="05095CFE"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p>
        </w:tc>
        <w:tc>
          <w:tcPr>
            <w:tcW w:w="1844" w:type="dxa"/>
            <w:tcBorders>
              <w:left w:val="nil"/>
              <w:bottom w:val="single" w:sz="4" w:space="0" w:color="auto"/>
              <w:right w:val="single" w:sz="4" w:space="0" w:color="auto"/>
            </w:tcBorders>
            <w:shd w:val="clear" w:color="auto" w:fill="auto"/>
            <w:noWrap/>
          </w:tcPr>
          <w:p w14:paraId="53413C30"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p>
        </w:tc>
        <w:tc>
          <w:tcPr>
            <w:tcW w:w="1418" w:type="dxa"/>
            <w:tcBorders>
              <w:left w:val="nil"/>
              <w:bottom w:val="single" w:sz="4" w:space="0" w:color="auto"/>
              <w:right w:val="single" w:sz="4" w:space="0" w:color="auto"/>
            </w:tcBorders>
            <w:shd w:val="clear" w:color="auto" w:fill="auto"/>
            <w:noWrap/>
          </w:tcPr>
          <w:p w14:paraId="08AED4F5"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p>
        </w:tc>
        <w:tc>
          <w:tcPr>
            <w:tcW w:w="1419" w:type="dxa"/>
            <w:tcBorders>
              <w:left w:val="nil"/>
              <w:bottom w:val="single" w:sz="4" w:space="0" w:color="auto"/>
              <w:right w:val="single" w:sz="4" w:space="0" w:color="auto"/>
            </w:tcBorders>
            <w:shd w:val="clear" w:color="auto" w:fill="auto"/>
            <w:noWrap/>
          </w:tcPr>
          <w:p w14:paraId="362C747A"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p>
        </w:tc>
      </w:tr>
      <w:tr w:rsidR="00D215BD" w:rsidRPr="001314CA" w14:paraId="6B4B27E2" w14:textId="77777777" w:rsidTr="00D215BD">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770E31B3" w14:textId="77777777" w:rsidR="00D215BD" w:rsidRPr="001314CA" w:rsidRDefault="00D215BD" w:rsidP="00D215BD">
            <w:pPr>
              <w:tabs>
                <w:tab w:val="clear" w:pos="567"/>
                <w:tab w:val="clear" w:pos="1134"/>
                <w:tab w:val="clear" w:pos="1701"/>
                <w:tab w:val="clear" w:pos="2268"/>
                <w:tab w:val="clear" w:pos="2835"/>
              </w:tabs>
              <w:spacing w:before="0"/>
              <w:rPr>
                <w:sz w:val="20"/>
                <w:lang w:eastAsia="zh-CN"/>
              </w:rPr>
            </w:pPr>
            <w:r w:rsidRPr="001314CA">
              <w:rPr>
                <w:sz w:val="20"/>
                <w:lang w:eastAsia="zh-CN"/>
              </w:rPr>
              <w:t>TLC 2019</w:t>
            </w:r>
          </w:p>
        </w:tc>
        <w:tc>
          <w:tcPr>
            <w:tcW w:w="1553" w:type="dxa"/>
            <w:tcBorders>
              <w:top w:val="single" w:sz="4" w:space="0" w:color="auto"/>
              <w:left w:val="nil"/>
              <w:bottom w:val="single" w:sz="4" w:space="0" w:color="auto"/>
              <w:right w:val="single" w:sz="4" w:space="0" w:color="auto"/>
            </w:tcBorders>
            <w:shd w:val="clear" w:color="auto" w:fill="auto"/>
            <w:noWrap/>
          </w:tcPr>
          <w:p w14:paraId="76958C39"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p>
        </w:tc>
        <w:tc>
          <w:tcPr>
            <w:tcW w:w="2276" w:type="dxa"/>
            <w:tcBorders>
              <w:top w:val="single" w:sz="4" w:space="0" w:color="auto"/>
              <w:left w:val="nil"/>
              <w:bottom w:val="single" w:sz="4" w:space="0" w:color="auto"/>
              <w:right w:val="single" w:sz="4" w:space="0" w:color="auto"/>
            </w:tcBorders>
            <w:shd w:val="clear" w:color="auto" w:fill="auto"/>
            <w:noWrap/>
          </w:tcPr>
          <w:p w14:paraId="62314BA2" w14:textId="77777777" w:rsidR="00D215BD" w:rsidRPr="001314CA" w:rsidRDefault="00D215BD" w:rsidP="00D215BD">
            <w:pPr>
              <w:tabs>
                <w:tab w:val="clear" w:pos="567"/>
                <w:tab w:val="clear" w:pos="1134"/>
                <w:tab w:val="clear" w:pos="1701"/>
                <w:tab w:val="clear" w:pos="2268"/>
                <w:tab w:val="clear" w:pos="2835"/>
              </w:tabs>
              <w:spacing w:before="0"/>
              <w:rPr>
                <w:b/>
                <w:bCs/>
                <w:sz w:val="20"/>
                <w:lang w:eastAsia="zh-CN"/>
              </w:rPr>
            </w:pPr>
          </w:p>
        </w:tc>
        <w:tc>
          <w:tcPr>
            <w:tcW w:w="1844" w:type="dxa"/>
            <w:tcBorders>
              <w:top w:val="single" w:sz="4" w:space="0" w:color="auto"/>
              <w:left w:val="nil"/>
              <w:bottom w:val="single" w:sz="4" w:space="0" w:color="auto"/>
              <w:right w:val="single" w:sz="4" w:space="0" w:color="auto"/>
            </w:tcBorders>
            <w:shd w:val="clear" w:color="auto" w:fill="auto"/>
            <w:noWrap/>
          </w:tcPr>
          <w:p w14:paraId="182F7978"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p>
        </w:tc>
        <w:tc>
          <w:tcPr>
            <w:tcW w:w="1418" w:type="dxa"/>
            <w:tcBorders>
              <w:top w:val="single" w:sz="4" w:space="0" w:color="auto"/>
              <w:left w:val="nil"/>
              <w:bottom w:val="single" w:sz="4" w:space="0" w:color="auto"/>
              <w:right w:val="single" w:sz="4" w:space="0" w:color="auto"/>
            </w:tcBorders>
            <w:shd w:val="clear" w:color="auto" w:fill="auto"/>
            <w:noWrap/>
          </w:tcPr>
          <w:p w14:paraId="7053AE7B"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p>
        </w:tc>
        <w:tc>
          <w:tcPr>
            <w:tcW w:w="1419" w:type="dxa"/>
            <w:tcBorders>
              <w:top w:val="single" w:sz="4" w:space="0" w:color="auto"/>
              <w:left w:val="nil"/>
              <w:bottom w:val="single" w:sz="4" w:space="0" w:color="auto"/>
              <w:right w:val="single" w:sz="4" w:space="0" w:color="auto"/>
            </w:tcBorders>
            <w:shd w:val="clear" w:color="auto" w:fill="auto"/>
            <w:noWrap/>
          </w:tcPr>
          <w:p w14:paraId="5559A63C" w14:textId="77777777" w:rsidR="00D215BD" w:rsidRPr="001314CA" w:rsidRDefault="00D215BD" w:rsidP="00D215BD">
            <w:pPr>
              <w:tabs>
                <w:tab w:val="clear" w:pos="567"/>
                <w:tab w:val="clear" w:pos="1134"/>
                <w:tab w:val="clear" w:pos="1701"/>
                <w:tab w:val="clear" w:pos="2268"/>
                <w:tab w:val="clear" w:pos="2835"/>
              </w:tabs>
              <w:spacing w:before="0"/>
              <w:jc w:val="right"/>
              <w:rPr>
                <w:b/>
                <w:bCs/>
                <w:sz w:val="20"/>
                <w:lang w:eastAsia="zh-CN"/>
              </w:rPr>
            </w:pPr>
            <w:r w:rsidRPr="001314CA">
              <w:rPr>
                <w:b/>
                <w:bCs/>
                <w:sz w:val="20"/>
                <w:lang w:eastAsia="zh-CN"/>
              </w:rPr>
              <w:t>61 600,00</w:t>
            </w:r>
          </w:p>
        </w:tc>
      </w:tr>
    </w:tbl>
    <w:p w14:paraId="3D45EC02" w14:textId="77777777" w:rsidR="00D215BD" w:rsidRPr="001314CA" w:rsidRDefault="00D215BD" w:rsidP="00D215BD">
      <w:pPr>
        <w:spacing w:before="0"/>
      </w:pPr>
    </w:p>
    <w:tbl>
      <w:tblPr>
        <w:tblW w:w="4039" w:type="dxa"/>
        <w:tblInd w:w="-70" w:type="dxa"/>
        <w:tblLayout w:type="fixed"/>
        <w:tblLook w:val="04A0" w:firstRow="1" w:lastRow="0" w:firstColumn="1" w:lastColumn="0" w:noHBand="0" w:noVBand="1"/>
        <w:tblCaption w:val="E"/>
      </w:tblPr>
      <w:tblGrid>
        <w:gridCol w:w="2842"/>
        <w:gridCol w:w="1197"/>
      </w:tblGrid>
      <w:tr w:rsidR="00D215BD" w:rsidRPr="001314CA" w14:paraId="098BDAD8" w14:textId="77777777" w:rsidTr="00D215BD">
        <w:trPr>
          <w:trHeight w:val="300"/>
        </w:trPr>
        <w:tc>
          <w:tcPr>
            <w:tcW w:w="2842" w:type="dxa"/>
            <w:shd w:val="clear" w:color="auto" w:fill="auto"/>
            <w:noWrap/>
          </w:tcPr>
          <w:p w14:paraId="3E7BD993" w14:textId="77777777" w:rsidR="00D215BD" w:rsidRPr="001314CA" w:rsidRDefault="00D215BD" w:rsidP="00D215BD">
            <w:pPr>
              <w:tabs>
                <w:tab w:val="clear" w:pos="567"/>
                <w:tab w:val="clear" w:pos="1134"/>
                <w:tab w:val="clear" w:pos="1701"/>
                <w:tab w:val="clear" w:pos="2268"/>
                <w:tab w:val="clear" w:pos="2835"/>
              </w:tabs>
              <w:spacing w:before="60" w:after="60"/>
              <w:rPr>
                <w:sz w:val="20"/>
                <w:lang w:eastAsia="zh-CN"/>
              </w:rPr>
            </w:pPr>
            <w:r w:rsidRPr="001314CA">
              <w:rPr>
                <w:sz w:val="20"/>
                <w:lang w:eastAsia="zh-CN"/>
              </w:rPr>
              <w:t>Débiteurs ITU TELECOM World</w:t>
            </w:r>
          </w:p>
        </w:tc>
        <w:tc>
          <w:tcPr>
            <w:tcW w:w="1197" w:type="dxa"/>
            <w:shd w:val="clear" w:color="auto" w:fill="auto"/>
            <w:noWrap/>
            <w:vAlign w:val="center"/>
          </w:tcPr>
          <w:p w14:paraId="3056B5DE"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lang w:eastAsia="zh-CN"/>
              </w:rPr>
            </w:pPr>
            <w:r w:rsidRPr="001314CA">
              <w:rPr>
                <w:b/>
                <w:bCs/>
                <w:sz w:val="20"/>
                <w:lang w:eastAsia="zh-CN"/>
              </w:rPr>
              <w:t>561 525,91</w:t>
            </w:r>
          </w:p>
        </w:tc>
      </w:tr>
      <w:tr w:rsidR="00D215BD" w:rsidRPr="001314CA" w14:paraId="100DD479" w14:textId="77777777" w:rsidTr="00D215BD">
        <w:trPr>
          <w:trHeight w:val="300"/>
        </w:trPr>
        <w:tc>
          <w:tcPr>
            <w:tcW w:w="2842" w:type="dxa"/>
            <w:shd w:val="clear" w:color="auto" w:fill="auto"/>
            <w:noWrap/>
          </w:tcPr>
          <w:p w14:paraId="55575819" w14:textId="77777777" w:rsidR="00D215BD" w:rsidRPr="001314CA" w:rsidRDefault="00D215BD" w:rsidP="00D215BD">
            <w:pPr>
              <w:tabs>
                <w:tab w:val="clear" w:pos="567"/>
                <w:tab w:val="clear" w:pos="1134"/>
                <w:tab w:val="clear" w:pos="1701"/>
                <w:tab w:val="clear" w:pos="2268"/>
                <w:tab w:val="clear" w:pos="2835"/>
              </w:tabs>
              <w:spacing w:before="60" w:after="60"/>
              <w:rPr>
                <w:sz w:val="20"/>
                <w:lang w:eastAsia="zh-CN"/>
              </w:rPr>
            </w:pPr>
            <w:r w:rsidRPr="001314CA">
              <w:rPr>
                <w:sz w:val="20"/>
                <w:lang w:eastAsia="zh-CN"/>
              </w:rPr>
              <w:t xml:space="preserve">Débiteurs ITU TELECOM </w:t>
            </w:r>
            <w:proofErr w:type="spellStart"/>
            <w:r w:rsidRPr="001314CA">
              <w:rPr>
                <w:sz w:val="20"/>
                <w:lang w:eastAsia="zh-CN"/>
              </w:rPr>
              <w:t>Africa</w:t>
            </w:r>
            <w:proofErr w:type="spellEnd"/>
          </w:p>
        </w:tc>
        <w:tc>
          <w:tcPr>
            <w:tcW w:w="1197" w:type="dxa"/>
            <w:shd w:val="clear" w:color="auto" w:fill="auto"/>
            <w:noWrap/>
            <w:vAlign w:val="center"/>
          </w:tcPr>
          <w:p w14:paraId="12DBA9CD"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lang w:eastAsia="zh-CN"/>
              </w:rPr>
            </w:pPr>
            <w:r w:rsidRPr="001314CA">
              <w:rPr>
                <w:b/>
                <w:bCs/>
                <w:sz w:val="20"/>
                <w:lang w:eastAsia="zh-CN"/>
              </w:rPr>
              <w:t>40 480,00</w:t>
            </w:r>
          </w:p>
        </w:tc>
      </w:tr>
      <w:tr w:rsidR="00D215BD" w:rsidRPr="001314CA" w14:paraId="28FBE1E1" w14:textId="77777777" w:rsidTr="00D215BD">
        <w:trPr>
          <w:trHeight w:val="300"/>
        </w:trPr>
        <w:tc>
          <w:tcPr>
            <w:tcW w:w="2842" w:type="dxa"/>
            <w:shd w:val="clear" w:color="auto" w:fill="auto"/>
            <w:noWrap/>
          </w:tcPr>
          <w:p w14:paraId="7D9CE5DE" w14:textId="77777777" w:rsidR="00D215BD" w:rsidRPr="001314CA" w:rsidRDefault="00D215BD" w:rsidP="00D215BD">
            <w:pPr>
              <w:tabs>
                <w:tab w:val="clear" w:pos="567"/>
                <w:tab w:val="clear" w:pos="1134"/>
                <w:tab w:val="clear" w:pos="1701"/>
                <w:tab w:val="clear" w:pos="2268"/>
                <w:tab w:val="clear" w:pos="2835"/>
              </w:tabs>
              <w:spacing w:before="60" w:after="60"/>
              <w:rPr>
                <w:sz w:val="20"/>
                <w:lang w:eastAsia="zh-CN"/>
              </w:rPr>
            </w:pPr>
            <w:r w:rsidRPr="001314CA">
              <w:rPr>
                <w:b/>
                <w:bCs/>
                <w:sz w:val="20"/>
                <w:lang w:eastAsia="zh-CN"/>
              </w:rPr>
              <w:t>Total débiteurs</w:t>
            </w:r>
          </w:p>
        </w:tc>
        <w:tc>
          <w:tcPr>
            <w:tcW w:w="1197" w:type="dxa"/>
            <w:shd w:val="clear" w:color="auto" w:fill="auto"/>
            <w:noWrap/>
            <w:vAlign w:val="center"/>
          </w:tcPr>
          <w:p w14:paraId="072B7388" w14:textId="77777777" w:rsidR="00D215BD" w:rsidRPr="001314CA" w:rsidRDefault="00D215BD" w:rsidP="00D215BD">
            <w:pPr>
              <w:tabs>
                <w:tab w:val="clear" w:pos="567"/>
                <w:tab w:val="clear" w:pos="1134"/>
                <w:tab w:val="clear" w:pos="1701"/>
                <w:tab w:val="clear" w:pos="2268"/>
                <w:tab w:val="clear" w:pos="2835"/>
              </w:tabs>
              <w:spacing w:before="60" w:after="60"/>
              <w:jc w:val="right"/>
              <w:rPr>
                <w:b/>
                <w:bCs/>
                <w:sz w:val="20"/>
                <w:lang w:eastAsia="zh-CN"/>
              </w:rPr>
            </w:pPr>
            <w:r w:rsidRPr="001314CA">
              <w:rPr>
                <w:b/>
                <w:bCs/>
                <w:sz w:val="20"/>
                <w:lang w:eastAsia="zh-CN"/>
              </w:rPr>
              <w:t>602 005,91</w:t>
            </w:r>
          </w:p>
        </w:tc>
      </w:tr>
    </w:tbl>
    <w:p w14:paraId="6215346D" w14:textId="77777777" w:rsidR="00D215BD" w:rsidRPr="001314CA" w:rsidRDefault="00D215BD" w:rsidP="00D215BD">
      <w:pPr>
        <w:spacing w:before="720"/>
        <w:jc w:val="center"/>
        <w:rPr>
          <w:caps/>
          <w:sz w:val="2"/>
          <w:szCs w:val="2"/>
        </w:rPr>
      </w:pPr>
      <w:bookmarkStart w:id="3209" w:name="_Toc305776656"/>
      <w:bookmarkStart w:id="3210" w:name="_Toc357006014"/>
      <w:bookmarkStart w:id="3211" w:name="_Toc452138681"/>
      <w:bookmarkStart w:id="3212" w:name="_Toc452139130"/>
      <w:bookmarkStart w:id="3213" w:name="_Toc482888059"/>
      <w:bookmarkStart w:id="3214" w:name="_Toc482888402"/>
      <w:bookmarkStart w:id="3215" w:name="_Toc511736697"/>
      <w:bookmarkStart w:id="3216" w:name="_Toc10450825"/>
    </w:p>
    <w:p w14:paraId="62892292" w14:textId="77777777" w:rsidR="00D215BD" w:rsidRPr="001314CA" w:rsidRDefault="00D215BD" w:rsidP="00D215BD">
      <w:pPr>
        <w:pStyle w:val="AnnexNo"/>
      </w:pPr>
      <w:bookmarkStart w:id="3217" w:name="_Toc41815011"/>
      <w:bookmarkStart w:id="3218" w:name="_Toc73354523"/>
      <w:bookmarkStart w:id="3219" w:name="_Toc73356506"/>
      <w:r w:rsidRPr="001314CA">
        <w:lastRenderedPageBreak/>
        <w:t xml:space="preserve">ANNEXE </w:t>
      </w:r>
      <w:bookmarkEnd w:id="3209"/>
      <w:bookmarkEnd w:id="3210"/>
      <w:bookmarkEnd w:id="3211"/>
      <w:bookmarkEnd w:id="3212"/>
      <w:bookmarkEnd w:id="3213"/>
      <w:bookmarkEnd w:id="3214"/>
      <w:bookmarkEnd w:id="3215"/>
      <w:r w:rsidRPr="001314CA">
        <w:t>E</w:t>
      </w:r>
      <w:bookmarkEnd w:id="3216"/>
      <w:bookmarkEnd w:id="3217"/>
      <w:bookmarkEnd w:id="3218"/>
      <w:bookmarkEnd w:id="3219"/>
    </w:p>
    <w:p w14:paraId="4200273C" w14:textId="77777777" w:rsidR="00D215BD" w:rsidRPr="001314CA" w:rsidRDefault="00D215BD" w:rsidP="00D215BD">
      <w:pPr>
        <w:pStyle w:val="Annextitle"/>
      </w:pPr>
      <w:bookmarkStart w:id="3220" w:name="_Toc73354524"/>
      <w:bookmarkStart w:id="3221" w:name="_Toc73356507"/>
      <w:r w:rsidRPr="001314CA">
        <w:t>Liste des sponsors n'ayant pas réglé le solde dû au 31 décembre 2020</w:t>
      </w:r>
      <w:bookmarkEnd w:id="3220"/>
      <w:bookmarkEnd w:id="3221"/>
    </w:p>
    <w:tbl>
      <w:tblPr>
        <w:tblW w:w="10320" w:type="dxa"/>
        <w:jc w:val="center"/>
        <w:tblLook w:val="04A0" w:firstRow="1" w:lastRow="0" w:firstColumn="1" w:lastColumn="0" w:noHBand="0" w:noVBand="1"/>
      </w:tblPr>
      <w:tblGrid>
        <w:gridCol w:w="2260"/>
        <w:gridCol w:w="2600"/>
        <w:gridCol w:w="1920"/>
        <w:gridCol w:w="1420"/>
        <w:gridCol w:w="2120"/>
      </w:tblGrid>
      <w:tr w:rsidR="00D215BD" w:rsidRPr="001314CA" w14:paraId="1E8CC810" w14:textId="77777777" w:rsidTr="00D215BD">
        <w:trPr>
          <w:trHeight w:val="910"/>
          <w:jc w:val="center"/>
        </w:trPr>
        <w:tc>
          <w:tcPr>
            <w:tcW w:w="226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1AEE0DB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bookmarkStart w:id="3222" w:name="_MON_1402743523"/>
            <w:bookmarkStart w:id="3223" w:name="_MON_1493037664"/>
            <w:bookmarkEnd w:id="3222"/>
            <w:bookmarkEnd w:id="3223"/>
            <w:r w:rsidRPr="001314CA">
              <w:rPr>
                <w:b/>
                <w:sz w:val="22"/>
                <w:szCs w:val="22"/>
                <w:lang w:eastAsia="zh-CN"/>
              </w:rPr>
              <w:t>Pays</w:t>
            </w:r>
          </w:p>
        </w:tc>
        <w:tc>
          <w:tcPr>
            <w:tcW w:w="2600" w:type="dxa"/>
            <w:tcBorders>
              <w:top w:val="single" w:sz="4" w:space="0" w:color="000000"/>
              <w:left w:val="nil"/>
              <w:bottom w:val="single" w:sz="4" w:space="0" w:color="auto"/>
              <w:right w:val="single" w:sz="4" w:space="0" w:color="000000"/>
            </w:tcBorders>
            <w:shd w:val="clear" w:color="auto" w:fill="auto"/>
            <w:noWrap/>
            <w:vAlign w:val="center"/>
            <w:hideMark/>
          </w:tcPr>
          <w:p w14:paraId="399165B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1314CA">
              <w:rPr>
                <w:b/>
                <w:sz w:val="22"/>
                <w:szCs w:val="22"/>
                <w:lang w:eastAsia="zh-CN"/>
              </w:rPr>
              <w:t>Entité</w:t>
            </w:r>
          </w:p>
        </w:tc>
        <w:tc>
          <w:tcPr>
            <w:tcW w:w="1920" w:type="dxa"/>
            <w:tcBorders>
              <w:top w:val="single" w:sz="4" w:space="0" w:color="000000"/>
              <w:left w:val="nil"/>
              <w:bottom w:val="single" w:sz="4" w:space="0" w:color="auto"/>
              <w:right w:val="single" w:sz="4" w:space="0" w:color="000000"/>
            </w:tcBorders>
            <w:shd w:val="clear" w:color="auto" w:fill="auto"/>
            <w:noWrap/>
            <w:vAlign w:val="center"/>
            <w:hideMark/>
          </w:tcPr>
          <w:p w14:paraId="19F92DA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b/>
                <w:sz w:val="22"/>
                <w:szCs w:val="22"/>
                <w:lang w:eastAsia="zh-CN"/>
              </w:rPr>
              <w:t>Montant facturé</w:t>
            </w:r>
          </w:p>
        </w:tc>
        <w:tc>
          <w:tcPr>
            <w:tcW w:w="1420" w:type="dxa"/>
            <w:tcBorders>
              <w:top w:val="single" w:sz="4" w:space="0" w:color="000000"/>
              <w:left w:val="nil"/>
              <w:bottom w:val="single" w:sz="4" w:space="0" w:color="auto"/>
              <w:right w:val="single" w:sz="4" w:space="0" w:color="000000"/>
            </w:tcBorders>
            <w:shd w:val="clear" w:color="auto" w:fill="auto"/>
            <w:noWrap/>
            <w:vAlign w:val="center"/>
            <w:hideMark/>
          </w:tcPr>
          <w:p w14:paraId="0759FEC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b/>
                <w:bCs/>
                <w:color w:val="000000"/>
                <w:sz w:val="22"/>
                <w:szCs w:val="22"/>
                <w:lang w:eastAsia="en-GB"/>
              </w:rPr>
              <w:t>Devise</w:t>
            </w:r>
          </w:p>
        </w:tc>
        <w:tc>
          <w:tcPr>
            <w:tcW w:w="2120" w:type="dxa"/>
            <w:tcBorders>
              <w:top w:val="single" w:sz="4" w:space="0" w:color="000000"/>
              <w:left w:val="nil"/>
              <w:bottom w:val="single" w:sz="4" w:space="0" w:color="auto"/>
              <w:right w:val="single" w:sz="4" w:space="0" w:color="000000"/>
            </w:tcBorders>
            <w:shd w:val="clear" w:color="auto" w:fill="auto"/>
            <w:noWrap/>
            <w:vAlign w:val="center"/>
            <w:hideMark/>
          </w:tcPr>
          <w:p w14:paraId="22908D6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b/>
                <w:bCs/>
                <w:color w:val="000000"/>
                <w:sz w:val="22"/>
                <w:szCs w:val="22"/>
                <w:lang w:eastAsia="en-GB"/>
              </w:rPr>
              <w:t xml:space="preserve">Solde restant </w:t>
            </w:r>
          </w:p>
        </w:tc>
      </w:tr>
      <w:tr w:rsidR="00D215BD" w:rsidRPr="001314CA" w14:paraId="255CE09C" w14:textId="77777777" w:rsidTr="00D215BD">
        <w:trPr>
          <w:trHeight w:val="300"/>
          <w:jc w:val="center"/>
        </w:trPr>
        <w:tc>
          <w:tcPr>
            <w:tcW w:w="226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9E3D10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color w:val="000000"/>
                <w:sz w:val="22"/>
                <w:szCs w:val="22"/>
              </w:rPr>
              <w:t>Corée du Sud</w:t>
            </w:r>
            <w:r w:rsidRPr="001314CA">
              <w:rPr>
                <w:rFonts w:cs="Calibri"/>
                <w:color w:val="000000"/>
                <w:sz w:val="22"/>
                <w:szCs w:val="22"/>
                <w:lang w:eastAsia="en-GB"/>
              </w:rPr>
              <w:t xml:space="preserve"> </w:t>
            </w:r>
          </w:p>
        </w:tc>
        <w:tc>
          <w:tcPr>
            <w:tcW w:w="2600" w:type="dxa"/>
            <w:tcBorders>
              <w:top w:val="single" w:sz="4" w:space="0" w:color="auto"/>
              <w:left w:val="nil"/>
              <w:bottom w:val="single" w:sz="4" w:space="0" w:color="000000"/>
              <w:right w:val="single" w:sz="4" w:space="0" w:color="000000"/>
            </w:tcBorders>
            <w:shd w:val="clear" w:color="auto" w:fill="auto"/>
            <w:noWrap/>
            <w:vAlign w:val="bottom"/>
            <w:hideMark/>
          </w:tcPr>
          <w:p w14:paraId="53D6AA6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MIND AI</w:t>
            </w:r>
          </w:p>
        </w:tc>
        <w:tc>
          <w:tcPr>
            <w:tcW w:w="1920" w:type="dxa"/>
            <w:tcBorders>
              <w:top w:val="single" w:sz="4" w:space="0" w:color="auto"/>
              <w:left w:val="nil"/>
              <w:bottom w:val="single" w:sz="4" w:space="0" w:color="000000"/>
              <w:right w:val="single" w:sz="4" w:space="0" w:color="000000"/>
            </w:tcBorders>
            <w:shd w:val="clear" w:color="auto" w:fill="auto"/>
            <w:noWrap/>
            <w:vAlign w:val="bottom"/>
            <w:hideMark/>
          </w:tcPr>
          <w:p w14:paraId="6D53CF0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60 000</w:t>
            </w:r>
          </w:p>
        </w:tc>
        <w:tc>
          <w:tcPr>
            <w:tcW w:w="1420" w:type="dxa"/>
            <w:tcBorders>
              <w:top w:val="single" w:sz="4" w:space="0" w:color="auto"/>
              <w:left w:val="nil"/>
              <w:bottom w:val="single" w:sz="4" w:space="0" w:color="000000"/>
              <w:right w:val="single" w:sz="4" w:space="0" w:color="000000"/>
            </w:tcBorders>
            <w:shd w:val="clear" w:color="auto" w:fill="auto"/>
            <w:noWrap/>
            <w:vAlign w:val="bottom"/>
            <w:hideMark/>
          </w:tcPr>
          <w:p w14:paraId="43399CA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CHF</w:t>
            </w:r>
          </w:p>
        </w:tc>
        <w:tc>
          <w:tcPr>
            <w:tcW w:w="2120" w:type="dxa"/>
            <w:tcBorders>
              <w:top w:val="single" w:sz="4" w:space="0" w:color="auto"/>
              <w:left w:val="nil"/>
              <w:bottom w:val="single" w:sz="4" w:space="0" w:color="000000"/>
              <w:right w:val="single" w:sz="4" w:space="0" w:color="000000"/>
            </w:tcBorders>
            <w:shd w:val="clear" w:color="auto" w:fill="auto"/>
            <w:noWrap/>
            <w:vAlign w:val="bottom"/>
            <w:hideMark/>
          </w:tcPr>
          <w:p w14:paraId="143A8DC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60 000</w:t>
            </w:r>
          </w:p>
        </w:tc>
      </w:tr>
      <w:tr w:rsidR="00D215BD" w:rsidRPr="001314CA" w14:paraId="0DFE2F86"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77217CB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Royaume-Uni</w:t>
            </w:r>
          </w:p>
        </w:tc>
        <w:tc>
          <w:tcPr>
            <w:tcW w:w="2600" w:type="dxa"/>
            <w:tcBorders>
              <w:top w:val="nil"/>
              <w:left w:val="nil"/>
              <w:bottom w:val="single" w:sz="4" w:space="0" w:color="000000"/>
              <w:right w:val="single" w:sz="4" w:space="0" w:color="000000"/>
            </w:tcBorders>
            <w:shd w:val="clear" w:color="auto" w:fill="auto"/>
            <w:noWrap/>
            <w:vAlign w:val="bottom"/>
            <w:hideMark/>
          </w:tcPr>
          <w:p w14:paraId="5AB958B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proofErr w:type="spellStart"/>
            <w:r w:rsidRPr="001314CA">
              <w:rPr>
                <w:rFonts w:cs="Calibri"/>
                <w:color w:val="000000"/>
                <w:sz w:val="22"/>
                <w:szCs w:val="22"/>
                <w:lang w:eastAsia="en-GB"/>
              </w:rPr>
              <w:t>Inmarsat</w:t>
            </w:r>
            <w:proofErr w:type="spellEnd"/>
            <w:r w:rsidRPr="001314CA">
              <w:rPr>
                <w:rFonts w:cs="Calibri"/>
                <w:color w:val="000000"/>
                <w:sz w:val="22"/>
                <w:szCs w:val="22"/>
                <w:lang w:eastAsia="en-GB"/>
              </w:rPr>
              <w:t xml:space="preserve"> </w:t>
            </w:r>
          </w:p>
        </w:tc>
        <w:tc>
          <w:tcPr>
            <w:tcW w:w="1920" w:type="dxa"/>
            <w:tcBorders>
              <w:top w:val="nil"/>
              <w:left w:val="nil"/>
              <w:bottom w:val="single" w:sz="4" w:space="0" w:color="000000"/>
              <w:right w:val="single" w:sz="4" w:space="0" w:color="000000"/>
            </w:tcBorders>
            <w:shd w:val="clear" w:color="auto" w:fill="auto"/>
            <w:noWrap/>
            <w:vAlign w:val="bottom"/>
            <w:hideMark/>
          </w:tcPr>
          <w:p w14:paraId="138DF44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4 000</w:t>
            </w:r>
          </w:p>
        </w:tc>
        <w:tc>
          <w:tcPr>
            <w:tcW w:w="1420" w:type="dxa"/>
            <w:tcBorders>
              <w:top w:val="nil"/>
              <w:left w:val="nil"/>
              <w:bottom w:val="single" w:sz="4" w:space="0" w:color="000000"/>
              <w:right w:val="single" w:sz="4" w:space="0" w:color="000000"/>
            </w:tcBorders>
            <w:shd w:val="clear" w:color="auto" w:fill="auto"/>
            <w:noWrap/>
            <w:vAlign w:val="bottom"/>
            <w:hideMark/>
          </w:tcPr>
          <w:p w14:paraId="47DFE77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73BF53C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4 000</w:t>
            </w:r>
          </w:p>
        </w:tc>
      </w:tr>
      <w:tr w:rsidR="00D215BD" w:rsidRPr="001314CA" w14:paraId="635C656A"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6B71D19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Zimbabwe</w:t>
            </w:r>
          </w:p>
        </w:tc>
        <w:tc>
          <w:tcPr>
            <w:tcW w:w="2600" w:type="dxa"/>
            <w:tcBorders>
              <w:top w:val="nil"/>
              <w:left w:val="nil"/>
              <w:bottom w:val="single" w:sz="4" w:space="0" w:color="000000"/>
              <w:right w:val="single" w:sz="4" w:space="0" w:color="000000"/>
            </w:tcBorders>
            <w:shd w:val="clear" w:color="auto" w:fill="auto"/>
            <w:noWrap/>
            <w:vAlign w:val="bottom"/>
            <w:hideMark/>
          </w:tcPr>
          <w:p w14:paraId="08816FC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POTRAZ</w:t>
            </w:r>
          </w:p>
        </w:tc>
        <w:tc>
          <w:tcPr>
            <w:tcW w:w="1920" w:type="dxa"/>
            <w:tcBorders>
              <w:top w:val="nil"/>
              <w:left w:val="nil"/>
              <w:bottom w:val="single" w:sz="4" w:space="0" w:color="000000"/>
              <w:right w:val="single" w:sz="4" w:space="0" w:color="000000"/>
            </w:tcBorders>
            <w:shd w:val="clear" w:color="auto" w:fill="auto"/>
            <w:noWrap/>
            <w:vAlign w:val="bottom"/>
            <w:hideMark/>
          </w:tcPr>
          <w:p w14:paraId="68A9356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350 194</w:t>
            </w:r>
          </w:p>
        </w:tc>
        <w:tc>
          <w:tcPr>
            <w:tcW w:w="1420" w:type="dxa"/>
            <w:tcBorders>
              <w:top w:val="nil"/>
              <w:left w:val="nil"/>
              <w:bottom w:val="single" w:sz="4" w:space="0" w:color="000000"/>
              <w:right w:val="single" w:sz="4" w:space="0" w:color="000000"/>
            </w:tcBorders>
            <w:shd w:val="clear" w:color="auto" w:fill="auto"/>
            <w:noWrap/>
            <w:vAlign w:val="bottom"/>
            <w:hideMark/>
          </w:tcPr>
          <w:p w14:paraId="3E73692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EUR</w:t>
            </w:r>
          </w:p>
        </w:tc>
        <w:tc>
          <w:tcPr>
            <w:tcW w:w="2120" w:type="dxa"/>
            <w:tcBorders>
              <w:top w:val="nil"/>
              <w:left w:val="nil"/>
              <w:bottom w:val="single" w:sz="4" w:space="0" w:color="000000"/>
              <w:right w:val="single" w:sz="4" w:space="0" w:color="000000"/>
            </w:tcBorders>
            <w:shd w:val="clear" w:color="auto" w:fill="auto"/>
            <w:noWrap/>
            <w:vAlign w:val="bottom"/>
            <w:hideMark/>
          </w:tcPr>
          <w:p w14:paraId="6C9676E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350 194</w:t>
            </w:r>
          </w:p>
        </w:tc>
      </w:tr>
      <w:tr w:rsidR="00D215BD" w:rsidRPr="001314CA" w14:paraId="073FE87A"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6AAB8A1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Suisse</w:t>
            </w:r>
          </w:p>
        </w:tc>
        <w:tc>
          <w:tcPr>
            <w:tcW w:w="2600" w:type="dxa"/>
            <w:tcBorders>
              <w:top w:val="nil"/>
              <w:left w:val="nil"/>
              <w:bottom w:val="single" w:sz="4" w:space="0" w:color="000000"/>
              <w:right w:val="single" w:sz="4" w:space="0" w:color="000000"/>
            </w:tcBorders>
            <w:shd w:val="clear" w:color="auto" w:fill="auto"/>
            <w:noWrap/>
            <w:vAlign w:val="bottom"/>
            <w:hideMark/>
          </w:tcPr>
          <w:p w14:paraId="51DE8F5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OMS</w:t>
            </w:r>
          </w:p>
        </w:tc>
        <w:tc>
          <w:tcPr>
            <w:tcW w:w="1920" w:type="dxa"/>
            <w:tcBorders>
              <w:top w:val="nil"/>
              <w:left w:val="nil"/>
              <w:bottom w:val="single" w:sz="4" w:space="0" w:color="000000"/>
              <w:right w:val="single" w:sz="4" w:space="0" w:color="000000"/>
            </w:tcBorders>
            <w:shd w:val="clear" w:color="auto" w:fill="auto"/>
            <w:noWrap/>
            <w:vAlign w:val="bottom"/>
            <w:hideMark/>
          </w:tcPr>
          <w:p w14:paraId="622DF2C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250 000</w:t>
            </w:r>
          </w:p>
        </w:tc>
        <w:tc>
          <w:tcPr>
            <w:tcW w:w="1420" w:type="dxa"/>
            <w:tcBorders>
              <w:top w:val="nil"/>
              <w:left w:val="nil"/>
              <w:bottom w:val="single" w:sz="4" w:space="0" w:color="000000"/>
              <w:right w:val="single" w:sz="4" w:space="0" w:color="000000"/>
            </w:tcBorders>
            <w:shd w:val="clear" w:color="auto" w:fill="auto"/>
            <w:noWrap/>
            <w:vAlign w:val="bottom"/>
            <w:hideMark/>
          </w:tcPr>
          <w:p w14:paraId="17C7343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502A710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250 000</w:t>
            </w:r>
          </w:p>
        </w:tc>
      </w:tr>
      <w:tr w:rsidR="00D215BD" w:rsidRPr="001314CA" w14:paraId="36CB65CA"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39C6414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États-Unis d'Amérique</w:t>
            </w:r>
          </w:p>
        </w:tc>
        <w:tc>
          <w:tcPr>
            <w:tcW w:w="2600" w:type="dxa"/>
            <w:tcBorders>
              <w:top w:val="nil"/>
              <w:left w:val="nil"/>
              <w:bottom w:val="single" w:sz="4" w:space="0" w:color="000000"/>
              <w:right w:val="single" w:sz="4" w:space="0" w:color="000000"/>
            </w:tcBorders>
            <w:shd w:val="clear" w:color="auto" w:fill="auto"/>
            <w:noWrap/>
            <w:vAlign w:val="bottom"/>
            <w:hideMark/>
          </w:tcPr>
          <w:p w14:paraId="05C1FF2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ITSO</w:t>
            </w:r>
          </w:p>
        </w:tc>
        <w:tc>
          <w:tcPr>
            <w:tcW w:w="1920" w:type="dxa"/>
            <w:tcBorders>
              <w:top w:val="nil"/>
              <w:left w:val="nil"/>
              <w:bottom w:val="single" w:sz="4" w:space="0" w:color="000000"/>
              <w:right w:val="single" w:sz="4" w:space="0" w:color="000000"/>
            </w:tcBorders>
            <w:shd w:val="clear" w:color="auto" w:fill="auto"/>
            <w:noWrap/>
            <w:vAlign w:val="bottom"/>
            <w:hideMark/>
          </w:tcPr>
          <w:p w14:paraId="7E6753C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30 000</w:t>
            </w:r>
          </w:p>
        </w:tc>
        <w:tc>
          <w:tcPr>
            <w:tcW w:w="1420" w:type="dxa"/>
            <w:tcBorders>
              <w:top w:val="nil"/>
              <w:left w:val="nil"/>
              <w:bottom w:val="single" w:sz="4" w:space="0" w:color="000000"/>
              <w:right w:val="single" w:sz="4" w:space="0" w:color="000000"/>
            </w:tcBorders>
            <w:shd w:val="clear" w:color="auto" w:fill="auto"/>
            <w:noWrap/>
            <w:vAlign w:val="bottom"/>
            <w:hideMark/>
          </w:tcPr>
          <w:p w14:paraId="5D0547B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2E9C21D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30 000</w:t>
            </w:r>
          </w:p>
        </w:tc>
      </w:tr>
      <w:tr w:rsidR="00D215BD" w:rsidRPr="001314CA" w14:paraId="587810E5"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340CB5B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Suisse</w:t>
            </w:r>
          </w:p>
        </w:tc>
        <w:tc>
          <w:tcPr>
            <w:tcW w:w="2600" w:type="dxa"/>
            <w:tcBorders>
              <w:top w:val="nil"/>
              <w:left w:val="nil"/>
              <w:bottom w:val="single" w:sz="4" w:space="0" w:color="000000"/>
              <w:right w:val="single" w:sz="4" w:space="0" w:color="000000"/>
            </w:tcBorders>
            <w:shd w:val="clear" w:color="auto" w:fill="auto"/>
            <w:noWrap/>
            <w:vAlign w:val="bottom"/>
            <w:hideMark/>
          </w:tcPr>
          <w:p w14:paraId="66A35A2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ICANN</w:t>
            </w:r>
          </w:p>
        </w:tc>
        <w:tc>
          <w:tcPr>
            <w:tcW w:w="1920" w:type="dxa"/>
            <w:tcBorders>
              <w:top w:val="nil"/>
              <w:left w:val="nil"/>
              <w:bottom w:val="single" w:sz="4" w:space="0" w:color="000000"/>
              <w:right w:val="single" w:sz="4" w:space="0" w:color="000000"/>
            </w:tcBorders>
            <w:shd w:val="clear" w:color="auto" w:fill="auto"/>
            <w:noWrap/>
            <w:vAlign w:val="bottom"/>
            <w:hideMark/>
          </w:tcPr>
          <w:p w14:paraId="23C6B15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15 000</w:t>
            </w:r>
          </w:p>
        </w:tc>
        <w:tc>
          <w:tcPr>
            <w:tcW w:w="1420" w:type="dxa"/>
            <w:tcBorders>
              <w:top w:val="nil"/>
              <w:left w:val="nil"/>
              <w:bottom w:val="single" w:sz="4" w:space="0" w:color="000000"/>
              <w:right w:val="single" w:sz="4" w:space="0" w:color="000000"/>
            </w:tcBorders>
            <w:shd w:val="clear" w:color="auto" w:fill="auto"/>
            <w:noWrap/>
            <w:vAlign w:val="bottom"/>
            <w:hideMark/>
          </w:tcPr>
          <w:p w14:paraId="188DECF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CHF</w:t>
            </w:r>
          </w:p>
        </w:tc>
        <w:tc>
          <w:tcPr>
            <w:tcW w:w="2120" w:type="dxa"/>
            <w:tcBorders>
              <w:top w:val="nil"/>
              <w:left w:val="nil"/>
              <w:bottom w:val="single" w:sz="4" w:space="0" w:color="000000"/>
              <w:right w:val="single" w:sz="4" w:space="0" w:color="000000"/>
            </w:tcBorders>
            <w:shd w:val="clear" w:color="auto" w:fill="auto"/>
            <w:noWrap/>
            <w:vAlign w:val="bottom"/>
            <w:hideMark/>
          </w:tcPr>
          <w:p w14:paraId="17C76B9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15 000</w:t>
            </w:r>
          </w:p>
        </w:tc>
      </w:tr>
      <w:tr w:rsidR="00D215BD" w:rsidRPr="001314CA" w14:paraId="3F04A45A"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112CF72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Arabie saoudite</w:t>
            </w:r>
          </w:p>
        </w:tc>
        <w:tc>
          <w:tcPr>
            <w:tcW w:w="2600" w:type="dxa"/>
            <w:tcBorders>
              <w:top w:val="nil"/>
              <w:left w:val="nil"/>
              <w:bottom w:val="single" w:sz="4" w:space="0" w:color="000000"/>
              <w:right w:val="single" w:sz="4" w:space="0" w:color="000000"/>
            </w:tcBorders>
            <w:shd w:val="clear" w:color="auto" w:fill="auto"/>
            <w:noWrap/>
            <w:vAlign w:val="bottom"/>
            <w:hideMark/>
          </w:tcPr>
          <w:p w14:paraId="0511BA4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NCA</w:t>
            </w:r>
          </w:p>
        </w:tc>
        <w:tc>
          <w:tcPr>
            <w:tcW w:w="1920" w:type="dxa"/>
            <w:tcBorders>
              <w:top w:val="nil"/>
              <w:left w:val="nil"/>
              <w:bottom w:val="single" w:sz="4" w:space="0" w:color="000000"/>
              <w:right w:val="single" w:sz="4" w:space="0" w:color="000000"/>
            </w:tcBorders>
            <w:shd w:val="clear" w:color="auto" w:fill="auto"/>
            <w:noWrap/>
            <w:vAlign w:val="bottom"/>
            <w:hideMark/>
          </w:tcPr>
          <w:p w14:paraId="14250BD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854 116</w:t>
            </w:r>
          </w:p>
        </w:tc>
        <w:tc>
          <w:tcPr>
            <w:tcW w:w="1420" w:type="dxa"/>
            <w:tcBorders>
              <w:top w:val="nil"/>
              <w:left w:val="nil"/>
              <w:bottom w:val="single" w:sz="4" w:space="0" w:color="000000"/>
              <w:right w:val="single" w:sz="4" w:space="0" w:color="000000"/>
            </w:tcBorders>
            <w:shd w:val="clear" w:color="auto" w:fill="auto"/>
            <w:noWrap/>
            <w:vAlign w:val="bottom"/>
            <w:hideMark/>
          </w:tcPr>
          <w:p w14:paraId="6C441836"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0B61B90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52 716</w:t>
            </w:r>
          </w:p>
        </w:tc>
      </w:tr>
      <w:tr w:rsidR="00D215BD" w:rsidRPr="001314CA" w14:paraId="5B924F08"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3021E3D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Hongrie</w:t>
            </w:r>
          </w:p>
        </w:tc>
        <w:tc>
          <w:tcPr>
            <w:tcW w:w="2600" w:type="dxa"/>
            <w:tcBorders>
              <w:top w:val="nil"/>
              <w:left w:val="nil"/>
              <w:bottom w:val="single" w:sz="4" w:space="0" w:color="000000"/>
              <w:right w:val="single" w:sz="4" w:space="0" w:color="000000"/>
            </w:tcBorders>
            <w:shd w:val="clear" w:color="auto" w:fill="auto"/>
            <w:noWrap/>
            <w:vAlign w:val="bottom"/>
            <w:hideMark/>
          </w:tcPr>
          <w:p w14:paraId="1F2F86F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Fondation pour le large bande</w:t>
            </w:r>
          </w:p>
        </w:tc>
        <w:tc>
          <w:tcPr>
            <w:tcW w:w="1920" w:type="dxa"/>
            <w:tcBorders>
              <w:top w:val="nil"/>
              <w:left w:val="nil"/>
              <w:bottom w:val="single" w:sz="4" w:space="0" w:color="000000"/>
              <w:right w:val="single" w:sz="4" w:space="0" w:color="000000"/>
            </w:tcBorders>
            <w:shd w:val="clear" w:color="auto" w:fill="auto"/>
            <w:noWrap/>
            <w:vAlign w:val="bottom"/>
            <w:hideMark/>
          </w:tcPr>
          <w:p w14:paraId="7D59072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129 968 000</w:t>
            </w:r>
          </w:p>
        </w:tc>
        <w:tc>
          <w:tcPr>
            <w:tcW w:w="1420" w:type="dxa"/>
            <w:tcBorders>
              <w:top w:val="nil"/>
              <w:left w:val="nil"/>
              <w:bottom w:val="single" w:sz="4" w:space="0" w:color="000000"/>
              <w:right w:val="single" w:sz="4" w:space="0" w:color="000000"/>
            </w:tcBorders>
            <w:shd w:val="clear" w:color="auto" w:fill="auto"/>
            <w:noWrap/>
            <w:vAlign w:val="bottom"/>
            <w:hideMark/>
          </w:tcPr>
          <w:p w14:paraId="5B74F63A"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HUF</w:t>
            </w:r>
          </w:p>
        </w:tc>
        <w:tc>
          <w:tcPr>
            <w:tcW w:w="2120" w:type="dxa"/>
            <w:tcBorders>
              <w:top w:val="nil"/>
              <w:left w:val="nil"/>
              <w:bottom w:val="single" w:sz="4" w:space="0" w:color="000000"/>
              <w:right w:val="single" w:sz="4" w:space="0" w:color="000000"/>
            </w:tcBorders>
            <w:shd w:val="clear" w:color="auto" w:fill="auto"/>
            <w:noWrap/>
            <w:vAlign w:val="bottom"/>
            <w:hideMark/>
          </w:tcPr>
          <w:p w14:paraId="311707C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117 548 000</w:t>
            </w:r>
          </w:p>
        </w:tc>
      </w:tr>
      <w:tr w:rsidR="00D215BD" w:rsidRPr="001314CA" w14:paraId="056B8A3A"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16EEDBC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Bahamas</w:t>
            </w:r>
          </w:p>
        </w:tc>
        <w:tc>
          <w:tcPr>
            <w:tcW w:w="2600" w:type="dxa"/>
            <w:tcBorders>
              <w:top w:val="nil"/>
              <w:left w:val="nil"/>
              <w:bottom w:val="single" w:sz="4" w:space="0" w:color="000000"/>
              <w:right w:val="single" w:sz="4" w:space="0" w:color="000000"/>
            </w:tcBorders>
            <w:shd w:val="clear" w:color="auto" w:fill="auto"/>
            <w:noWrap/>
            <w:vAlign w:val="bottom"/>
            <w:hideMark/>
          </w:tcPr>
          <w:p w14:paraId="6471E3B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Secrétariat permanent</w:t>
            </w:r>
          </w:p>
        </w:tc>
        <w:tc>
          <w:tcPr>
            <w:tcW w:w="1920" w:type="dxa"/>
            <w:tcBorders>
              <w:top w:val="nil"/>
              <w:left w:val="nil"/>
              <w:bottom w:val="single" w:sz="4" w:space="0" w:color="000000"/>
              <w:right w:val="single" w:sz="4" w:space="0" w:color="000000"/>
            </w:tcBorders>
            <w:shd w:val="clear" w:color="auto" w:fill="auto"/>
            <w:noWrap/>
            <w:vAlign w:val="bottom"/>
            <w:hideMark/>
          </w:tcPr>
          <w:p w14:paraId="0038CFF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365 500</w:t>
            </w:r>
          </w:p>
        </w:tc>
        <w:tc>
          <w:tcPr>
            <w:tcW w:w="1420" w:type="dxa"/>
            <w:tcBorders>
              <w:top w:val="nil"/>
              <w:left w:val="nil"/>
              <w:bottom w:val="single" w:sz="4" w:space="0" w:color="000000"/>
              <w:right w:val="single" w:sz="4" w:space="0" w:color="000000"/>
            </w:tcBorders>
            <w:shd w:val="clear" w:color="auto" w:fill="auto"/>
            <w:noWrap/>
            <w:vAlign w:val="bottom"/>
            <w:hideMark/>
          </w:tcPr>
          <w:p w14:paraId="1E8E5E2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56BF56A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500</w:t>
            </w:r>
          </w:p>
        </w:tc>
      </w:tr>
      <w:tr w:rsidR="00D215BD" w:rsidRPr="001314CA" w14:paraId="044C3146"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09A292D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Suisse</w:t>
            </w:r>
          </w:p>
        </w:tc>
        <w:tc>
          <w:tcPr>
            <w:tcW w:w="2600" w:type="dxa"/>
            <w:tcBorders>
              <w:top w:val="nil"/>
              <w:left w:val="nil"/>
              <w:bottom w:val="single" w:sz="4" w:space="0" w:color="000000"/>
              <w:right w:val="single" w:sz="4" w:space="0" w:color="000000"/>
            </w:tcBorders>
            <w:shd w:val="clear" w:color="auto" w:fill="auto"/>
            <w:noWrap/>
            <w:vAlign w:val="bottom"/>
            <w:hideMark/>
          </w:tcPr>
          <w:p w14:paraId="3CE7E553"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OIT</w:t>
            </w:r>
          </w:p>
        </w:tc>
        <w:tc>
          <w:tcPr>
            <w:tcW w:w="1920" w:type="dxa"/>
            <w:tcBorders>
              <w:top w:val="nil"/>
              <w:left w:val="nil"/>
              <w:bottom w:val="single" w:sz="4" w:space="0" w:color="000000"/>
              <w:right w:val="single" w:sz="4" w:space="0" w:color="000000"/>
            </w:tcBorders>
            <w:shd w:val="clear" w:color="auto" w:fill="auto"/>
            <w:noWrap/>
            <w:vAlign w:val="bottom"/>
            <w:hideMark/>
          </w:tcPr>
          <w:p w14:paraId="275562DE"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25 000</w:t>
            </w:r>
          </w:p>
        </w:tc>
        <w:tc>
          <w:tcPr>
            <w:tcW w:w="1420" w:type="dxa"/>
            <w:tcBorders>
              <w:top w:val="nil"/>
              <w:left w:val="nil"/>
              <w:bottom w:val="single" w:sz="4" w:space="0" w:color="000000"/>
              <w:right w:val="single" w:sz="4" w:space="0" w:color="000000"/>
            </w:tcBorders>
            <w:shd w:val="clear" w:color="auto" w:fill="auto"/>
            <w:noWrap/>
            <w:vAlign w:val="bottom"/>
            <w:hideMark/>
          </w:tcPr>
          <w:p w14:paraId="11BE9D9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58B0738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25 000</w:t>
            </w:r>
          </w:p>
        </w:tc>
      </w:tr>
      <w:tr w:rsidR="00D215BD" w:rsidRPr="001314CA" w14:paraId="1EDAC15C"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7A0B053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Bénin</w:t>
            </w:r>
          </w:p>
        </w:tc>
        <w:tc>
          <w:tcPr>
            <w:tcW w:w="2600" w:type="dxa"/>
            <w:tcBorders>
              <w:top w:val="nil"/>
              <w:left w:val="nil"/>
              <w:bottom w:val="single" w:sz="4" w:space="0" w:color="000000"/>
              <w:right w:val="single" w:sz="4" w:space="0" w:color="000000"/>
            </w:tcBorders>
            <w:shd w:val="clear" w:color="auto" w:fill="auto"/>
            <w:noWrap/>
            <w:vAlign w:val="bottom"/>
            <w:hideMark/>
          </w:tcPr>
          <w:p w14:paraId="13D5324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UNPFA</w:t>
            </w:r>
          </w:p>
        </w:tc>
        <w:tc>
          <w:tcPr>
            <w:tcW w:w="1920" w:type="dxa"/>
            <w:tcBorders>
              <w:top w:val="nil"/>
              <w:left w:val="nil"/>
              <w:bottom w:val="single" w:sz="4" w:space="0" w:color="000000"/>
              <w:right w:val="single" w:sz="4" w:space="0" w:color="000000"/>
            </w:tcBorders>
            <w:shd w:val="clear" w:color="auto" w:fill="auto"/>
            <w:noWrap/>
            <w:vAlign w:val="bottom"/>
            <w:hideMark/>
          </w:tcPr>
          <w:p w14:paraId="74F6B950"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75 000</w:t>
            </w:r>
          </w:p>
        </w:tc>
        <w:tc>
          <w:tcPr>
            <w:tcW w:w="1420" w:type="dxa"/>
            <w:tcBorders>
              <w:top w:val="nil"/>
              <w:left w:val="nil"/>
              <w:bottom w:val="single" w:sz="4" w:space="0" w:color="000000"/>
              <w:right w:val="single" w:sz="4" w:space="0" w:color="000000"/>
            </w:tcBorders>
            <w:shd w:val="clear" w:color="auto" w:fill="auto"/>
            <w:noWrap/>
            <w:vAlign w:val="bottom"/>
            <w:hideMark/>
          </w:tcPr>
          <w:p w14:paraId="3830250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2A08636B"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75 000</w:t>
            </w:r>
          </w:p>
        </w:tc>
      </w:tr>
      <w:tr w:rsidR="00D215BD" w:rsidRPr="001314CA" w14:paraId="624C38D2"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4938B6D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Arabie saoudite</w:t>
            </w:r>
          </w:p>
        </w:tc>
        <w:tc>
          <w:tcPr>
            <w:tcW w:w="2600" w:type="dxa"/>
            <w:tcBorders>
              <w:top w:val="nil"/>
              <w:left w:val="nil"/>
              <w:bottom w:val="single" w:sz="4" w:space="0" w:color="000000"/>
              <w:right w:val="single" w:sz="4" w:space="0" w:color="000000"/>
            </w:tcBorders>
            <w:shd w:val="clear" w:color="auto" w:fill="auto"/>
            <w:noWrap/>
            <w:vAlign w:val="bottom"/>
            <w:hideMark/>
          </w:tcPr>
          <w:p w14:paraId="1FCA6C4F"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BADIR</w:t>
            </w:r>
          </w:p>
        </w:tc>
        <w:tc>
          <w:tcPr>
            <w:tcW w:w="1920" w:type="dxa"/>
            <w:tcBorders>
              <w:top w:val="nil"/>
              <w:left w:val="nil"/>
              <w:bottom w:val="single" w:sz="4" w:space="0" w:color="000000"/>
              <w:right w:val="single" w:sz="4" w:space="0" w:color="000000"/>
            </w:tcBorders>
            <w:shd w:val="clear" w:color="auto" w:fill="auto"/>
            <w:noWrap/>
            <w:vAlign w:val="bottom"/>
            <w:hideMark/>
          </w:tcPr>
          <w:p w14:paraId="33A9DA4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358 450</w:t>
            </w:r>
          </w:p>
        </w:tc>
        <w:tc>
          <w:tcPr>
            <w:tcW w:w="1420" w:type="dxa"/>
            <w:tcBorders>
              <w:top w:val="nil"/>
              <w:left w:val="nil"/>
              <w:bottom w:val="single" w:sz="4" w:space="0" w:color="000000"/>
              <w:right w:val="single" w:sz="4" w:space="0" w:color="000000"/>
            </w:tcBorders>
            <w:shd w:val="clear" w:color="auto" w:fill="auto"/>
            <w:noWrap/>
            <w:vAlign w:val="bottom"/>
            <w:hideMark/>
          </w:tcPr>
          <w:p w14:paraId="1626DB5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6BBA39E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358 450</w:t>
            </w:r>
          </w:p>
        </w:tc>
      </w:tr>
      <w:tr w:rsidR="00D215BD" w:rsidRPr="001314CA" w14:paraId="6A77E00E"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212CAB54"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États-Unis d'Amérique</w:t>
            </w:r>
          </w:p>
        </w:tc>
        <w:tc>
          <w:tcPr>
            <w:tcW w:w="2600" w:type="dxa"/>
            <w:tcBorders>
              <w:top w:val="nil"/>
              <w:left w:val="nil"/>
              <w:bottom w:val="single" w:sz="4" w:space="0" w:color="000000"/>
              <w:right w:val="single" w:sz="4" w:space="0" w:color="000000"/>
            </w:tcBorders>
            <w:shd w:val="clear" w:color="auto" w:fill="auto"/>
            <w:noWrap/>
            <w:vAlign w:val="bottom"/>
            <w:hideMark/>
          </w:tcPr>
          <w:p w14:paraId="49B58397"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Pink Lion</w:t>
            </w:r>
          </w:p>
        </w:tc>
        <w:tc>
          <w:tcPr>
            <w:tcW w:w="1920" w:type="dxa"/>
            <w:tcBorders>
              <w:top w:val="nil"/>
              <w:left w:val="nil"/>
              <w:bottom w:val="single" w:sz="4" w:space="0" w:color="000000"/>
              <w:right w:val="single" w:sz="4" w:space="0" w:color="000000"/>
            </w:tcBorders>
            <w:shd w:val="clear" w:color="auto" w:fill="auto"/>
            <w:noWrap/>
            <w:vAlign w:val="bottom"/>
            <w:hideMark/>
          </w:tcPr>
          <w:p w14:paraId="53861C09"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5 000</w:t>
            </w:r>
          </w:p>
        </w:tc>
        <w:tc>
          <w:tcPr>
            <w:tcW w:w="1420" w:type="dxa"/>
            <w:tcBorders>
              <w:top w:val="nil"/>
              <w:left w:val="nil"/>
              <w:bottom w:val="single" w:sz="4" w:space="0" w:color="000000"/>
              <w:right w:val="single" w:sz="4" w:space="0" w:color="000000"/>
            </w:tcBorders>
            <w:shd w:val="clear" w:color="auto" w:fill="auto"/>
            <w:noWrap/>
            <w:vAlign w:val="bottom"/>
            <w:hideMark/>
          </w:tcPr>
          <w:p w14:paraId="5AEE597D"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CHF</w:t>
            </w:r>
          </w:p>
        </w:tc>
        <w:tc>
          <w:tcPr>
            <w:tcW w:w="2120" w:type="dxa"/>
            <w:tcBorders>
              <w:top w:val="nil"/>
              <w:left w:val="nil"/>
              <w:bottom w:val="single" w:sz="4" w:space="0" w:color="000000"/>
              <w:right w:val="single" w:sz="4" w:space="0" w:color="000000"/>
            </w:tcBorders>
            <w:shd w:val="clear" w:color="auto" w:fill="auto"/>
            <w:noWrap/>
            <w:vAlign w:val="bottom"/>
            <w:hideMark/>
          </w:tcPr>
          <w:p w14:paraId="04EBF08C"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5 000</w:t>
            </w:r>
          </w:p>
        </w:tc>
      </w:tr>
      <w:tr w:rsidR="00D215BD" w:rsidRPr="001314CA" w14:paraId="0FB8E233" w14:textId="77777777" w:rsidTr="00D215BD">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13DB77F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Suisse</w:t>
            </w:r>
          </w:p>
        </w:tc>
        <w:tc>
          <w:tcPr>
            <w:tcW w:w="2600" w:type="dxa"/>
            <w:tcBorders>
              <w:top w:val="nil"/>
              <w:left w:val="nil"/>
              <w:bottom w:val="single" w:sz="4" w:space="0" w:color="000000"/>
              <w:right w:val="single" w:sz="4" w:space="0" w:color="000000"/>
            </w:tcBorders>
            <w:shd w:val="clear" w:color="auto" w:fill="auto"/>
            <w:noWrap/>
            <w:vAlign w:val="bottom"/>
            <w:hideMark/>
          </w:tcPr>
          <w:p w14:paraId="65951FE1"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314CA">
              <w:rPr>
                <w:rFonts w:cs="Calibri"/>
                <w:color w:val="000000"/>
                <w:sz w:val="22"/>
                <w:szCs w:val="22"/>
                <w:lang w:eastAsia="en-GB"/>
              </w:rPr>
              <w:t>Immersion4</w:t>
            </w:r>
          </w:p>
        </w:tc>
        <w:tc>
          <w:tcPr>
            <w:tcW w:w="1920" w:type="dxa"/>
            <w:tcBorders>
              <w:top w:val="nil"/>
              <w:left w:val="nil"/>
              <w:bottom w:val="single" w:sz="4" w:space="0" w:color="000000"/>
              <w:right w:val="single" w:sz="4" w:space="0" w:color="000000"/>
            </w:tcBorders>
            <w:shd w:val="clear" w:color="auto" w:fill="auto"/>
            <w:noWrap/>
            <w:vAlign w:val="bottom"/>
            <w:hideMark/>
          </w:tcPr>
          <w:p w14:paraId="24F4F7F2"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50 000</w:t>
            </w:r>
          </w:p>
        </w:tc>
        <w:tc>
          <w:tcPr>
            <w:tcW w:w="1420" w:type="dxa"/>
            <w:tcBorders>
              <w:top w:val="nil"/>
              <w:left w:val="nil"/>
              <w:bottom w:val="single" w:sz="4" w:space="0" w:color="000000"/>
              <w:right w:val="single" w:sz="4" w:space="0" w:color="000000"/>
            </w:tcBorders>
            <w:shd w:val="clear" w:color="auto" w:fill="auto"/>
            <w:noWrap/>
            <w:vAlign w:val="bottom"/>
            <w:hideMark/>
          </w:tcPr>
          <w:p w14:paraId="64D8C665"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1314CA">
              <w:rPr>
                <w:rFonts w:cs="Calibri"/>
                <w:color w:val="000000"/>
                <w:sz w:val="22"/>
                <w:szCs w:val="22"/>
                <w:lang w:eastAsia="en-GB"/>
              </w:rPr>
              <w:t>CHF</w:t>
            </w:r>
          </w:p>
        </w:tc>
        <w:tc>
          <w:tcPr>
            <w:tcW w:w="2120" w:type="dxa"/>
            <w:tcBorders>
              <w:top w:val="nil"/>
              <w:left w:val="nil"/>
              <w:bottom w:val="single" w:sz="4" w:space="0" w:color="000000"/>
              <w:right w:val="single" w:sz="4" w:space="0" w:color="000000"/>
            </w:tcBorders>
            <w:shd w:val="clear" w:color="auto" w:fill="auto"/>
            <w:noWrap/>
            <w:vAlign w:val="bottom"/>
            <w:hideMark/>
          </w:tcPr>
          <w:p w14:paraId="6B3FF578" w14:textId="77777777" w:rsidR="00D215BD" w:rsidRPr="001314CA" w:rsidRDefault="00D215BD" w:rsidP="00D215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314CA">
              <w:rPr>
                <w:rFonts w:cs="Calibri"/>
                <w:color w:val="000000"/>
                <w:sz w:val="22"/>
                <w:szCs w:val="22"/>
                <w:lang w:eastAsia="en-GB"/>
              </w:rPr>
              <w:t>50 000</w:t>
            </w:r>
          </w:p>
        </w:tc>
      </w:tr>
    </w:tbl>
    <w:p w14:paraId="6020EBD4" w14:textId="162044BC" w:rsidR="00897553" w:rsidRPr="004C1BC2" w:rsidRDefault="00D215BD" w:rsidP="00D215BD">
      <w:pPr>
        <w:spacing w:before="360"/>
        <w:jc w:val="center"/>
      </w:pPr>
      <w:r w:rsidRPr="001314CA">
        <w:t>______________</w:t>
      </w:r>
      <w:bookmarkEnd w:id="3074"/>
    </w:p>
    <w:sectPr w:rsidR="00897553" w:rsidRPr="004C1BC2" w:rsidSect="005C3890">
      <w:headerReference w:type="even" r:id="rId89"/>
      <w:headerReference w:type="default" r:id="rId90"/>
      <w:footerReference w:type="even" r:id="rId91"/>
      <w:footerReference w:type="default" r:id="rId92"/>
      <w:footerReference w:type="first" r:id="rId9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B493" w14:textId="77777777" w:rsidR="00ED4076" w:rsidRDefault="00ED4076">
      <w:r>
        <w:separator/>
      </w:r>
    </w:p>
  </w:endnote>
  <w:endnote w:type="continuationSeparator" w:id="0">
    <w:p w14:paraId="163C3EAC" w14:textId="77777777" w:rsidR="00ED4076" w:rsidRDefault="00ED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9C3E" w14:textId="222EBB3E" w:rsidR="00CB48F1" w:rsidRPr="005658D0" w:rsidRDefault="00CB48F1">
    <w:pPr>
      <w:pStyle w:val="Footer"/>
      <w:rPr>
        <w:lang w:val="fr-CH"/>
      </w:rPr>
    </w:pPr>
    <w:r>
      <w:fldChar w:fldCharType="begin"/>
    </w:r>
    <w:r w:rsidRPr="005658D0">
      <w:rPr>
        <w:lang w:val="fr-CH"/>
      </w:rPr>
      <w:instrText xml:space="preserve"> FILENAME \p \* MERGEFORMAT </w:instrText>
    </w:r>
    <w:r>
      <w:fldChar w:fldCharType="separate"/>
    </w:r>
    <w:r w:rsidR="006C195E">
      <w:rPr>
        <w:lang w:val="fr-CH"/>
      </w:rPr>
      <w:t>P:\FRA\SG\CONSEIL\C21\000\042F.docx</w:t>
    </w:r>
    <w:r>
      <w:fldChar w:fldCharType="end"/>
    </w:r>
    <w:r w:rsidRPr="005658D0">
      <w:rPr>
        <w:lang w:val="fr-CH"/>
      </w:rPr>
      <w:tab/>
    </w:r>
    <w:r>
      <w:fldChar w:fldCharType="begin"/>
    </w:r>
    <w:r>
      <w:instrText xml:space="preserve"> savedate \@ dd.MM.yy </w:instrText>
    </w:r>
    <w:r>
      <w:fldChar w:fldCharType="separate"/>
    </w:r>
    <w:r w:rsidR="0065452F">
      <w:t>24.03.22</w:t>
    </w:r>
    <w:r>
      <w:fldChar w:fldCharType="end"/>
    </w:r>
    <w:r w:rsidRPr="005658D0">
      <w:rPr>
        <w:lang w:val="fr-CH"/>
      </w:rPr>
      <w:tab/>
    </w:r>
    <w:r>
      <w:fldChar w:fldCharType="begin"/>
    </w:r>
    <w:r>
      <w:instrText xml:space="preserve"> printdate \@ dd.MM.yy </w:instrText>
    </w:r>
    <w:r>
      <w:fldChar w:fldCharType="separate"/>
    </w:r>
    <w:r w:rsidR="006C195E">
      <w:t>18.07.00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704B" w14:textId="13E1A781" w:rsidR="00CB48F1" w:rsidRPr="004301DA" w:rsidRDefault="0007628D" w:rsidP="00D215BD">
    <w:pPr>
      <w:pStyle w:val="Footer"/>
      <w:rPr>
        <w:color w:val="F2F2F2" w:themeColor="background1" w:themeShade="F2"/>
      </w:rPr>
    </w:pPr>
    <w:r w:rsidRPr="004301DA">
      <w:rPr>
        <w:color w:val="F2F2F2" w:themeColor="background1" w:themeShade="F2"/>
      </w:rPr>
      <w:fldChar w:fldCharType="begin"/>
    </w:r>
    <w:r w:rsidRPr="004301DA">
      <w:rPr>
        <w:color w:val="F2F2F2" w:themeColor="background1" w:themeShade="F2"/>
      </w:rPr>
      <w:instrText xml:space="preserve"> FILENAME \p  \* MERGEFORMAT </w:instrText>
    </w:r>
    <w:r w:rsidRPr="004301DA">
      <w:rPr>
        <w:color w:val="F2F2F2" w:themeColor="background1" w:themeShade="F2"/>
      </w:rPr>
      <w:fldChar w:fldCharType="separate"/>
    </w:r>
    <w:r w:rsidR="006C195E" w:rsidRPr="004301DA">
      <w:rPr>
        <w:color w:val="F2F2F2" w:themeColor="background1" w:themeShade="F2"/>
      </w:rPr>
      <w:t>P:\FRA\SG\CONSEIL\C21\000\042F.docx</w:t>
    </w:r>
    <w:r w:rsidRPr="004301DA">
      <w:rPr>
        <w:color w:val="F2F2F2" w:themeColor="background1" w:themeShade="F2"/>
      </w:rPr>
      <w:fldChar w:fldCharType="end"/>
    </w:r>
    <w:r w:rsidR="00CB48F1" w:rsidRPr="004301DA">
      <w:rPr>
        <w:color w:val="F2F2F2" w:themeColor="background1" w:themeShade="F2"/>
      </w:rPr>
      <w:t xml:space="preserve"> (483238)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834F" w14:textId="0407E66B" w:rsidR="00CB48F1" w:rsidRPr="004301DA" w:rsidRDefault="0007628D" w:rsidP="00CE6693">
    <w:pPr>
      <w:pStyle w:val="Footer"/>
      <w:rPr>
        <w:color w:val="F2F2F2" w:themeColor="background1" w:themeShade="F2"/>
      </w:rPr>
    </w:pPr>
    <w:r w:rsidRPr="004301DA">
      <w:rPr>
        <w:color w:val="F2F2F2" w:themeColor="background1" w:themeShade="F2"/>
      </w:rPr>
      <w:fldChar w:fldCharType="begin"/>
    </w:r>
    <w:r w:rsidRPr="004301DA">
      <w:rPr>
        <w:color w:val="F2F2F2" w:themeColor="background1" w:themeShade="F2"/>
      </w:rPr>
      <w:instrText xml:space="preserve"> FILENAME \p  \* MERGEFORMAT </w:instrText>
    </w:r>
    <w:r w:rsidRPr="004301DA">
      <w:rPr>
        <w:color w:val="F2F2F2" w:themeColor="background1" w:themeShade="F2"/>
      </w:rPr>
      <w:fldChar w:fldCharType="separate"/>
    </w:r>
    <w:r w:rsidR="006C195E" w:rsidRPr="004301DA">
      <w:rPr>
        <w:color w:val="F2F2F2" w:themeColor="background1" w:themeShade="F2"/>
      </w:rPr>
      <w:t>P:\FRA\SG\CONSEIL\C21\000\042F.docx</w:t>
    </w:r>
    <w:r w:rsidRPr="004301DA">
      <w:rPr>
        <w:color w:val="F2F2F2" w:themeColor="background1" w:themeShade="F2"/>
      </w:rPr>
      <w:fldChar w:fldCharType="end"/>
    </w:r>
    <w:r w:rsidR="00CB48F1" w:rsidRPr="004301DA">
      <w:rPr>
        <w:color w:val="F2F2F2" w:themeColor="background1" w:themeShade="F2"/>
      </w:rPr>
      <w:t xml:space="preserve"> (483238)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67CF" w14:textId="3AB89F09" w:rsidR="00CB48F1" w:rsidRDefault="00B774B6">
    <w:pPr>
      <w:pStyle w:val="Footer"/>
    </w:pPr>
    <w:r>
      <w:fldChar w:fldCharType="begin"/>
    </w:r>
    <w:r>
      <w:instrText xml:space="preserve"> FILENAME \p \* MERGEFORMAT </w:instrText>
    </w:r>
    <w:r>
      <w:fldChar w:fldCharType="separate"/>
    </w:r>
    <w:r w:rsidR="006C195E">
      <w:t>P:\FRA\SG\CONSEIL\C21\000\042F.docx</w:t>
    </w:r>
    <w:r>
      <w:fldChar w:fldCharType="end"/>
    </w:r>
    <w:r w:rsidR="00CB48F1">
      <w:tab/>
    </w:r>
    <w:r w:rsidR="00CB48F1">
      <w:fldChar w:fldCharType="begin"/>
    </w:r>
    <w:r w:rsidR="00CB48F1">
      <w:instrText xml:space="preserve"> savedate \@ dd.MM.yy </w:instrText>
    </w:r>
    <w:r w:rsidR="00CB48F1">
      <w:fldChar w:fldCharType="separate"/>
    </w:r>
    <w:r w:rsidR="0065452F">
      <w:t>24.03.22</w:t>
    </w:r>
    <w:r w:rsidR="00CB48F1">
      <w:fldChar w:fldCharType="end"/>
    </w:r>
    <w:r w:rsidR="00CB48F1">
      <w:tab/>
    </w:r>
    <w:r w:rsidR="00CB48F1">
      <w:fldChar w:fldCharType="begin"/>
    </w:r>
    <w:r w:rsidR="00CB48F1">
      <w:instrText xml:space="preserve"> printdate \@ dd.MM.yy </w:instrText>
    </w:r>
    <w:r w:rsidR="00CB48F1">
      <w:fldChar w:fldCharType="separate"/>
    </w:r>
    <w:r w:rsidR="006C195E">
      <w:t>18.07.00</w:t>
    </w:r>
    <w:r w:rsidR="00CB48F1">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8C48" w14:textId="18C4F3C2" w:rsidR="00CB48F1" w:rsidRPr="004301DA" w:rsidRDefault="0007628D">
    <w:pPr>
      <w:pStyle w:val="Footer"/>
      <w:rPr>
        <w:color w:val="F2F2F2" w:themeColor="background1" w:themeShade="F2"/>
      </w:rPr>
    </w:pPr>
    <w:r w:rsidRPr="004301DA">
      <w:rPr>
        <w:color w:val="F2F2F2" w:themeColor="background1" w:themeShade="F2"/>
      </w:rPr>
      <w:fldChar w:fldCharType="begin"/>
    </w:r>
    <w:r w:rsidRPr="004301DA">
      <w:rPr>
        <w:color w:val="F2F2F2" w:themeColor="background1" w:themeShade="F2"/>
      </w:rPr>
      <w:instrText xml:space="preserve"> FILENAME \p \* MERGEFORMAT </w:instrText>
    </w:r>
    <w:r w:rsidRPr="004301DA">
      <w:rPr>
        <w:color w:val="F2F2F2" w:themeColor="background1" w:themeShade="F2"/>
      </w:rPr>
      <w:fldChar w:fldCharType="separate"/>
    </w:r>
    <w:r w:rsidR="006C195E" w:rsidRPr="004301DA">
      <w:rPr>
        <w:color w:val="F2F2F2" w:themeColor="background1" w:themeShade="F2"/>
      </w:rPr>
      <w:t>P:\FRA\SG\CONSEIL\C21\000\042F.docx</w:t>
    </w:r>
    <w:r w:rsidRPr="004301DA">
      <w:rPr>
        <w:color w:val="F2F2F2" w:themeColor="background1" w:themeShade="F2"/>
      </w:rPr>
      <w:fldChar w:fldCharType="end"/>
    </w:r>
    <w:r w:rsidR="00CB48F1" w:rsidRPr="004301DA">
      <w:rPr>
        <w:color w:val="F2F2F2" w:themeColor="background1" w:themeShade="F2"/>
      </w:rPr>
      <w:t xml:space="preserve"> (483238)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9183" w14:textId="57ADAFE2" w:rsidR="00CB48F1" w:rsidRPr="004301DA" w:rsidRDefault="0007628D" w:rsidP="00FA013B">
    <w:pPr>
      <w:pStyle w:val="Footer"/>
      <w:rPr>
        <w:color w:val="F2F2F2" w:themeColor="background1" w:themeShade="F2"/>
      </w:rPr>
    </w:pPr>
    <w:r w:rsidRPr="004301DA">
      <w:rPr>
        <w:color w:val="F2F2F2" w:themeColor="background1" w:themeShade="F2"/>
      </w:rPr>
      <w:fldChar w:fldCharType="begin"/>
    </w:r>
    <w:r w:rsidRPr="004301DA">
      <w:rPr>
        <w:color w:val="F2F2F2" w:themeColor="background1" w:themeShade="F2"/>
      </w:rPr>
      <w:instrText xml:space="preserve"> FILENAME \p  \* MERGEFORMAT </w:instrText>
    </w:r>
    <w:r w:rsidRPr="004301DA">
      <w:rPr>
        <w:color w:val="F2F2F2" w:themeColor="background1" w:themeShade="F2"/>
      </w:rPr>
      <w:fldChar w:fldCharType="separate"/>
    </w:r>
    <w:r w:rsidR="006C195E" w:rsidRPr="004301DA">
      <w:rPr>
        <w:color w:val="F2F2F2" w:themeColor="background1" w:themeShade="F2"/>
      </w:rPr>
      <w:t>P:\FRA\SG\CONSEIL\C21\000\042F.docx</w:t>
    </w:r>
    <w:r w:rsidRPr="004301DA">
      <w:rPr>
        <w:color w:val="F2F2F2" w:themeColor="background1" w:themeShade="F2"/>
      </w:rPr>
      <w:fldChar w:fldCharType="end"/>
    </w:r>
    <w:r w:rsidR="00CB48F1" w:rsidRPr="004301DA">
      <w:rPr>
        <w:color w:val="F2F2F2" w:themeColor="background1" w:themeShade="F2"/>
      </w:rPr>
      <w:t xml:space="preserve"> (483238)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430C" w14:textId="25D9AABC" w:rsidR="00CB48F1" w:rsidRPr="004301DA" w:rsidRDefault="0007628D" w:rsidP="006F75A4">
    <w:pPr>
      <w:pStyle w:val="Footer"/>
      <w:rPr>
        <w:color w:val="F2F2F2" w:themeColor="background1" w:themeShade="F2"/>
      </w:rPr>
    </w:pPr>
    <w:r w:rsidRPr="004301DA">
      <w:rPr>
        <w:color w:val="F2F2F2" w:themeColor="background1" w:themeShade="F2"/>
      </w:rPr>
      <w:fldChar w:fldCharType="begin"/>
    </w:r>
    <w:r w:rsidRPr="004301DA">
      <w:rPr>
        <w:color w:val="F2F2F2" w:themeColor="background1" w:themeShade="F2"/>
      </w:rPr>
      <w:instrText xml:space="preserve"> FILENAME \p  \* MERGEFORMAT </w:instrText>
    </w:r>
    <w:r w:rsidRPr="004301DA">
      <w:rPr>
        <w:color w:val="F2F2F2" w:themeColor="background1" w:themeShade="F2"/>
      </w:rPr>
      <w:fldChar w:fldCharType="separate"/>
    </w:r>
    <w:r w:rsidR="006C195E" w:rsidRPr="004301DA">
      <w:rPr>
        <w:color w:val="F2F2F2" w:themeColor="background1" w:themeShade="F2"/>
      </w:rPr>
      <w:t>P:\FRA\SG\CONSEIL\C21\000\042F.docx</w:t>
    </w:r>
    <w:r w:rsidRPr="004301DA">
      <w:rPr>
        <w:color w:val="F2F2F2" w:themeColor="background1" w:themeShade="F2"/>
      </w:rPr>
      <w:fldChar w:fldCharType="end"/>
    </w:r>
    <w:r w:rsidR="00CB48F1" w:rsidRPr="004301DA">
      <w:rPr>
        <w:color w:val="F2F2F2" w:themeColor="background1" w:themeShade="F2"/>
      </w:rPr>
      <w:t xml:space="preserve"> (483238)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7604" w14:textId="77777777" w:rsidR="00CB48F1" w:rsidRDefault="00CB48F1" w:rsidP="00761B6C">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43FE" w14:textId="4C3DC6D0" w:rsidR="00CB48F1" w:rsidRPr="004301DA" w:rsidRDefault="0007628D" w:rsidP="00FA013B">
    <w:pPr>
      <w:pStyle w:val="Footer"/>
      <w:rPr>
        <w:color w:val="F2F2F2" w:themeColor="background1" w:themeShade="F2"/>
      </w:rPr>
    </w:pPr>
    <w:r w:rsidRPr="004301DA">
      <w:rPr>
        <w:color w:val="F2F2F2" w:themeColor="background1" w:themeShade="F2"/>
      </w:rPr>
      <w:fldChar w:fldCharType="begin"/>
    </w:r>
    <w:r w:rsidRPr="004301DA">
      <w:rPr>
        <w:color w:val="F2F2F2" w:themeColor="background1" w:themeShade="F2"/>
      </w:rPr>
      <w:instrText xml:space="preserve"> FILENAME \p  \* MERGEFORMAT </w:instrText>
    </w:r>
    <w:r w:rsidRPr="004301DA">
      <w:rPr>
        <w:color w:val="F2F2F2" w:themeColor="background1" w:themeShade="F2"/>
      </w:rPr>
      <w:fldChar w:fldCharType="separate"/>
    </w:r>
    <w:r w:rsidR="006C195E" w:rsidRPr="004301DA">
      <w:rPr>
        <w:color w:val="F2F2F2" w:themeColor="background1" w:themeShade="F2"/>
      </w:rPr>
      <w:t>P:\FRA\SG\CONSEIL\C21\000\042F.docx</w:t>
    </w:r>
    <w:r w:rsidRPr="004301DA">
      <w:rPr>
        <w:color w:val="F2F2F2" w:themeColor="background1" w:themeShade="F2"/>
      </w:rPr>
      <w:fldChar w:fldCharType="end"/>
    </w:r>
    <w:r w:rsidR="00CB48F1" w:rsidRPr="004301DA">
      <w:rPr>
        <w:color w:val="F2F2F2" w:themeColor="background1" w:themeShade="F2"/>
      </w:rPr>
      <w:t xml:space="preserve"> (483238)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C525" w14:textId="37B4037E" w:rsidR="00CB48F1" w:rsidRPr="00E55BC6" w:rsidRDefault="00B774B6" w:rsidP="00761B6C">
    <w:pPr>
      <w:pStyle w:val="Footer"/>
    </w:pPr>
    <w:r>
      <w:fldChar w:fldCharType="begin"/>
    </w:r>
    <w:r>
      <w:instrText xml:space="preserve"> FILENAME \p  \* MERGEFORMAT </w:instrText>
    </w:r>
    <w:r>
      <w:fldChar w:fldCharType="separate"/>
    </w:r>
    <w:r w:rsidR="006C195E">
      <w:t>P:\FRA\SG\CONSEIL\C21\000\042F.docx</w:t>
    </w:r>
    <w:r>
      <w:fldChar w:fldCharType="end"/>
    </w:r>
    <w:r w:rsidR="00CB48F1">
      <w:t xml:space="preserve"> (429725)</w:t>
    </w:r>
    <w:r w:rsidR="00CB48F1" w:rsidRPr="00E55BC6">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E5F2" w14:textId="089EFDDE" w:rsidR="00CB48F1" w:rsidRPr="004301DA" w:rsidRDefault="0007628D" w:rsidP="00CE6693">
    <w:pPr>
      <w:pStyle w:val="Footer"/>
      <w:rPr>
        <w:color w:val="F2F2F2" w:themeColor="background1" w:themeShade="F2"/>
      </w:rPr>
    </w:pPr>
    <w:r w:rsidRPr="004301DA">
      <w:rPr>
        <w:color w:val="F2F2F2" w:themeColor="background1" w:themeShade="F2"/>
      </w:rPr>
      <w:fldChar w:fldCharType="begin"/>
    </w:r>
    <w:r w:rsidRPr="004301DA">
      <w:rPr>
        <w:color w:val="F2F2F2" w:themeColor="background1" w:themeShade="F2"/>
      </w:rPr>
      <w:instrText xml:space="preserve"> FILENAME \p  \* MERGEFORMAT </w:instrText>
    </w:r>
    <w:r w:rsidRPr="004301DA">
      <w:rPr>
        <w:color w:val="F2F2F2" w:themeColor="background1" w:themeShade="F2"/>
      </w:rPr>
      <w:fldChar w:fldCharType="separate"/>
    </w:r>
    <w:r w:rsidR="006C195E" w:rsidRPr="004301DA">
      <w:rPr>
        <w:color w:val="F2F2F2" w:themeColor="background1" w:themeShade="F2"/>
      </w:rPr>
      <w:t>P:\FRA\SG\CONSEIL\C21\000\042F.docx</w:t>
    </w:r>
    <w:r w:rsidRPr="004301DA">
      <w:rPr>
        <w:color w:val="F2F2F2" w:themeColor="background1" w:themeShade="F2"/>
      </w:rPr>
      <w:fldChar w:fldCharType="end"/>
    </w:r>
    <w:r w:rsidR="00CB48F1" w:rsidRPr="004301DA">
      <w:rPr>
        <w:color w:val="F2F2F2" w:themeColor="background1" w:themeShade="F2"/>
      </w:rPr>
      <w:t xml:space="preserve"> (483238)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62B8" w14:textId="39573616" w:rsidR="00CB48F1" w:rsidRPr="004301DA" w:rsidRDefault="0007628D">
    <w:pPr>
      <w:pStyle w:val="Footer"/>
      <w:rPr>
        <w:color w:val="F2F2F2" w:themeColor="background1" w:themeShade="F2"/>
      </w:rPr>
    </w:pPr>
    <w:r w:rsidRPr="004301DA">
      <w:rPr>
        <w:color w:val="F2F2F2" w:themeColor="background1" w:themeShade="F2"/>
      </w:rPr>
      <w:fldChar w:fldCharType="begin"/>
    </w:r>
    <w:r w:rsidRPr="004301DA">
      <w:rPr>
        <w:color w:val="F2F2F2" w:themeColor="background1" w:themeShade="F2"/>
      </w:rPr>
      <w:instrText xml:space="preserve"> FILENAME \p  \* MERGEFORMAT </w:instrText>
    </w:r>
    <w:r w:rsidRPr="004301DA">
      <w:rPr>
        <w:color w:val="F2F2F2" w:themeColor="background1" w:themeShade="F2"/>
      </w:rPr>
      <w:fldChar w:fldCharType="separate"/>
    </w:r>
    <w:r w:rsidR="006C195E" w:rsidRPr="004301DA">
      <w:rPr>
        <w:color w:val="F2F2F2" w:themeColor="background1" w:themeShade="F2"/>
      </w:rPr>
      <w:t>P:\FRA\SG\CONSEIL\C21\000\042F.docx</w:t>
    </w:r>
    <w:r w:rsidRPr="004301DA">
      <w:rPr>
        <w:color w:val="F2F2F2" w:themeColor="background1" w:themeShade="F2"/>
      </w:rPr>
      <w:fldChar w:fldCharType="end"/>
    </w:r>
    <w:r w:rsidR="00CB48F1" w:rsidRPr="004301DA">
      <w:rPr>
        <w:color w:val="F2F2F2" w:themeColor="background1" w:themeShade="F2"/>
      </w:rPr>
      <w:t xml:space="preserve"> (483238)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06C5" w14:textId="075B5A01" w:rsidR="00CB48F1" w:rsidRPr="004301DA" w:rsidRDefault="0007628D" w:rsidP="00CE6693">
    <w:pPr>
      <w:pStyle w:val="Footer"/>
      <w:rPr>
        <w:color w:val="F2F2F2" w:themeColor="background1" w:themeShade="F2"/>
      </w:rPr>
    </w:pPr>
    <w:r w:rsidRPr="004301DA">
      <w:rPr>
        <w:color w:val="F2F2F2" w:themeColor="background1" w:themeShade="F2"/>
      </w:rPr>
      <w:fldChar w:fldCharType="begin"/>
    </w:r>
    <w:r w:rsidRPr="004301DA">
      <w:rPr>
        <w:color w:val="F2F2F2" w:themeColor="background1" w:themeShade="F2"/>
      </w:rPr>
      <w:instrText xml:space="preserve"> FILENAME \p  \* MERGEFORMAT </w:instrText>
    </w:r>
    <w:r w:rsidRPr="004301DA">
      <w:rPr>
        <w:color w:val="F2F2F2" w:themeColor="background1" w:themeShade="F2"/>
      </w:rPr>
      <w:fldChar w:fldCharType="separate"/>
    </w:r>
    <w:r w:rsidR="006C195E" w:rsidRPr="004301DA">
      <w:rPr>
        <w:color w:val="F2F2F2" w:themeColor="background1" w:themeShade="F2"/>
      </w:rPr>
      <w:t>P:\FRA\SG\CONSEIL\C21\000\042F.docx</w:t>
    </w:r>
    <w:r w:rsidRPr="004301DA">
      <w:rPr>
        <w:color w:val="F2F2F2" w:themeColor="background1" w:themeShade="F2"/>
      </w:rPr>
      <w:fldChar w:fldCharType="end"/>
    </w:r>
    <w:r w:rsidR="00CB48F1" w:rsidRPr="004301DA">
      <w:rPr>
        <w:color w:val="F2F2F2" w:themeColor="background1" w:themeShade="F2"/>
      </w:rPr>
      <w:t xml:space="preserve"> (483238)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C8CC" w14:textId="34D20D6F" w:rsidR="00CB48F1" w:rsidRPr="004301DA" w:rsidRDefault="0007628D" w:rsidP="00CE6693">
    <w:pPr>
      <w:pStyle w:val="Footer"/>
      <w:rPr>
        <w:color w:val="F2F2F2" w:themeColor="background1" w:themeShade="F2"/>
      </w:rPr>
    </w:pPr>
    <w:r w:rsidRPr="004301DA">
      <w:rPr>
        <w:color w:val="F2F2F2" w:themeColor="background1" w:themeShade="F2"/>
      </w:rPr>
      <w:fldChar w:fldCharType="begin"/>
    </w:r>
    <w:r w:rsidRPr="004301DA">
      <w:rPr>
        <w:color w:val="F2F2F2" w:themeColor="background1" w:themeShade="F2"/>
      </w:rPr>
      <w:instrText xml:space="preserve"> FILENAME \p  \* MERGEFORMAT </w:instrText>
    </w:r>
    <w:r w:rsidRPr="004301DA">
      <w:rPr>
        <w:color w:val="F2F2F2" w:themeColor="background1" w:themeShade="F2"/>
      </w:rPr>
      <w:fldChar w:fldCharType="separate"/>
    </w:r>
    <w:r w:rsidR="006C195E" w:rsidRPr="004301DA">
      <w:rPr>
        <w:color w:val="F2F2F2" w:themeColor="background1" w:themeShade="F2"/>
      </w:rPr>
      <w:t>P:\FRA\SG\CONSEIL\C21\000\042F.docx</w:t>
    </w:r>
    <w:r w:rsidRPr="004301DA">
      <w:rPr>
        <w:color w:val="F2F2F2" w:themeColor="background1" w:themeShade="F2"/>
      </w:rPr>
      <w:fldChar w:fldCharType="end"/>
    </w:r>
    <w:r w:rsidR="00CB48F1" w:rsidRPr="004301DA">
      <w:rPr>
        <w:color w:val="F2F2F2" w:themeColor="background1" w:themeShade="F2"/>
      </w:rPr>
      <w:t xml:space="preserve"> (483238)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FDCF" w14:textId="77777777" w:rsidR="00ED4076" w:rsidRDefault="00ED4076">
      <w:r>
        <w:t>____________________</w:t>
      </w:r>
    </w:p>
  </w:footnote>
  <w:footnote w:type="continuationSeparator" w:id="0">
    <w:p w14:paraId="3FC44D39" w14:textId="77777777" w:rsidR="00ED4076" w:rsidRDefault="00ED4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3364" w14:textId="77777777" w:rsidR="00CB48F1" w:rsidRDefault="00CB48F1">
    <w:pPr>
      <w:pStyle w:val="Header"/>
    </w:pPr>
    <w:r>
      <w:t xml:space="preserve">– </w:t>
    </w:r>
    <w:r>
      <w:fldChar w:fldCharType="begin"/>
    </w:r>
    <w:r>
      <w:instrText>PAGE</w:instrText>
    </w:r>
    <w:r>
      <w:fldChar w:fldCharType="separate"/>
    </w:r>
    <w:r>
      <w:rPr>
        <w:noProof/>
      </w:rPr>
      <w:t>111</w:t>
    </w:r>
    <w:r>
      <w:rPr>
        <w:noProof/>
      </w:rPr>
      <w:fldChar w:fldCharType="end"/>
    </w:r>
    <w:r>
      <w:t xml:space="preserve"> –</w:t>
    </w:r>
  </w:p>
  <w:p w14:paraId="66034197" w14:textId="77777777" w:rsidR="00CB48F1" w:rsidRDefault="00CB48F1">
    <w:pPr>
      <w:pStyle w:val="Header"/>
    </w:pPr>
    <w:r>
      <w:t>C2001/#–F</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B0E1" w14:textId="77777777" w:rsidR="00CB48F1" w:rsidRDefault="00CB48F1">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A6CB368" w14:textId="77777777" w:rsidR="00CB48F1" w:rsidRDefault="00CB48F1">
    <w:pPr>
      <w:pStyle w:val="Header"/>
    </w:pPr>
    <w:r>
      <w:t>C2001/#-F</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9F5E" w14:textId="5DEB144F" w:rsidR="00CB48F1" w:rsidRDefault="00CB48F1" w:rsidP="00475FB3">
    <w:pPr>
      <w:pStyle w:val="Header"/>
    </w:pPr>
    <w:r>
      <w:fldChar w:fldCharType="begin"/>
    </w:r>
    <w:r>
      <w:instrText>PAGE</w:instrText>
    </w:r>
    <w:r>
      <w:fldChar w:fldCharType="separate"/>
    </w:r>
    <w:r w:rsidR="006C195E">
      <w:rPr>
        <w:noProof/>
      </w:rPr>
      <w:t>120</w:t>
    </w:r>
    <w:r>
      <w:rPr>
        <w:noProof/>
      </w:rPr>
      <w:fldChar w:fldCharType="end"/>
    </w:r>
  </w:p>
  <w:p w14:paraId="3DBFBA55" w14:textId="42868F8D" w:rsidR="00CB48F1" w:rsidRDefault="00CB48F1" w:rsidP="00106B19">
    <w:pPr>
      <w:pStyle w:val="Header"/>
    </w:pPr>
    <w:r>
      <w:t>C21/42-F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3ADF" w14:textId="2B7D46B2" w:rsidR="00CB48F1" w:rsidRDefault="00CB48F1" w:rsidP="00761B6C">
    <w:pPr>
      <w:pStyle w:val="Header"/>
    </w:pPr>
    <w:r>
      <w:fldChar w:fldCharType="begin"/>
    </w:r>
    <w:r>
      <w:instrText>PAGE</w:instrText>
    </w:r>
    <w:r>
      <w:fldChar w:fldCharType="separate"/>
    </w:r>
    <w:r w:rsidR="006C195E">
      <w:rPr>
        <w:noProof/>
      </w:rPr>
      <w:t>4</w:t>
    </w:r>
    <w:r>
      <w:rPr>
        <w:noProof/>
      </w:rPr>
      <w:fldChar w:fldCharType="end"/>
    </w:r>
  </w:p>
  <w:p w14:paraId="05C55AD3" w14:textId="6BFE1FAD" w:rsidR="00CB48F1" w:rsidRDefault="00CB48F1" w:rsidP="00761B6C">
    <w:pPr>
      <w:pStyle w:val="Header"/>
    </w:pPr>
    <w:r>
      <w:t>C2</w:t>
    </w:r>
    <w:r w:rsidR="004301DA">
      <w:t>2</w:t>
    </w:r>
    <w:r>
      <w:t>/42-F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2355" w14:textId="77777777" w:rsidR="004301DA" w:rsidRDefault="004301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5F94" w14:textId="3844C3B6" w:rsidR="00CB48F1" w:rsidRDefault="00CB48F1" w:rsidP="00761B6C">
    <w:pPr>
      <w:pStyle w:val="Header"/>
    </w:pPr>
    <w:r>
      <w:fldChar w:fldCharType="begin"/>
    </w:r>
    <w:r>
      <w:instrText>PAGE</w:instrText>
    </w:r>
    <w:r>
      <w:fldChar w:fldCharType="separate"/>
    </w:r>
    <w:r w:rsidR="006C195E">
      <w:rPr>
        <w:noProof/>
      </w:rPr>
      <w:t>119</w:t>
    </w:r>
    <w:r>
      <w:rPr>
        <w:noProof/>
      </w:rPr>
      <w:fldChar w:fldCharType="end"/>
    </w:r>
  </w:p>
  <w:p w14:paraId="1A417D32" w14:textId="77777777" w:rsidR="00CB48F1" w:rsidRDefault="00CB48F1" w:rsidP="00761B6C">
    <w:pPr>
      <w:pStyle w:val="Header"/>
    </w:pPr>
    <w:r>
      <w:t>C18/43–F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CDDC" w14:textId="75E7A08A" w:rsidR="00CB48F1" w:rsidRDefault="00CB48F1" w:rsidP="00D215BD">
    <w:pPr>
      <w:pStyle w:val="Header"/>
    </w:pPr>
    <w:r>
      <w:fldChar w:fldCharType="begin"/>
    </w:r>
    <w:r>
      <w:instrText>PAGE</w:instrText>
    </w:r>
    <w:r>
      <w:fldChar w:fldCharType="separate"/>
    </w:r>
    <w:r w:rsidR="006C195E">
      <w:rPr>
        <w:noProof/>
      </w:rPr>
      <w:t>87</w:t>
    </w:r>
    <w:r>
      <w:rPr>
        <w:noProof/>
      </w:rPr>
      <w:fldChar w:fldCharType="end"/>
    </w:r>
  </w:p>
  <w:p w14:paraId="039A539B" w14:textId="77777777" w:rsidR="00CB48F1" w:rsidRDefault="00CB48F1" w:rsidP="00D215BD">
    <w:pPr>
      <w:pStyle w:val="Header"/>
    </w:pPr>
    <w:r>
      <w:t>C21/42-F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0451" w14:textId="6A8566A5" w:rsidR="00CB48F1" w:rsidRDefault="00CB48F1" w:rsidP="00D215BD">
    <w:pPr>
      <w:pStyle w:val="Header"/>
    </w:pPr>
    <w:r>
      <w:fldChar w:fldCharType="begin"/>
    </w:r>
    <w:r>
      <w:instrText>PAGE</w:instrText>
    </w:r>
    <w:r>
      <w:fldChar w:fldCharType="separate"/>
    </w:r>
    <w:r w:rsidR="006C195E">
      <w:rPr>
        <w:noProof/>
      </w:rPr>
      <w:t>90</w:t>
    </w:r>
    <w:r>
      <w:rPr>
        <w:noProof/>
      </w:rPr>
      <w:fldChar w:fldCharType="end"/>
    </w:r>
  </w:p>
  <w:p w14:paraId="76C541AF" w14:textId="77777777" w:rsidR="00CB48F1" w:rsidRDefault="00CB48F1" w:rsidP="00D215BD">
    <w:pPr>
      <w:pStyle w:val="Header"/>
    </w:pPr>
    <w:r>
      <w:t>C21/42-F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55CB" w14:textId="15247176" w:rsidR="00CB48F1" w:rsidRDefault="00CB48F1" w:rsidP="00D215BD">
    <w:pPr>
      <w:pStyle w:val="Header"/>
    </w:pPr>
    <w:r>
      <w:fldChar w:fldCharType="begin"/>
    </w:r>
    <w:r>
      <w:instrText>PAGE</w:instrText>
    </w:r>
    <w:r>
      <w:fldChar w:fldCharType="separate"/>
    </w:r>
    <w:r w:rsidR="006C195E">
      <w:rPr>
        <w:noProof/>
      </w:rPr>
      <w:t>100</w:t>
    </w:r>
    <w:r>
      <w:rPr>
        <w:noProof/>
      </w:rPr>
      <w:fldChar w:fldCharType="end"/>
    </w:r>
  </w:p>
  <w:p w14:paraId="7F301B91" w14:textId="77777777" w:rsidR="00CB48F1" w:rsidRDefault="00CB48F1" w:rsidP="00D215BD">
    <w:pPr>
      <w:pStyle w:val="Header"/>
    </w:pPr>
    <w:r>
      <w:t>C21/42-F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C7AE" w14:textId="25F54E5D" w:rsidR="00CB48F1" w:rsidRDefault="00CB48F1" w:rsidP="00D215BD">
    <w:pPr>
      <w:pStyle w:val="Header"/>
    </w:pPr>
    <w:r>
      <w:fldChar w:fldCharType="begin"/>
    </w:r>
    <w:r>
      <w:instrText>PAGE</w:instrText>
    </w:r>
    <w:r>
      <w:fldChar w:fldCharType="separate"/>
    </w:r>
    <w:r w:rsidR="006C195E">
      <w:rPr>
        <w:noProof/>
      </w:rPr>
      <w:t>115</w:t>
    </w:r>
    <w:r>
      <w:rPr>
        <w:noProof/>
      </w:rPr>
      <w:fldChar w:fldCharType="end"/>
    </w:r>
  </w:p>
  <w:p w14:paraId="281424B8" w14:textId="77777777" w:rsidR="00CB48F1" w:rsidRDefault="00CB48F1" w:rsidP="00D215BD">
    <w:pPr>
      <w:pStyle w:val="Header"/>
    </w:pPr>
    <w:r>
      <w:t>C21/42-F</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3F1D" w14:textId="186EC3DC" w:rsidR="00CB48F1" w:rsidRDefault="00CB48F1" w:rsidP="00D215BD">
    <w:pPr>
      <w:pStyle w:val="Header"/>
    </w:pPr>
    <w:r>
      <w:fldChar w:fldCharType="begin"/>
    </w:r>
    <w:r>
      <w:instrText>PAGE</w:instrText>
    </w:r>
    <w:r>
      <w:fldChar w:fldCharType="separate"/>
    </w:r>
    <w:r w:rsidR="006C195E">
      <w:rPr>
        <w:noProof/>
      </w:rPr>
      <w:t>118</w:t>
    </w:r>
    <w:r>
      <w:rPr>
        <w:noProof/>
      </w:rPr>
      <w:fldChar w:fldCharType="end"/>
    </w:r>
  </w:p>
  <w:p w14:paraId="4003F72E" w14:textId="77777777" w:rsidR="00CB48F1" w:rsidRDefault="00CB48F1" w:rsidP="00D215BD">
    <w:pPr>
      <w:pStyle w:val="Header"/>
    </w:pPr>
    <w:r>
      <w:t>C21/42-F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DA4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C91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DAE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03C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2DE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8A0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50B9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3C15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F6EB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8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7E255E"/>
    <w:multiLevelType w:val="hybridMultilevel"/>
    <w:tmpl w:val="6A48D462"/>
    <w:styleLink w:val="Style11"/>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73351AB"/>
    <w:multiLevelType w:val="hybridMultilevel"/>
    <w:tmpl w:val="5A34FE9E"/>
    <w:styleLink w:val="Style31"/>
    <w:lvl w:ilvl="0" w:tplc="3EC6BBCC">
      <w:numFmt w:val="bullet"/>
      <w:lvlText w:val="–"/>
      <w:lvlJc w:val="left"/>
      <w:pPr>
        <w:tabs>
          <w:tab w:val="num" w:pos="794"/>
        </w:tabs>
        <w:ind w:left="794" w:hanging="794"/>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B25785"/>
    <w:multiLevelType w:val="hybridMultilevel"/>
    <w:tmpl w:val="20D2722E"/>
    <w:lvl w:ilvl="0" w:tplc="B60454D8">
      <w:start w:val="1"/>
      <w:numFmt w:val="bullet"/>
      <w:pStyle w:val="Enum"/>
      <w:lvlText w:val=""/>
      <w:lvlJc w:val="left"/>
      <w:pPr>
        <w:ind w:left="360" w:hanging="360"/>
      </w:pPr>
      <w:rPr>
        <w:rFonts w:ascii="Symbol" w:hAnsi="Symbol" w:hint="default"/>
      </w:rPr>
    </w:lvl>
    <w:lvl w:ilvl="1" w:tplc="9864D072" w:tentative="1">
      <w:start w:val="1"/>
      <w:numFmt w:val="bullet"/>
      <w:lvlText w:val="o"/>
      <w:lvlJc w:val="left"/>
      <w:pPr>
        <w:ind w:left="1080" w:hanging="360"/>
      </w:pPr>
      <w:rPr>
        <w:rFonts w:ascii="Courier New" w:hAnsi="Courier New" w:cs="Courier New" w:hint="default"/>
      </w:rPr>
    </w:lvl>
    <w:lvl w:ilvl="2" w:tplc="643CCA48" w:tentative="1">
      <w:start w:val="1"/>
      <w:numFmt w:val="bullet"/>
      <w:lvlText w:val=""/>
      <w:lvlJc w:val="left"/>
      <w:pPr>
        <w:ind w:left="1800" w:hanging="360"/>
      </w:pPr>
      <w:rPr>
        <w:rFonts w:ascii="Wingdings" w:hAnsi="Wingdings" w:hint="default"/>
      </w:rPr>
    </w:lvl>
    <w:lvl w:ilvl="3" w:tplc="E4C850F6" w:tentative="1">
      <w:start w:val="1"/>
      <w:numFmt w:val="bullet"/>
      <w:lvlText w:val=""/>
      <w:lvlJc w:val="left"/>
      <w:pPr>
        <w:ind w:left="2520" w:hanging="360"/>
      </w:pPr>
      <w:rPr>
        <w:rFonts w:ascii="Symbol" w:hAnsi="Symbol" w:hint="default"/>
      </w:rPr>
    </w:lvl>
    <w:lvl w:ilvl="4" w:tplc="688063FA" w:tentative="1">
      <w:start w:val="1"/>
      <w:numFmt w:val="bullet"/>
      <w:lvlText w:val="o"/>
      <w:lvlJc w:val="left"/>
      <w:pPr>
        <w:ind w:left="3240" w:hanging="360"/>
      </w:pPr>
      <w:rPr>
        <w:rFonts w:ascii="Courier New" w:hAnsi="Courier New" w:cs="Courier New" w:hint="default"/>
      </w:rPr>
    </w:lvl>
    <w:lvl w:ilvl="5" w:tplc="C82AA1A0" w:tentative="1">
      <w:start w:val="1"/>
      <w:numFmt w:val="bullet"/>
      <w:lvlText w:val=""/>
      <w:lvlJc w:val="left"/>
      <w:pPr>
        <w:ind w:left="3960" w:hanging="360"/>
      </w:pPr>
      <w:rPr>
        <w:rFonts w:ascii="Wingdings" w:hAnsi="Wingdings" w:hint="default"/>
      </w:rPr>
    </w:lvl>
    <w:lvl w:ilvl="6" w:tplc="E7EAB430" w:tentative="1">
      <w:start w:val="1"/>
      <w:numFmt w:val="bullet"/>
      <w:lvlText w:val=""/>
      <w:lvlJc w:val="left"/>
      <w:pPr>
        <w:ind w:left="4680" w:hanging="360"/>
      </w:pPr>
      <w:rPr>
        <w:rFonts w:ascii="Symbol" w:hAnsi="Symbol" w:hint="default"/>
      </w:rPr>
    </w:lvl>
    <w:lvl w:ilvl="7" w:tplc="3F5E4718" w:tentative="1">
      <w:start w:val="1"/>
      <w:numFmt w:val="bullet"/>
      <w:lvlText w:val="o"/>
      <w:lvlJc w:val="left"/>
      <w:pPr>
        <w:ind w:left="5400" w:hanging="360"/>
      </w:pPr>
      <w:rPr>
        <w:rFonts w:ascii="Courier New" w:hAnsi="Courier New" w:cs="Courier New" w:hint="default"/>
      </w:rPr>
    </w:lvl>
    <w:lvl w:ilvl="8" w:tplc="BDDC58A0" w:tentative="1">
      <w:start w:val="1"/>
      <w:numFmt w:val="bullet"/>
      <w:lvlText w:val=""/>
      <w:lvlJc w:val="left"/>
      <w:pPr>
        <w:ind w:left="6120" w:hanging="360"/>
      </w:pPr>
      <w:rPr>
        <w:rFonts w:ascii="Wingdings" w:hAnsi="Wingdings" w:hint="default"/>
      </w:rPr>
    </w:lvl>
  </w:abstractNum>
  <w:abstractNum w:abstractNumId="15" w15:restartNumberingAfterBreak="0">
    <w:nsid w:val="595C6177"/>
    <w:multiLevelType w:val="hybridMultilevel"/>
    <w:tmpl w:val="9B768D2C"/>
    <w:styleLink w:val="Style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CAC2785"/>
    <w:multiLevelType w:val="hybridMultilevel"/>
    <w:tmpl w:val="0E089256"/>
    <w:lvl w:ilvl="0" w:tplc="7F265C3E">
      <w:start w:val="1"/>
      <w:numFmt w:val="decimal"/>
      <w:lvlText w:val="%1"/>
      <w:lvlJc w:val="left"/>
      <w:pPr>
        <w:ind w:left="712" w:hanging="570"/>
      </w:pPr>
      <w:rPr>
        <w:rFonts w:asciiTheme="minorHAnsi" w:hAnsiTheme="minorHAnsi" w:cs="Calibri" w:hint="default"/>
        <w:b w:val="0"/>
        <w:bCs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437633">
    <w:abstractNumId w:val="11"/>
  </w:num>
  <w:num w:numId="2" w16cid:durableId="1992253441">
    <w:abstractNumId w:val="15"/>
  </w:num>
  <w:num w:numId="3" w16cid:durableId="456265125">
    <w:abstractNumId w:val="13"/>
  </w:num>
  <w:num w:numId="4" w16cid:durableId="631862572">
    <w:abstractNumId w:val="10"/>
  </w:num>
  <w:num w:numId="5" w16cid:durableId="1394696508">
    <w:abstractNumId w:val="17"/>
  </w:num>
  <w:num w:numId="6" w16cid:durableId="2114549447">
    <w:abstractNumId w:val="12"/>
  </w:num>
  <w:num w:numId="7" w16cid:durableId="1254633746">
    <w:abstractNumId w:val="16"/>
  </w:num>
  <w:num w:numId="8" w16cid:durableId="588348678">
    <w:abstractNumId w:val="14"/>
  </w:num>
  <w:num w:numId="9" w16cid:durableId="1012997793">
    <w:abstractNumId w:val="18"/>
  </w:num>
  <w:num w:numId="10" w16cid:durableId="1176966231">
    <w:abstractNumId w:val="9"/>
  </w:num>
  <w:num w:numId="11" w16cid:durableId="1808353111">
    <w:abstractNumId w:val="7"/>
  </w:num>
  <w:num w:numId="12" w16cid:durableId="2015261248">
    <w:abstractNumId w:val="6"/>
  </w:num>
  <w:num w:numId="13" w16cid:durableId="1219590607">
    <w:abstractNumId w:val="5"/>
  </w:num>
  <w:num w:numId="14" w16cid:durableId="1176574068">
    <w:abstractNumId w:val="4"/>
  </w:num>
  <w:num w:numId="15" w16cid:durableId="1955869823">
    <w:abstractNumId w:val="8"/>
  </w:num>
  <w:num w:numId="16" w16cid:durableId="1456675954">
    <w:abstractNumId w:val="3"/>
  </w:num>
  <w:num w:numId="17" w16cid:durableId="948194890">
    <w:abstractNumId w:val="2"/>
  </w:num>
  <w:num w:numId="18" w16cid:durableId="1937208508">
    <w:abstractNumId w:val="1"/>
  </w:num>
  <w:num w:numId="19" w16cid:durableId="164705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FE"/>
    <w:rsid w:val="00014597"/>
    <w:rsid w:val="00020ADA"/>
    <w:rsid w:val="00026610"/>
    <w:rsid w:val="00062F0F"/>
    <w:rsid w:val="0007628D"/>
    <w:rsid w:val="0009375C"/>
    <w:rsid w:val="000C047C"/>
    <w:rsid w:val="000D0D0A"/>
    <w:rsid w:val="00103163"/>
    <w:rsid w:val="00106B19"/>
    <w:rsid w:val="00112AA3"/>
    <w:rsid w:val="00115D93"/>
    <w:rsid w:val="001247A8"/>
    <w:rsid w:val="00127735"/>
    <w:rsid w:val="001378C0"/>
    <w:rsid w:val="00144C9E"/>
    <w:rsid w:val="00184B79"/>
    <w:rsid w:val="0018694A"/>
    <w:rsid w:val="0019042A"/>
    <w:rsid w:val="0019250B"/>
    <w:rsid w:val="0019278D"/>
    <w:rsid w:val="001A3287"/>
    <w:rsid w:val="001A6508"/>
    <w:rsid w:val="001B4696"/>
    <w:rsid w:val="001D4C31"/>
    <w:rsid w:val="001E4D21"/>
    <w:rsid w:val="001F5EBE"/>
    <w:rsid w:val="00207CD1"/>
    <w:rsid w:val="002178B4"/>
    <w:rsid w:val="002477A2"/>
    <w:rsid w:val="00253FE3"/>
    <w:rsid w:val="0026263E"/>
    <w:rsid w:val="00263A51"/>
    <w:rsid w:val="00267E02"/>
    <w:rsid w:val="002A0DD1"/>
    <w:rsid w:val="002A5D44"/>
    <w:rsid w:val="002A68E1"/>
    <w:rsid w:val="002D311F"/>
    <w:rsid w:val="002E0B3F"/>
    <w:rsid w:val="002E0BC4"/>
    <w:rsid w:val="002F1B76"/>
    <w:rsid w:val="00310B03"/>
    <w:rsid w:val="0031621F"/>
    <w:rsid w:val="00332DBC"/>
    <w:rsid w:val="0033568E"/>
    <w:rsid w:val="00355FF5"/>
    <w:rsid w:val="00361350"/>
    <w:rsid w:val="003A1E34"/>
    <w:rsid w:val="003B04AA"/>
    <w:rsid w:val="003C3FAE"/>
    <w:rsid w:val="004038CB"/>
    <w:rsid w:val="00403E7A"/>
    <w:rsid w:val="0040546F"/>
    <w:rsid w:val="0042404A"/>
    <w:rsid w:val="004301DA"/>
    <w:rsid w:val="0044618F"/>
    <w:rsid w:val="0046769A"/>
    <w:rsid w:val="00475FB3"/>
    <w:rsid w:val="004C1BC2"/>
    <w:rsid w:val="004C37A9"/>
    <w:rsid w:val="004D1D50"/>
    <w:rsid w:val="004F259E"/>
    <w:rsid w:val="00511F1D"/>
    <w:rsid w:val="00520F36"/>
    <w:rsid w:val="005265FE"/>
    <w:rsid w:val="00540615"/>
    <w:rsid w:val="00540A6D"/>
    <w:rsid w:val="00571EEA"/>
    <w:rsid w:val="005742CA"/>
    <w:rsid w:val="00575417"/>
    <w:rsid w:val="005768E1"/>
    <w:rsid w:val="005B1938"/>
    <w:rsid w:val="005C3890"/>
    <w:rsid w:val="005C47CB"/>
    <w:rsid w:val="005F7BFE"/>
    <w:rsid w:val="00600017"/>
    <w:rsid w:val="0061620A"/>
    <w:rsid w:val="006235CA"/>
    <w:rsid w:val="00626FE3"/>
    <w:rsid w:val="00652D54"/>
    <w:rsid w:val="0065452F"/>
    <w:rsid w:val="006643AB"/>
    <w:rsid w:val="006C195E"/>
    <w:rsid w:val="006F75A4"/>
    <w:rsid w:val="007105EB"/>
    <w:rsid w:val="007210CD"/>
    <w:rsid w:val="00732045"/>
    <w:rsid w:val="007369DB"/>
    <w:rsid w:val="00761B6C"/>
    <w:rsid w:val="00777A3F"/>
    <w:rsid w:val="007956C2"/>
    <w:rsid w:val="007A187E"/>
    <w:rsid w:val="007C72C2"/>
    <w:rsid w:val="007D4436"/>
    <w:rsid w:val="007D5D35"/>
    <w:rsid w:val="007F257A"/>
    <w:rsid w:val="007F3665"/>
    <w:rsid w:val="00800037"/>
    <w:rsid w:val="008543D4"/>
    <w:rsid w:val="00861D73"/>
    <w:rsid w:val="00897553"/>
    <w:rsid w:val="008A4E87"/>
    <w:rsid w:val="008B290A"/>
    <w:rsid w:val="008B2C1D"/>
    <w:rsid w:val="008D76E6"/>
    <w:rsid w:val="00911C64"/>
    <w:rsid w:val="0092392D"/>
    <w:rsid w:val="00926C1D"/>
    <w:rsid w:val="0093234A"/>
    <w:rsid w:val="0097363B"/>
    <w:rsid w:val="0098422F"/>
    <w:rsid w:val="009C307F"/>
    <w:rsid w:val="009C353C"/>
    <w:rsid w:val="009F4FA0"/>
    <w:rsid w:val="00A2113E"/>
    <w:rsid w:val="00A23A51"/>
    <w:rsid w:val="00A24607"/>
    <w:rsid w:val="00A25CD3"/>
    <w:rsid w:val="00A709FE"/>
    <w:rsid w:val="00A77B7D"/>
    <w:rsid w:val="00A82767"/>
    <w:rsid w:val="00AA332F"/>
    <w:rsid w:val="00AA7BBB"/>
    <w:rsid w:val="00AB64A8"/>
    <w:rsid w:val="00AB673B"/>
    <w:rsid w:val="00AC0266"/>
    <w:rsid w:val="00AD24EC"/>
    <w:rsid w:val="00B1147C"/>
    <w:rsid w:val="00B22100"/>
    <w:rsid w:val="00B309F9"/>
    <w:rsid w:val="00B32B60"/>
    <w:rsid w:val="00B43F66"/>
    <w:rsid w:val="00B61619"/>
    <w:rsid w:val="00B774B6"/>
    <w:rsid w:val="00B83B1E"/>
    <w:rsid w:val="00B93AE4"/>
    <w:rsid w:val="00BB4545"/>
    <w:rsid w:val="00BC091F"/>
    <w:rsid w:val="00BD5873"/>
    <w:rsid w:val="00C04BE3"/>
    <w:rsid w:val="00C25D29"/>
    <w:rsid w:val="00C27A7C"/>
    <w:rsid w:val="00C4775F"/>
    <w:rsid w:val="00C511D8"/>
    <w:rsid w:val="00C92416"/>
    <w:rsid w:val="00CA08ED"/>
    <w:rsid w:val="00CB48F1"/>
    <w:rsid w:val="00CD4D76"/>
    <w:rsid w:val="00CE167C"/>
    <w:rsid w:val="00CE6693"/>
    <w:rsid w:val="00CF183B"/>
    <w:rsid w:val="00D10305"/>
    <w:rsid w:val="00D215BD"/>
    <w:rsid w:val="00D262BA"/>
    <w:rsid w:val="00D27591"/>
    <w:rsid w:val="00D375CD"/>
    <w:rsid w:val="00D553A2"/>
    <w:rsid w:val="00D774D3"/>
    <w:rsid w:val="00D904E8"/>
    <w:rsid w:val="00DA08C3"/>
    <w:rsid w:val="00DB5A3E"/>
    <w:rsid w:val="00DC22AA"/>
    <w:rsid w:val="00DF74DD"/>
    <w:rsid w:val="00E04C91"/>
    <w:rsid w:val="00E25AD0"/>
    <w:rsid w:val="00EB264C"/>
    <w:rsid w:val="00EB6350"/>
    <w:rsid w:val="00ED4076"/>
    <w:rsid w:val="00EF3D9A"/>
    <w:rsid w:val="00F03CAF"/>
    <w:rsid w:val="00F15B57"/>
    <w:rsid w:val="00F31D7F"/>
    <w:rsid w:val="00F427DB"/>
    <w:rsid w:val="00F429E8"/>
    <w:rsid w:val="00F837C1"/>
    <w:rsid w:val="00F909E2"/>
    <w:rsid w:val="00FA013B"/>
    <w:rsid w:val="00FA5EB1"/>
    <w:rsid w:val="00FA7439"/>
    <w:rsid w:val="00FC4EC0"/>
    <w:rsid w:val="00FE004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2"/>
    </o:shapelayout>
  </w:shapeDefaults>
  <w:decimalSymbol w:val=","/>
  <w:listSeparator w:val=";"/>
  <w14:docId w14:val="25E620F3"/>
  <w15:docId w15:val="{937A241D-B490-4CBA-A3D8-D7734401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Style 58,超????,超?级链,하이퍼링크2,하이퍼링크21"/>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5265FE"/>
    <w:rPr>
      <w:color w:val="605E5C"/>
      <w:shd w:val="clear" w:color="auto" w:fill="E1DFDD"/>
    </w:rPr>
  </w:style>
  <w:style w:type="character" w:customStyle="1" w:styleId="UnresolvedMention10">
    <w:name w:val="Unresolved Mention1"/>
    <w:basedOn w:val="DefaultParagraphFont"/>
    <w:uiPriority w:val="99"/>
    <w:semiHidden/>
    <w:unhideWhenUsed/>
    <w:rsid w:val="005265FE"/>
    <w:rPr>
      <w:color w:val="605E5C"/>
      <w:shd w:val="clear" w:color="auto" w:fill="E1DFDD"/>
    </w:rPr>
  </w:style>
  <w:style w:type="character" w:customStyle="1" w:styleId="enumlev1Char">
    <w:name w:val="enumlev1 Char"/>
    <w:basedOn w:val="DefaultParagraphFont"/>
    <w:link w:val="enumlev1"/>
    <w:rsid w:val="005265FE"/>
    <w:rPr>
      <w:rFonts w:ascii="Calibri" w:hAnsi="Calibri"/>
      <w:sz w:val="24"/>
      <w:lang w:val="fr-FR" w:eastAsia="en-US"/>
    </w:rPr>
  </w:style>
  <w:style w:type="paragraph" w:styleId="Title">
    <w:name w:val="Title"/>
    <w:basedOn w:val="Normal"/>
    <w:link w:val="TitleChar"/>
    <w:qFormat/>
    <w:rsid w:val="005265FE"/>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5265FE"/>
    <w:rPr>
      <w:rFonts w:ascii="Arial" w:eastAsia="SimSun" w:hAnsi="Arial"/>
      <w:b/>
      <w:bCs/>
      <w:sz w:val="22"/>
      <w:szCs w:val="24"/>
      <w:lang w:val="fr-FR"/>
    </w:rPr>
  </w:style>
  <w:style w:type="paragraph" w:styleId="BalloonText">
    <w:name w:val="Balloon Text"/>
    <w:basedOn w:val="Normal"/>
    <w:link w:val="BalloonTextChar"/>
    <w:uiPriority w:val="99"/>
    <w:unhideWhenUsed/>
    <w:rsid w:val="005265F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265FE"/>
    <w:rPr>
      <w:rFonts w:ascii="Segoe UI" w:hAnsi="Segoe UI" w:cs="Segoe UI"/>
      <w:sz w:val="18"/>
      <w:szCs w:val="18"/>
      <w:lang w:val="fr-FR" w:eastAsia="en-US"/>
    </w:rPr>
  </w:style>
  <w:style w:type="character" w:customStyle="1" w:styleId="Heading1Char">
    <w:name w:val="Heading 1 Char"/>
    <w:basedOn w:val="DefaultParagraphFont"/>
    <w:link w:val="Heading1"/>
    <w:rsid w:val="005265FE"/>
    <w:rPr>
      <w:rFonts w:ascii="Calibri" w:hAnsi="Calibri"/>
      <w:b/>
      <w:sz w:val="28"/>
      <w:lang w:val="fr-FR" w:eastAsia="en-US"/>
    </w:rPr>
  </w:style>
  <w:style w:type="paragraph" w:customStyle="1" w:styleId="docnoted">
    <w:name w:val="docnoted"/>
    <w:basedOn w:val="Normal"/>
    <w:rsid w:val="005265FE"/>
    <w:pPr>
      <w:pBdr>
        <w:top w:val="single" w:sz="6" w:space="0" w:color="auto"/>
        <w:left w:val="single" w:sz="6" w:space="0" w:color="auto"/>
        <w:bottom w:val="single" w:sz="6" w:space="0" w:color="auto"/>
        <w:right w:val="single" w:sz="6" w:space="0" w:color="auto"/>
      </w:pBdr>
      <w:shd w:val="pct10" w:color="auto" w:fill="auto"/>
    </w:pPr>
    <w:rPr>
      <w:rFonts w:eastAsia="Batang"/>
      <w:sz w:val="20"/>
    </w:rPr>
  </w:style>
  <w:style w:type="character" w:styleId="EndnoteReference">
    <w:name w:val="endnote reference"/>
    <w:basedOn w:val="DefaultParagraphFont"/>
    <w:rsid w:val="005265FE"/>
    <w:rPr>
      <w:vertAlign w:val="superscript"/>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
    <w:basedOn w:val="Normal"/>
    <w:link w:val="ListParagraphChar"/>
    <w:uiPriority w:val="34"/>
    <w:qFormat/>
    <w:rsid w:val="005265FE"/>
    <w:pPr>
      <w:ind w:left="720"/>
      <w:contextualSpacing/>
    </w:pPr>
    <w:rPr>
      <w:rFonts w:eastAsia="Batang"/>
      <w:lang w:val="en-GB"/>
    </w:rPr>
  </w:style>
  <w:style w:type="character" w:customStyle="1" w:styleId="FootnoteTextChar">
    <w:name w:val="Footnote Text Char"/>
    <w:basedOn w:val="DefaultParagraphFont"/>
    <w:link w:val="FootnoteText"/>
    <w:rsid w:val="005265FE"/>
    <w:rPr>
      <w:rFonts w:ascii="Calibri" w:hAnsi="Calibri"/>
      <w:sz w:val="24"/>
      <w:lang w:val="fr-FR" w:eastAsia="en-US"/>
    </w:rPr>
  </w:style>
  <w:style w:type="paragraph" w:customStyle="1" w:styleId="Default">
    <w:name w:val="Default"/>
    <w:rsid w:val="005265FE"/>
    <w:pPr>
      <w:autoSpaceDE w:val="0"/>
      <w:autoSpaceDN w:val="0"/>
      <w:adjustRightInd w:val="0"/>
    </w:pPr>
    <w:rPr>
      <w:rFonts w:ascii="Calibri" w:eastAsia="Batang" w:hAnsi="Calibri" w:cs="Calibri"/>
      <w:color w:val="000000"/>
      <w:sz w:val="24"/>
      <w:szCs w:val="24"/>
    </w:rPr>
  </w:style>
  <w:style w:type="paragraph" w:customStyle="1" w:styleId="Norma">
    <w:name w:val="Normaé"/>
    <w:basedOn w:val="Normal"/>
    <w:rsid w:val="005265FE"/>
    <w:pPr>
      <w:tabs>
        <w:tab w:val="clear" w:pos="567"/>
        <w:tab w:val="clear" w:pos="1134"/>
        <w:tab w:val="clear" w:pos="1701"/>
        <w:tab w:val="clear" w:pos="2268"/>
        <w:tab w:val="clear" w:pos="2835"/>
      </w:tabs>
      <w:overflowPunct/>
      <w:spacing w:before="0"/>
      <w:textAlignment w:val="auto"/>
    </w:pPr>
    <w:rPr>
      <w:rFonts w:asciiTheme="minorHAnsi" w:eastAsia="Batang" w:hAnsiTheme="minorHAnsi"/>
      <w:szCs w:val="24"/>
      <w:lang w:val="en-US"/>
    </w:rPr>
  </w:style>
  <w:style w:type="character" w:customStyle="1" w:styleId="NormalaftertitleChar">
    <w:name w:val="Normal after title Char"/>
    <w:basedOn w:val="DefaultParagraphFont"/>
    <w:link w:val="Normalaftertitle"/>
    <w:rsid w:val="005265FE"/>
    <w:rPr>
      <w:rFonts w:ascii="Calibri" w:hAnsi="Calibri"/>
      <w:sz w:val="24"/>
      <w:lang w:val="fr-FR" w:eastAsia="en-US"/>
    </w:rPr>
  </w:style>
  <w:style w:type="table" w:styleId="TableGrid">
    <w:name w:val="Table Grid"/>
    <w:basedOn w:val="TableNormal"/>
    <w:rsid w:val="005265F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uiPriority w:val="99"/>
    <w:rsid w:val="005265FE"/>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eastAsia="MS Mincho" w:hAnsiTheme="minorHAnsi"/>
    </w:rPr>
  </w:style>
  <w:style w:type="character" w:customStyle="1" w:styleId="Heading3Char">
    <w:name w:val="Heading 3 Char"/>
    <w:basedOn w:val="DefaultParagraphFont"/>
    <w:link w:val="Heading3"/>
    <w:rsid w:val="005265FE"/>
    <w:rPr>
      <w:rFonts w:ascii="Calibri" w:hAnsi="Calibri"/>
      <w:b/>
      <w:sz w:val="24"/>
      <w:lang w:val="fr-FR" w:eastAsia="en-US"/>
    </w:rPr>
  </w:style>
  <w:style w:type="paragraph" w:styleId="TOCHeading">
    <w:name w:val="TOC Heading"/>
    <w:basedOn w:val="Heading1"/>
    <w:next w:val="Normal"/>
    <w:uiPriority w:val="39"/>
    <w:semiHidden/>
    <w:unhideWhenUsed/>
    <w:qFormat/>
    <w:rsid w:val="005265FE"/>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Heading9Char">
    <w:name w:val="Heading 9 Char"/>
    <w:basedOn w:val="DefaultParagraphFont"/>
    <w:link w:val="Heading9"/>
    <w:rsid w:val="005265FE"/>
    <w:rPr>
      <w:rFonts w:ascii="Calibri" w:hAnsi="Calibri"/>
      <w:b/>
      <w:sz w:val="24"/>
      <w:lang w:val="fr-FR" w:eastAsia="en-US"/>
    </w:rPr>
  </w:style>
  <w:style w:type="character" w:customStyle="1" w:styleId="Heading2Char">
    <w:name w:val="Heading 2 Char"/>
    <w:basedOn w:val="DefaultParagraphFont"/>
    <w:link w:val="Heading2"/>
    <w:rsid w:val="005265FE"/>
    <w:rPr>
      <w:rFonts w:ascii="Calibri" w:hAnsi="Calibri"/>
      <w:b/>
      <w:sz w:val="24"/>
      <w:lang w:val="fr-FR" w:eastAsia="en-US"/>
    </w:rPr>
  </w:style>
  <w:style w:type="character" w:customStyle="1" w:styleId="Heading4Char">
    <w:name w:val="Heading 4 Char"/>
    <w:basedOn w:val="DefaultParagraphFont"/>
    <w:link w:val="Heading4"/>
    <w:rsid w:val="005265FE"/>
    <w:rPr>
      <w:rFonts w:ascii="Calibri" w:hAnsi="Calibri"/>
      <w:b/>
      <w:sz w:val="24"/>
      <w:lang w:val="fr-FR" w:eastAsia="en-US"/>
    </w:rPr>
  </w:style>
  <w:style w:type="character" w:customStyle="1" w:styleId="Heading5Char">
    <w:name w:val="Heading 5 Char"/>
    <w:basedOn w:val="DefaultParagraphFont"/>
    <w:link w:val="Heading5"/>
    <w:rsid w:val="005265FE"/>
    <w:rPr>
      <w:rFonts w:ascii="Calibri" w:hAnsi="Calibri"/>
      <w:b/>
      <w:sz w:val="24"/>
      <w:lang w:val="fr-FR" w:eastAsia="en-US"/>
    </w:rPr>
  </w:style>
  <w:style w:type="character" w:customStyle="1" w:styleId="Heading6Char">
    <w:name w:val="Heading 6 Char"/>
    <w:basedOn w:val="DefaultParagraphFont"/>
    <w:link w:val="Heading6"/>
    <w:rsid w:val="005265FE"/>
    <w:rPr>
      <w:rFonts w:ascii="Calibri" w:hAnsi="Calibri"/>
      <w:b/>
      <w:sz w:val="24"/>
      <w:lang w:val="fr-FR" w:eastAsia="en-US"/>
    </w:rPr>
  </w:style>
  <w:style w:type="character" w:customStyle="1" w:styleId="Heading7Char">
    <w:name w:val="Heading 7 Char"/>
    <w:basedOn w:val="DefaultParagraphFont"/>
    <w:link w:val="Heading7"/>
    <w:rsid w:val="005265FE"/>
    <w:rPr>
      <w:rFonts w:ascii="Calibri" w:hAnsi="Calibri"/>
      <w:b/>
      <w:sz w:val="24"/>
      <w:lang w:val="fr-FR" w:eastAsia="en-US"/>
    </w:rPr>
  </w:style>
  <w:style w:type="character" w:customStyle="1" w:styleId="Heading8Char">
    <w:name w:val="Heading 8 Char"/>
    <w:basedOn w:val="DefaultParagraphFont"/>
    <w:link w:val="Heading8"/>
    <w:rsid w:val="005265FE"/>
    <w:rPr>
      <w:rFonts w:ascii="Calibri" w:hAnsi="Calibri"/>
      <w:b/>
      <w:sz w:val="24"/>
      <w:lang w:val="fr-FR" w:eastAsia="en-US"/>
    </w:rPr>
  </w:style>
  <w:style w:type="character" w:customStyle="1" w:styleId="FooterChar">
    <w:name w:val="Footer Char"/>
    <w:basedOn w:val="DefaultParagraphFont"/>
    <w:link w:val="Footer"/>
    <w:rsid w:val="005265FE"/>
    <w:rPr>
      <w:rFonts w:ascii="Calibri" w:hAnsi="Calibri"/>
      <w:caps/>
      <w:noProof/>
      <w:sz w:val="16"/>
      <w:lang w:val="fr-FR" w:eastAsia="en-US"/>
    </w:rPr>
  </w:style>
  <w:style w:type="character" w:customStyle="1" w:styleId="HeaderChar">
    <w:name w:val="Header Char"/>
    <w:basedOn w:val="DefaultParagraphFont"/>
    <w:link w:val="Header"/>
    <w:rsid w:val="005265FE"/>
    <w:rPr>
      <w:rFonts w:ascii="Calibri" w:hAnsi="Calibri"/>
      <w:sz w:val="18"/>
      <w:lang w:val="fr-FR" w:eastAsia="en-US"/>
    </w:rPr>
  </w:style>
  <w:style w:type="character" w:customStyle="1" w:styleId="CallChar">
    <w:name w:val="Call Char"/>
    <w:basedOn w:val="DefaultParagraphFont"/>
    <w:link w:val="Call"/>
    <w:rsid w:val="005265FE"/>
    <w:rPr>
      <w:rFonts w:ascii="Calibri" w:hAnsi="Calibri"/>
      <w:i/>
      <w:sz w:val="24"/>
      <w:lang w:val="fr-FR" w:eastAsia="en-US"/>
    </w:rPr>
  </w:style>
  <w:style w:type="paragraph" w:styleId="BodyTextIndent3">
    <w:name w:val="Body Text Indent 3"/>
    <w:basedOn w:val="Normal"/>
    <w:link w:val="BodyTextIndent3Char"/>
    <w:rsid w:val="005265FE"/>
    <w:pPr>
      <w:tabs>
        <w:tab w:val="clear" w:pos="1701"/>
        <w:tab w:val="clear" w:pos="2268"/>
        <w:tab w:val="clear" w:pos="2835"/>
        <w:tab w:val="left" w:pos="851"/>
        <w:tab w:val="left" w:pos="1418"/>
      </w:tabs>
      <w:spacing w:line="240" w:lineRule="atLeast"/>
      <w:ind w:left="34"/>
    </w:pPr>
    <w:rPr>
      <w:rFonts w:ascii="Times New Roman" w:eastAsia="Batang" w:hAnsi="Times New Roman"/>
    </w:rPr>
  </w:style>
  <w:style w:type="character" w:customStyle="1" w:styleId="BodyTextIndent3Char">
    <w:name w:val="Body Text Indent 3 Char"/>
    <w:basedOn w:val="DefaultParagraphFont"/>
    <w:link w:val="BodyTextIndent3"/>
    <w:rsid w:val="005265FE"/>
    <w:rPr>
      <w:rFonts w:ascii="Times New Roman" w:eastAsia="Batang" w:hAnsi="Times New Roman"/>
      <w:sz w:val="24"/>
      <w:lang w:val="fr-FR" w:eastAsia="en-US"/>
    </w:rPr>
  </w:style>
  <w:style w:type="paragraph" w:customStyle="1" w:styleId="nlist">
    <w:name w:val="nlist"/>
    <w:basedOn w:val="Normal"/>
    <w:uiPriority w:val="99"/>
    <w:rsid w:val="005265FE"/>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styleId="NormalWeb">
    <w:name w:val="Normal (Web)"/>
    <w:basedOn w:val="Normal"/>
    <w:uiPriority w:val="99"/>
    <w:unhideWhenUsed/>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5265FE"/>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5265FE"/>
    <w:rPr>
      <w:rFonts w:ascii="Times New Roman" w:eastAsiaTheme="minorEastAsia" w:hAnsi="Times New Roman"/>
      <w:sz w:val="24"/>
      <w:szCs w:val="24"/>
    </w:rPr>
  </w:style>
  <w:style w:type="paragraph" w:styleId="BodyText3">
    <w:name w:val="Body Text 3"/>
    <w:basedOn w:val="Normal"/>
    <w:link w:val="BodyText3Char"/>
    <w:uiPriority w:val="99"/>
    <w:unhideWhenUsed/>
    <w:rsid w:val="005265FE"/>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5265FE"/>
    <w:rPr>
      <w:rFonts w:ascii="Times New Roman" w:eastAsiaTheme="minorEastAsia" w:hAnsi="Times New Roman"/>
      <w:sz w:val="16"/>
      <w:szCs w:val="16"/>
    </w:rPr>
  </w:style>
  <w:style w:type="character" w:styleId="Strong">
    <w:name w:val="Strong"/>
    <w:basedOn w:val="DefaultParagraphFont"/>
    <w:uiPriority w:val="22"/>
    <w:qFormat/>
    <w:rsid w:val="005265FE"/>
    <w:rPr>
      <w:b/>
      <w:bCs/>
    </w:rPr>
  </w:style>
  <w:style w:type="character" w:styleId="CommentReference">
    <w:name w:val="annotation reference"/>
    <w:basedOn w:val="DefaultParagraphFont"/>
    <w:uiPriority w:val="99"/>
    <w:unhideWhenUsed/>
    <w:rsid w:val="005265FE"/>
    <w:rPr>
      <w:sz w:val="16"/>
      <w:szCs w:val="16"/>
    </w:rPr>
  </w:style>
  <w:style w:type="paragraph" w:styleId="CommentText">
    <w:name w:val="annotation text"/>
    <w:basedOn w:val="Normal"/>
    <w:link w:val="CommentTextChar"/>
    <w:uiPriority w:val="99"/>
    <w:unhideWhenUsed/>
    <w:rsid w:val="005265FE"/>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MS Mincho" w:hAnsi="Times New Roman" w:cs="Arial"/>
      <w:b/>
      <w:sz w:val="20"/>
      <w:lang w:eastAsia="fr-FR"/>
    </w:rPr>
  </w:style>
  <w:style w:type="character" w:customStyle="1" w:styleId="CommentTextChar">
    <w:name w:val="Comment Text Char"/>
    <w:basedOn w:val="DefaultParagraphFont"/>
    <w:link w:val="CommentText"/>
    <w:uiPriority w:val="99"/>
    <w:rsid w:val="005265FE"/>
    <w:rPr>
      <w:rFonts w:ascii="Times New Roman" w:eastAsia="MS Mincho" w:hAnsi="Times New Roman" w:cs="Arial"/>
      <w:b/>
      <w:lang w:val="fr-FR" w:eastAsia="fr-FR"/>
    </w:rPr>
  </w:style>
  <w:style w:type="paragraph" w:styleId="CommentSubject">
    <w:name w:val="annotation subject"/>
    <w:basedOn w:val="CommentText"/>
    <w:next w:val="CommentText"/>
    <w:link w:val="CommentSubjectChar"/>
    <w:uiPriority w:val="99"/>
    <w:unhideWhenUsed/>
    <w:rsid w:val="005265FE"/>
    <w:rPr>
      <w:bCs/>
    </w:rPr>
  </w:style>
  <w:style w:type="character" w:customStyle="1" w:styleId="CommentSubjectChar">
    <w:name w:val="Comment Subject Char"/>
    <w:basedOn w:val="CommentTextChar"/>
    <w:link w:val="CommentSubject"/>
    <w:uiPriority w:val="99"/>
    <w:rsid w:val="005265FE"/>
    <w:rPr>
      <w:rFonts w:ascii="Times New Roman" w:eastAsia="MS Mincho" w:hAnsi="Times New Roman" w:cs="Arial"/>
      <w:b/>
      <w:bCs/>
      <w:lang w:val="fr-FR" w:eastAsia="fr-FR"/>
    </w:rPr>
  </w:style>
  <w:style w:type="paragraph" w:styleId="Revision">
    <w:name w:val="Revision"/>
    <w:hidden/>
    <w:uiPriority w:val="99"/>
    <w:semiHidden/>
    <w:rsid w:val="005265FE"/>
    <w:rPr>
      <w:rFonts w:ascii="Times New Roman" w:eastAsiaTheme="minorEastAsia" w:hAnsi="Times New Roman"/>
      <w:sz w:val="24"/>
      <w:szCs w:val="24"/>
    </w:rPr>
  </w:style>
  <w:style w:type="paragraph" w:styleId="Caption">
    <w:name w:val="caption"/>
    <w:basedOn w:val="Normal"/>
    <w:next w:val="Normal"/>
    <w:uiPriority w:val="35"/>
    <w:unhideWhenUsed/>
    <w:qFormat/>
    <w:rsid w:val="005265FE"/>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5265FE"/>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MS Mincho" w:hAnsi="Calibri"/>
      <w:sz w:val="24"/>
      <w:lang w:val="fr-FR" w:eastAsia="en-US"/>
    </w:rPr>
  </w:style>
  <w:style w:type="paragraph" w:styleId="BodyTextIndent">
    <w:name w:val="Body Text Indent"/>
    <w:basedOn w:val="Normal"/>
    <w:link w:val="BodyTextIndentChar"/>
    <w:rsid w:val="005265FE"/>
    <w:pPr>
      <w:spacing w:after="120"/>
      <w:ind w:left="283"/>
    </w:pPr>
    <w:rPr>
      <w:rFonts w:eastAsia="Batang"/>
    </w:rPr>
  </w:style>
  <w:style w:type="character" w:customStyle="1" w:styleId="BodyTextIndentChar">
    <w:name w:val="Body Text Indent Char"/>
    <w:basedOn w:val="DefaultParagraphFont"/>
    <w:link w:val="BodyTextIndent"/>
    <w:rsid w:val="005265FE"/>
    <w:rPr>
      <w:rFonts w:ascii="Calibri" w:eastAsia="Batang" w:hAnsi="Calibri"/>
      <w:sz w:val="24"/>
      <w:lang w:val="fr-FR" w:eastAsia="en-US"/>
    </w:rPr>
  </w:style>
  <w:style w:type="paragraph" w:styleId="BodyText">
    <w:name w:val="Body Text"/>
    <w:basedOn w:val="Normal"/>
    <w:link w:val="BodyTextChar"/>
    <w:uiPriority w:val="99"/>
    <w:unhideWhenUsed/>
    <w:rsid w:val="005265FE"/>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5265FE"/>
    <w:rPr>
      <w:rFonts w:ascii="Times New Roman" w:eastAsiaTheme="minorEastAsia" w:hAnsi="Times New Roman"/>
      <w:sz w:val="24"/>
      <w:szCs w:val="24"/>
    </w:rPr>
  </w:style>
  <w:style w:type="paragraph" w:customStyle="1" w:styleId="Style7">
    <w:name w:val="Style7"/>
    <w:basedOn w:val="Normal"/>
    <w:uiPriority w:val="99"/>
    <w:rsid w:val="005265FE"/>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ext0">
    <w:name w:val="Table_Text"/>
    <w:basedOn w:val="Normal"/>
    <w:rsid w:val="005265FE"/>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Batang" w:hAnsi="Times New Roman"/>
      <w:sz w:val="22"/>
    </w:rPr>
  </w:style>
  <w:style w:type="paragraph" w:customStyle="1" w:styleId="TableTitle0">
    <w:name w:val="Table_Title"/>
    <w:basedOn w:val="Normal"/>
    <w:next w:val="TableText0"/>
    <w:uiPriority w:val="99"/>
    <w:rsid w:val="005265FE"/>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rPr>
  </w:style>
  <w:style w:type="paragraph" w:customStyle="1" w:styleId="TableHead0">
    <w:name w:val="Table_Head"/>
    <w:basedOn w:val="TableText0"/>
    <w:rsid w:val="005265FE"/>
    <w:pPr>
      <w:keepNext/>
      <w:spacing w:before="480" w:after="0"/>
      <w:jc w:val="center"/>
    </w:pPr>
    <w:rPr>
      <w:b/>
    </w:rPr>
  </w:style>
  <w:style w:type="paragraph" w:customStyle="1" w:styleId="P2">
    <w:name w:val="P2"/>
    <w:basedOn w:val="Normal"/>
    <w:uiPriority w:val="99"/>
    <w:rsid w:val="005265FE"/>
    <w:pPr>
      <w:tabs>
        <w:tab w:val="clear" w:pos="567"/>
        <w:tab w:val="clear" w:pos="1134"/>
        <w:tab w:val="clear" w:pos="1701"/>
        <w:tab w:val="clear" w:pos="2268"/>
        <w:tab w:val="clear" w:pos="2835"/>
      </w:tabs>
      <w:spacing w:before="240"/>
      <w:ind w:left="1247"/>
      <w:jc w:val="both"/>
    </w:pPr>
    <w:rPr>
      <w:rFonts w:ascii="Arial" w:eastAsia="MS Mincho" w:hAnsi="Arial"/>
      <w:sz w:val="22"/>
      <w:lang w:eastAsia="fr-FR"/>
    </w:rPr>
  </w:style>
  <w:style w:type="paragraph" w:customStyle="1" w:styleId="font5">
    <w:name w:val="font5"/>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3">
    <w:name w:val="xl63"/>
    <w:basedOn w:val="Normal"/>
    <w:uiPriority w:val="99"/>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customStyle="1" w:styleId="xl64">
    <w:name w:val="xl64"/>
    <w:basedOn w:val="Normal"/>
    <w:uiPriority w:val="99"/>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5">
    <w:name w:val="xl65"/>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66">
    <w:name w:val="xl66"/>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67">
    <w:name w:val="xl67"/>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68">
    <w:name w:val="xl68"/>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9">
    <w:name w:val="xl69"/>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0">
    <w:name w:val="xl70"/>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71">
    <w:name w:val="xl71"/>
    <w:basedOn w:val="Normal"/>
    <w:rsid w:val="005265FE"/>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2">
    <w:name w:val="xl72"/>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73">
    <w:name w:val="xl73"/>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sz w:val="22"/>
      <w:szCs w:val="22"/>
      <w:lang w:val="en-US" w:eastAsia="zh-CN"/>
    </w:rPr>
  </w:style>
  <w:style w:type="paragraph" w:customStyle="1" w:styleId="xl74">
    <w:name w:val="xl74"/>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5">
    <w:name w:val="xl75"/>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76">
    <w:name w:val="xl76"/>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paragraph" w:customStyle="1" w:styleId="xl77">
    <w:name w:val="xl77"/>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color w:val="000000"/>
      <w:sz w:val="22"/>
      <w:szCs w:val="22"/>
      <w:lang w:val="en-US" w:eastAsia="zh-CN"/>
    </w:rPr>
  </w:style>
  <w:style w:type="paragraph" w:customStyle="1" w:styleId="xl78">
    <w:name w:val="xl78"/>
    <w:basedOn w:val="Normal"/>
    <w:rsid w:val="005265FE"/>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9">
    <w:name w:val="xl79"/>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table" w:customStyle="1" w:styleId="DarkList1">
    <w:name w:val="Dark List1"/>
    <w:basedOn w:val="TableNormal"/>
    <w:uiPriority w:val="70"/>
    <w:rsid w:val="005265FE"/>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5265FE"/>
    <w:pPr>
      <w:numPr>
        <w:numId w:val="4"/>
      </w:numPr>
    </w:pPr>
  </w:style>
  <w:style w:type="numbering" w:customStyle="1" w:styleId="Style2">
    <w:name w:val="Style2"/>
    <w:uiPriority w:val="99"/>
    <w:rsid w:val="005265FE"/>
    <w:pPr>
      <w:numPr>
        <w:numId w:val="5"/>
      </w:numPr>
    </w:pPr>
  </w:style>
  <w:style w:type="numbering" w:customStyle="1" w:styleId="Style3">
    <w:name w:val="Style3"/>
    <w:uiPriority w:val="99"/>
    <w:rsid w:val="005265FE"/>
    <w:pPr>
      <w:numPr>
        <w:numId w:val="6"/>
      </w:numPr>
    </w:pPr>
  </w:style>
  <w:style w:type="paragraph" w:customStyle="1" w:styleId="plist">
    <w:name w:val="plist"/>
    <w:basedOn w:val="Normal"/>
    <w:uiPriority w:val="99"/>
    <w:rsid w:val="005265FE"/>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MS Mincho" w:hAnsi="Verdana"/>
      <w:sz w:val="18"/>
      <w:szCs w:val="18"/>
      <w:lang w:val="en-US" w:eastAsia="zh-CN"/>
    </w:rPr>
  </w:style>
  <w:style w:type="character" w:customStyle="1" w:styleId="lang-en">
    <w:name w:val="lang-en"/>
    <w:basedOn w:val="DefaultParagraphFont"/>
    <w:rsid w:val="005265FE"/>
  </w:style>
  <w:style w:type="paragraph" w:customStyle="1" w:styleId="aatinBodyCalibri">
    <w:name w:val="aatin) +Body (Calibri)"/>
    <w:aliases w:val="14 pt,Centered"/>
    <w:basedOn w:val="Normal"/>
    <w:rsid w:val="005265FE"/>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5265FE"/>
  </w:style>
  <w:style w:type="numbering" w:customStyle="1" w:styleId="NoList1">
    <w:name w:val="No List1"/>
    <w:next w:val="NoList"/>
    <w:uiPriority w:val="99"/>
    <w:semiHidden/>
    <w:unhideWhenUsed/>
    <w:rsid w:val="005265FE"/>
  </w:style>
  <w:style w:type="numbering" w:customStyle="1" w:styleId="NoList2">
    <w:name w:val="No List2"/>
    <w:next w:val="NoList"/>
    <w:uiPriority w:val="99"/>
    <w:semiHidden/>
    <w:unhideWhenUsed/>
    <w:rsid w:val="005265FE"/>
  </w:style>
  <w:style w:type="paragraph" w:customStyle="1" w:styleId="xl80">
    <w:name w:val="xl80"/>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1">
    <w:name w:val="xl81"/>
    <w:basedOn w:val="Normal"/>
    <w:rsid w:val="005265FE"/>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2">
    <w:name w:val="xl82"/>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cs="Calibri"/>
      <w:color w:val="000000"/>
      <w:sz w:val="22"/>
      <w:szCs w:val="22"/>
      <w:lang w:val="en-US" w:eastAsia="zh-CN"/>
    </w:rPr>
  </w:style>
  <w:style w:type="paragraph" w:customStyle="1" w:styleId="xl83">
    <w:name w:val="xl83"/>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4">
    <w:name w:val="xl84"/>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5">
    <w:name w:val="xl85"/>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b/>
      <w:bCs/>
      <w:color w:val="000000"/>
      <w:sz w:val="22"/>
      <w:szCs w:val="22"/>
      <w:lang w:val="en-US" w:eastAsia="zh-CN"/>
    </w:rPr>
  </w:style>
  <w:style w:type="paragraph" w:customStyle="1" w:styleId="xl86">
    <w:name w:val="xl86"/>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7">
    <w:name w:val="xl87"/>
    <w:basedOn w:val="Normal"/>
    <w:rsid w:val="005265FE"/>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8">
    <w:name w:val="xl88"/>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89">
    <w:name w:val="xl89"/>
    <w:basedOn w:val="Normal"/>
    <w:rsid w:val="005265FE"/>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0">
    <w:name w:val="xl90"/>
    <w:basedOn w:val="Normal"/>
    <w:rsid w:val="005265FE"/>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91">
    <w:name w:val="xl91"/>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2">
    <w:name w:val="xl92"/>
    <w:basedOn w:val="Normal"/>
    <w:rsid w:val="005265FE"/>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3">
    <w:name w:val="xl93"/>
    <w:basedOn w:val="Normal"/>
    <w:rsid w:val="00526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0"/>
      <w:lang w:val="en-US" w:eastAsia="zh-CN"/>
    </w:rPr>
  </w:style>
  <w:style w:type="character" w:customStyle="1" w:styleId="BalloonTextChar1">
    <w:name w:val="Balloon Text Char1"/>
    <w:basedOn w:val="DefaultParagraphFont"/>
    <w:rsid w:val="005265FE"/>
    <w:rPr>
      <w:rFonts w:ascii="Tahoma" w:eastAsiaTheme="minorEastAsia" w:hAnsi="Tahoma" w:cs="Tahoma"/>
      <w:sz w:val="16"/>
      <w:szCs w:val="16"/>
    </w:rPr>
  </w:style>
  <w:style w:type="paragraph" w:customStyle="1" w:styleId="Tt">
    <w:name w:val="Tt"/>
    <w:basedOn w:val="Annextitle"/>
    <w:rsid w:val="005265FE"/>
    <w:pPr>
      <w:tabs>
        <w:tab w:val="clear" w:pos="567"/>
        <w:tab w:val="clear" w:pos="1134"/>
        <w:tab w:val="clear" w:pos="1701"/>
        <w:tab w:val="clear" w:pos="2268"/>
        <w:tab w:val="clear" w:pos="2835"/>
      </w:tabs>
      <w:overflowPunct/>
      <w:autoSpaceDE/>
      <w:autoSpaceDN/>
      <w:adjustRightInd/>
      <w:spacing w:line="276" w:lineRule="auto"/>
      <w:textAlignment w:val="auto"/>
    </w:pPr>
    <w:rPr>
      <w:rFonts w:asciiTheme="minorHAnsi" w:eastAsiaTheme="minorEastAsia" w:hAnsiTheme="minorHAnsi" w:cstheme="minorBidi"/>
      <w:szCs w:val="22"/>
      <w:lang w:val="fr-CH" w:eastAsia="zh-CN"/>
    </w:rPr>
  </w:style>
  <w:style w:type="paragraph" w:styleId="BlockText">
    <w:name w:val="Block Text"/>
    <w:basedOn w:val="Normal"/>
    <w:rsid w:val="005265FE"/>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Batang" w:hAnsi="Univers"/>
      <w:sz w:val="21"/>
      <w:szCs w:val="21"/>
      <w:lang w:val="en-GB"/>
    </w:rPr>
  </w:style>
  <w:style w:type="character" w:styleId="Emphasis">
    <w:name w:val="Emphasis"/>
    <w:basedOn w:val="DefaultParagraphFont"/>
    <w:qFormat/>
    <w:rsid w:val="005265FE"/>
    <w:rPr>
      <w:i/>
      <w:iCs/>
    </w:rPr>
  </w:style>
  <w:style w:type="character" w:customStyle="1" w:styleId="intro">
    <w:name w:val="intro"/>
    <w:basedOn w:val="DefaultParagraphFont"/>
    <w:rsid w:val="005265FE"/>
  </w:style>
  <w:style w:type="character" w:customStyle="1" w:styleId="TabletextChar">
    <w:name w:val="Table_text Char"/>
    <w:link w:val="Tabletext"/>
    <w:locked/>
    <w:rsid w:val="005265FE"/>
    <w:rPr>
      <w:rFonts w:ascii="Calibri" w:hAnsi="Calibri"/>
      <w:sz w:val="22"/>
      <w:lang w:val="fr-FR" w:eastAsia="en-US"/>
    </w:rPr>
  </w:style>
  <w:style w:type="paragraph" w:customStyle="1" w:styleId="elencopuntato1">
    <w:name w:val="elenco puntato 1"/>
    <w:basedOn w:val="ListParagraph"/>
    <w:qFormat/>
    <w:rsid w:val="005265FE"/>
    <w:pPr>
      <w:numPr>
        <w:numId w:val="7"/>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Calibri" w:hAnsi="Arial"/>
      <w:szCs w:val="24"/>
      <w:lang w:eastAsia="it-IT"/>
    </w:rPr>
  </w:style>
  <w:style w:type="paragraph" w:styleId="HTMLPreformatted">
    <w:name w:val="HTML Preformatted"/>
    <w:basedOn w:val="Normal"/>
    <w:link w:val="HTMLPreformattedChar"/>
    <w:semiHidden/>
    <w:unhideWhenUsed/>
    <w:rsid w:val="005265FE"/>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5265FE"/>
    <w:rPr>
      <w:rFonts w:ascii="Consolas" w:hAnsi="Consolas" w:cs="Consolas"/>
      <w:lang w:val="fr-FR" w:eastAsia="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5265FE"/>
    <w:rPr>
      <w:rFonts w:ascii="Calibri" w:eastAsia="Batang" w:hAnsi="Calibri"/>
      <w:sz w:val="24"/>
      <w:lang w:val="en-GB" w:eastAsia="en-US"/>
    </w:rPr>
  </w:style>
  <w:style w:type="numbering" w:customStyle="1" w:styleId="ListNo">
    <w:name w:val="List No"/>
    <w:uiPriority w:val="99"/>
    <w:semiHidden/>
    <w:unhideWhenUsed/>
    <w:rsid w:val="005265FE"/>
  </w:style>
  <w:style w:type="paragraph" w:customStyle="1" w:styleId="FooterSpecial">
    <w:name w:val="Footer Special"/>
    <w:basedOn w:val="Footer"/>
    <w:rsid w:val="005265FE"/>
    <w:pPr>
      <w:tabs>
        <w:tab w:val="left" w:pos="567"/>
        <w:tab w:val="left" w:pos="1134"/>
        <w:tab w:val="left" w:pos="1701"/>
        <w:tab w:val="left" w:pos="2268"/>
        <w:tab w:val="left" w:pos="2835"/>
      </w:tabs>
      <w:jc w:val="both"/>
    </w:pPr>
    <w:rPr>
      <w:caps w:val="0"/>
      <w:noProof w:val="0"/>
    </w:rPr>
  </w:style>
  <w:style w:type="numbering" w:customStyle="1" w:styleId="Style11">
    <w:name w:val="Style11"/>
    <w:uiPriority w:val="99"/>
    <w:rsid w:val="005265FE"/>
    <w:pPr>
      <w:numPr>
        <w:numId w:val="1"/>
      </w:numPr>
    </w:pPr>
  </w:style>
  <w:style w:type="numbering" w:customStyle="1" w:styleId="Style21">
    <w:name w:val="Style21"/>
    <w:uiPriority w:val="99"/>
    <w:rsid w:val="005265FE"/>
    <w:pPr>
      <w:numPr>
        <w:numId w:val="2"/>
      </w:numPr>
    </w:pPr>
  </w:style>
  <w:style w:type="numbering" w:customStyle="1" w:styleId="Style31">
    <w:name w:val="Style31"/>
    <w:uiPriority w:val="99"/>
    <w:rsid w:val="005265FE"/>
    <w:pPr>
      <w:numPr>
        <w:numId w:val="3"/>
      </w:numPr>
    </w:pPr>
  </w:style>
  <w:style w:type="table" w:customStyle="1" w:styleId="TableGrid1">
    <w:name w:val="Table Grid1"/>
    <w:basedOn w:val="TableNormal"/>
    <w:next w:val="TableGrid"/>
    <w:uiPriority w:val="39"/>
    <w:rsid w:val="005265FE"/>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ListParagraph"/>
    <w:rsid w:val="005265FE"/>
    <w:pPr>
      <w:numPr>
        <w:numId w:val="8"/>
      </w:numPr>
      <w:tabs>
        <w:tab w:val="clear" w:pos="567"/>
        <w:tab w:val="clear" w:pos="1134"/>
        <w:tab w:val="clear" w:pos="1701"/>
        <w:tab w:val="clear" w:pos="2268"/>
        <w:tab w:val="clear" w:pos="2835"/>
      </w:tabs>
      <w:overflowPunct/>
      <w:autoSpaceDE/>
      <w:autoSpaceDN/>
      <w:adjustRightInd/>
      <w:spacing w:before="0" w:after="160" w:line="480" w:lineRule="auto"/>
      <w:ind w:left="927"/>
      <w:textAlignment w:val="auto"/>
    </w:pPr>
    <w:rPr>
      <w:rFonts w:eastAsia="SimSun" w:cs="Calibri"/>
      <w:sz w:val="22"/>
      <w:szCs w:val="22"/>
      <w:lang w:val="fr-FR" w:eastAsia="zh-CN"/>
    </w:rPr>
  </w:style>
  <w:style w:type="table" w:styleId="GridTable4-Accent3">
    <w:name w:val="Grid Table 4 Accent 3"/>
    <w:basedOn w:val="TableNormal"/>
    <w:uiPriority w:val="49"/>
    <w:rsid w:val="005265F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5">
    <w:name w:val="Table Grid5"/>
    <w:basedOn w:val="TableNormal"/>
    <w:next w:val="TableGrid"/>
    <w:uiPriority w:val="39"/>
    <w:rsid w:val="005265FE"/>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
    <w:name w:val="Title + 14 pt"/>
    <w:aliases w:val="Before:  30 pt"/>
    <w:basedOn w:val="Title"/>
    <w:rsid w:val="002178B4"/>
    <w:pPr>
      <w:spacing w:before="600"/>
    </w:pPr>
    <w:rPr>
      <w:sz w:val="28"/>
      <w:szCs w:val="28"/>
    </w:rPr>
  </w:style>
  <w:style w:type="character" w:customStyle="1" w:styleId="UnresolvedMention2">
    <w:name w:val="Unresolved Mention2"/>
    <w:basedOn w:val="DefaultParagraphFont"/>
    <w:uiPriority w:val="99"/>
    <w:semiHidden/>
    <w:unhideWhenUsed/>
    <w:rsid w:val="002E0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nsystem.org/fr/content/bienvenue" TargetMode="External"/><Relationship Id="rId21" Type="http://schemas.openxmlformats.org/officeDocument/2006/relationships/image" Target="media/image6.emf"/><Relationship Id="rId42" Type="http://schemas.openxmlformats.org/officeDocument/2006/relationships/header" Target="header1.xml"/><Relationship Id="rId47" Type="http://schemas.openxmlformats.org/officeDocument/2006/relationships/footer" Target="footer3.xml"/><Relationship Id="rId63" Type="http://schemas.openxmlformats.org/officeDocument/2006/relationships/header" Target="header5.xml"/><Relationship Id="rId68" Type="http://schemas.openxmlformats.org/officeDocument/2006/relationships/image" Target="media/image13.emf"/><Relationship Id="rId84" Type="http://schemas.openxmlformats.org/officeDocument/2006/relationships/footer" Target="footer9.xml"/><Relationship Id="rId89" Type="http://schemas.openxmlformats.org/officeDocument/2006/relationships/header" Target="header10.xml"/><Relationship Id="rId16" Type="http://schemas.openxmlformats.org/officeDocument/2006/relationships/chart" Target="charts/chart3.xml"/><Relationship Id="rId11" Type="http://schemas.openxmlformats.org/officeDocument/2006/relationships/image" Target="media/image2.png"/><Relationship Id="rId32" Type="http://schemas.openxmlformats.org/officeDocument/2006/relationships/hyperlink" Target="https://www.itu.int/online/mm/scripts/gensel8?lang=?lang=fr" TargetMode="External"/><Relationship Id="rId37" Type="http://schemas.openxmlformats.org/officeDocument/2006/relationships/hyperlink" Target="https://www.itu.int/fr/ITU-R/conferences/RRB/Pages/default.aspx" TargetMode="External"/><Relationship Id="rId53" Type="http://schemas.openxmlformats.org/officeDocument/2006/relationships/hyperlink" Target="https://www.itu.int/md/S20-CL-C-0075/en" TargetMode="External"/><Relationship Id="rId58" Type="http://schemas.openxmlformats.org/officeDocument/2006/relationships/image" Target="media/image12.emf"/><Relationship Id="rId74" Type="http://schemas.openxmlformats.org/officeDocument/2006/relationships/image" Target="media/image19.emf"/><Relationship Id="rId79" Type="http://schemas.openxmlformats.org/officeDocument/2006/relationships/image" Target="media/image24.emf"/><Relationship Id="rId5" Type="http://schemas.openxmlformats.org/officeDocument/2006/relationships/webSettings" Target="webSettings.xml"/><Relationship Id="rId90" Type="http://schemas.openxmlformats.org/officeDocument/2006/relationships/header" Target="header11.xml"/><Relationship Id="rId95" Type="http://schemas.openxmlformats.org/officeDocument/2006/relationships/theme" Target="theme/theme1.xml"/><Relationship Id="rId22" Type="http://schemas.openxmlformats.org/officeDocument/2006/relationships/image" Target="media/image7.emf"/><Relationship Id="rId27" Type="http://schemas.openxmlformats.org/officeDocument/2006/relationships/hyperlink" Target="http://www.itu.int/ITU-R/index.asp?category=information&amp;link=rhome&amp;lang=fr" TargetMode="External"/><Relationship Id="rId43" Type="http://schemas.openxmlformats.org/officeDocument/2006/relationships/header" Target="header2.xml"/><Relationship Id="rId48" Type="http://schemas.openxmlformats.org/officeDocument/2006/relationships/footer" Target="footer4.xml"/><Relationship Id="rId64" Type="http://schemas.openxmlformats.org/officeDocument/2006/relationships/footer" Target="footer6.xml"/><Relationship Id="rId69" Type="http://schemas.openxmlformats.org/officeDocument/2006/relationships/image" Target="media/image14.emf"/><Relationship Id="rId8" Type="http://schemas.openxmlformats.org/officeDocument/2006/relationships/image" Target="media/image1.jpeg"/><Relationship Id="rId51" Type="http://schemas.openxmlformats.org/officeDocument/2006/relationships/image" Target="media/image11.emf"/><Relationship Id="rId72" Type="http://schemas.openxmlformats.org/officeDocument/2006/relationships/image" Target="media/image17.emf"/><Relationship Id="rId80" Type="http://schemas.openxmlformats.org/officeDocument/2006/relationships/image" Target="media/image25.emf"/><Relationship Id="rId85" Type="http://schemas.openxmlformats.org/officeDocument/2006/relationships/header" Target="header8.xml"/><Relationship Id="rId93" Type="http://schemas.openxmlformats.org/officeDocument/2006/relationships/footer" Target="footer14.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image" Target="media/image10.emf"/><Relationship Id="rId33" Type="http://schemas.openxmlformats.org/officeDocument/2006/relationships/hyperlink" Target="http://www.itu.int/online/mm/scripts/gensel11?lang=fr&amp;_memb=S" TargetMode="External"/><Relationship Id="rId38" Type="http://schemas.openxmlformats.org/officeDocument/2006/relationships/hyperlink" Target="http://www.itu.int/ITU-R/index.asp?category=conferences&amp;link=rrb&amp;lang=en" TargetMode="External"/><Relationship Id="rId46" Type="http://schemas.openxmlformats.org/officeDocument/2006/relationships/header" Target="header3.xml"/><Relationship Id="rId59" Type="http://schemas.openxmlformats.org/officeDocument/2006/relationships/hyperlink" Target="https://www.itu.int/en/council/Documents/basic-texts/Convention-F.pdf" TargetMode="External"/><Relationship Id="rId67" Type="http://schemas.openxmlformats.org/officeDocument/2006/relationships/footer" Target="footer8.xml"/><Relationship Id="rId20" Type="http://schemas.openxmlformats.org/officeDocument/2006/relationships/image" Target="media/image5.emf"/><Relationship Id="rId41" Type="http://schemas.openxmlformats.org/officeDocument/2006/relationships/hyperlink" Target="https://www.unjspf.org/fr/" TargetMode="External"/><Relationship Id="rId54" Type="http://schemas.openxmlformats.org/officeDocument/2006/relationships/hyperlink" Target="https://www.itu.int/md/S21-CL-C-0063/en" TargetMode="External"/><Relationship Id="rId62" Type="http://schemas.openxmlformats.org/officeDocument/2006/relationships/hyperlink" Target="https://www.itu.int/md/S22-CL-C-0042/en" TargetMode="External"/><Relationship Id="rId70" Type="http://schemas.openxmlformats.org/officeDocument/2006/relationships/image" Target="media/image15.emf"/><Relationship Id="rId75" Type="http://schemas.openxmlformats.org/officeDocument/2006/relationships/image" Target="media/image20.emf"/><Relationship Id="rId83" Type="http://schemas.openxmlformats.org/officeDocument/2006/relationships/header" Target="header7.xml"/><Relationship Id="rId88" Type="http://schemas.openxmlformats.org/officeDocument/2006/relationships/footer" Target="footer11.xml"/><Relationship Id="rId9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8.emf"/><Relationship Id="rId28" Type="http://schemas.openxmlformats.org/officeDocument/2006/relationships/hyperlink" Target="https://www.itu.int/fr/ITU-T/Pages/default.aspx" TargetMode="External"/><Relationship Id="rId36" Type="http://schemas.openxmlformats.org/officeDocument/2006/relationships/hyperlink" Target="http://www.itu.int/council/index-en.html" TargetMode="External"/><Relationship Id="rId49" Type="http://schemas.openxmlformats.org/officeDocument/2006/relationships/header" Target="header4.xml"/><Relationship Id="rId57" Type="http://schemas.openxmlformats.org/officeDocument/2006/relationships/hyperlink" Target="https://www.itu.int/md/S21-CL-C-0074/en" TargetMode="External"/><Relationship Id="rId10" Type="http://schemas.openxmlformats.org/officeDocument/2006/relationships/hyperlink" Target="https://www.itu.int/en/council/Documents/Financial-Regulations/S-GEN-REG_RGTFIN-2018-PDF-F.pdf" TargetMode="External"/><Relationship Id="rId31" Type="http://schemas.openxmlformats.org/officeDocument/2006/relationships/hyperlink" Target="https://www.itu.int/fr/about/Pages/default.aspx" TargetMode="External"/><Relationship Id="rId44" Type="http://schemas.openxmlformats.org/officeDocument/2006/relationships/footer" Target="footer1.xml"/><Relationship Id="rId52" Type="http://schemas.openxmlformats.org/officeDocument/2006/relationships/hyperlink" Target="https://www.itu.int/dms_ties/itu-s/md/20/cl/c/S20-CL-C-0074!!PDF-F.pdf" TargetMode="External"/><Relationship Id="rId60" Type="http://schemas.openxmlformats.org/officeDocument/2006/relationships/hyperlink" Target="https://www.itu.int/en/council/Documents/Financial-Regulations/S-GEN-REG_RGTFIN-2018-PDF-F.pdf" TargetMode="External"/><Relationship Id="rId65" Type="http://schemas.openxmlformats.org/officeDocument/2006/relationships/footer" Target="footer7.xml"/><Relationship Id="rId73" Type="http://schemas.openxmlformats.org/officeDocument/2006/relationships/image" Target="media/image18.emf"/><Relationship Id="rId78" Type="http://schemas.openxmlformats.org/officeDocument/2006/relationships/image" Target="media/image23.emf"/><Relationship Id="rId81" Type="http://schemas.openxmlformats.org/officeDocument/2006/relationships/image" Target="media/image26.emf"/><Relationship Id="rId86" Type="http://schemas.openxmlformats.org/officeDocument/2006/relationships/footer" Target="footer10.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Convention-f.pdf" TargetMode="External"/><Relationship Id="rId13" Type="http://schemas.openxmlformats.org/officeDocument/2006/relationships/image" Target="media/image4.png"/><Relationship Id="rId18" Type="http://schemas.openxmlformats.org/officeDocument/2006/relationships/chart" Target="charts/chart5.xml"/><Relationship Id="rId39" Type="http://schemas.openxmlformats.org/officeDocument/2006/relationships/hyperlink" Target="https://www.itu.int/md/S16-CL-C-0124/en" TargetMode="External"/><Relationship Id="rId34" Type="http://schemas.openxmlformats.org/officeDocument/2006/relationships/hyperlink" Target="http://www.itu.int/online/mm/scripts/gensel11?lang=fr&amp;_memb=A" TargetMode="External"/><Relationship Id="rId50" Type="http://schemas.openxmlformats.org/officeDocument/2006/relationships/footer" Target="footer5.xml"/><Relationship Id="rId55" Type="http://schemas.openxmlformats.org/officeDocument/2006/relationships/hyperlink" Target="https://www.itu.int/md/S21-CL-C-0007/en" TargetMode="External"/><Relationship Id="rId76" Type="http://schemas.openxmlformats.org/officeDocument/2006/relationships/image" Target="media/image21.emf"/><Relationship Id="rId7" Type="http://schemas.openxmlformats.org/officeDocument/2006/relationships/endnotes" Target="endnotes.xml"/><Relationship Id="rId71" Type="http://schemas.openxmlformats.org/officeDocument/2006/relationships/image" Target="media/image16.emf"/><Relationship Id="rId92" Type="http://schemas.openxmlformats.org/officeDocument/2006/relationships/footer" Target="footer13.xml"/><Relationship Id="rId2" Type="http://schemas.openxmlformats.org/officeDocument/2006/relationships/numbering" Target="numbering.xml"/><Relationship Id="rId29" Type="http://schemas.openxmlformats.org/officeDocument/2006/relationships/hyperlink" Target="http://www.itu.int/net/ITU-D/index-fr.aspx" TargetMode="External"/><Relationship Id="rId24" Type="http://schemas.openxmlformats.org/officeDocument/2006/relationships/image" Target="media/image9.emf"/><Relationship Id="rId40" Type="http://schemas.openxmlformats.org/officeDocument/2006/relationships/hyperlink" Target="https://www.itu.int/md/S21-CL-C-0046/en" TargetMode="External"/><Relationship Id="rId45" Type="http://schemas.openxmlformats.org/officeDocument/2006/relationships/footer" Target="footer2.xml"/><Relationship Id="rId66" Type="http://schemas.openxmlformats.org/officeDocument/2006/relationships/header" Target="header6.xml"/><Relationship Id="rId87" Type="http://schemas.openxmlformats.org/officeDocument/2006/relationships/header" Target="header9.xml"/><Relationship Id="rId61" Type="http://schemas.openxmlformats.org/officeDocument/2006/relationships/hyperlink" Target="http://www.itu.int/md/S22-CL-C-0040/en" TargetMode="External"/><Relationship Id="rId82" Type="http://schemas.openxmlformats.org/officeDocument/2006/relationships/image" Target="media/image27.emf"/><Relationship Id="rId19" Type="http://schemas.openxmlformats.org/officeDocument/2006/relationships/chart" Target="charts/chart6.xml"/><Relationship Id="rId14" Type="http://schemas.openxmlformats.org/officeDocument/2006/relationships/chart" Target="charts/chart1.xml"/><Relationship Id="rId30" Type="http://schemas.openxmlformats.org/officeDocument/2006/relationships/hyperlink" Target="http://www.itu.int/ITUTELECOM/index-fr.html" TargetMode="External"/><Relationship Id="rId35" Type="http://schemas.openxmlformats.org/officeDocument/2006/relationships/hyperlink" Target="http://www.itu.int/online/mm/scripts/gensel11?lang=fr&amp;_memb=U" TargetMode="External"/><Relationship Id="rId56" Type="http://schemas.openxmlformats.org/officeDocument/2006/relationships/hyperlink" Target="https://www.itu.int/md/S20-CL-C-0042/en" TargetMode="External"/><Relationship Id="rId77" Type="http://schemas.openxmlformats.org/officeDocument/2006/relationships/image" Target="media/image22.emf"/></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CONSEIL\483238\figures-p6-7-8-9-11-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20\MAQUETTE%20BOUCLEMENT%202020-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appxchg\APP\CONF\RefDocs\CONSEIL\483238\figures-p6-7-8-9-11-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appxchg\APP\CONF\RefDocs\CONSEIL\483238\figures-p6-7-8-9-11-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appxchg\APP\CONF\RefDocs\CONSEIL\483238\figures-p6-7-8-9-11-1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20\MAQUETTE%20BOUCLEMENT%202020-clair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71733554675E-2"/>
          <c:y val="0.11012370325195053"/>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A970-44DF-8CFB-7E4EAE742D89}"/>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A970-44DF-8CFB-7E4EAE742D89}"/>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A970-44DF-8CFB-7E4EAE742D89}"/>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A970-44DF-8CFB-7E4EAE742D89}"/>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A970-44DF-8CFB-7E4EAE742D89}"/>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A970-44DF-8CFB-7E4EAE742D89}"/>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A970-44DF-8CFB-7E4EAE742D89}"/>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A970-44DF-8CFB-7E4EAE742D89}"/>
              </c:ext>
            </c:extLst>
          </c:dPt>
          <c:dLbls>
            <c:dLbl>
              <c:idx val="0"/>
              <c:tx>
                <c:rich>
                  <a:bodyPr/>
                  <a:lstStyle/>
                  <a:p>
                    <a:r>
                      <a:rPr lang="en-US" sz="900" b="0" i="0" u="none" strike="noStrike" kern="1200" baseline="0">
                        <a:solidFill>
                          <a:schemeClr val="bg1"/>
                        </a:solidFill>
                      </a:rPr>
                      <a:t>Contributions mises en recouvrement</a:t>
                    </a:r>
                    <a:r>
                      <a:rPr lang="en-US" baseline="0">
                        <a:solidFill>
                          <a:schemeClr val="bg1"/>
                        </a:solidFill>
                      </a:rPr>
                      <a:t>
74%</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970-44DF-8CFB-7E4EAE742D89}"/>
                </c:ext>
              </c:extLst>
            </c:dLbl>
            <c:dLbl>
              <c:idx val="1"/>
              <c:layout>
                <c:manualLayout>
                  <c:x val="-4.5951165441787366E-2"/>
                  <c:y val="-4.9419172921856103E-2"/>
                </c:manualLayout>
              </c:layout>
              <c:tx>
                <c:rich>
                  <a:bodyPr/>
                  <a:lstStyle/>
                  <a:p>
                    <a:r>
                      <a:rPr lang="en-US" sz="900" b="0" i="0" u="none" strike="noStrike" kern="1200" baseline="0">
                        <a:solidFill>
                          <a:sysClr val="windowText" lastClr="000000"/>
                        </a:solidFill>
                      </a:rPr>
                      <a:t>Contributions volontaires</a:t>
                    </a:r>
                    <a:r>
                      <a:rPr lang="en-US" baseline="0"/>
                      <a:t>
</a:t>
                    </a:r>
                    <a:fld id="{882DCE30-0484-45FD-A125-880FFCD14EBF}" type="PERCENTAGE">
                      <a:rPr lang="en-US" baseline="0"/>
                      <a:pPr/>
                      <a:t>[PERCENTAGE]</a:t>
                    </a:fld>
                    <a:endParaRPr 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970-44DF-8CFB-7E4EAE742D89}"/>
                </c:ext>
              </c:extLst>
            </c:dLbl>
            <c:dLbl>
              <c:idx val="2"/>
              <c:layout>
                <c:manualLayout>
                  <c:x val="9.322162131868747E-3"/>
                  <c:y val="-2.1066804803912001E-2"/>
                </c:manualLayout>
              </c:layout>
              <c:tx>
                <c:rich>
                  <a:bodyPr/>
                  <a:lstStyle/>
                  <a:p>
                    <a:r>
                      <a:rPr lang="en-US" sz="900" b="0" i="0" u="none" strike="noStrike" kern="1200" baseline="0">
                        <a:solidFill>
                          <a:sysClr val="windowText" lastClr="000000"/>
                        </a:solidFill>
                      </a:rPr>
                      <a:t>Produits financiers</a:t>
                    </a:r>
                    <a:r>
                      <a:rPr lang="en-US" baseline="0"/>
                      <a:t>
–</a:t>
                    </a:r>
                    <a:fld id="{C946D024-7D96-4BC9-8CA5-80DE7FAACE1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970-44DF-8CFB-7E4EAE742D89}"/>
                </c:ext>
              </c:extLst>
            </c:dLbl>
            <c:dLbl>
              <c:idx val="3"/>
              <c:delete val="1"/>
              <c:extLst>
                <c:ext xmlns:c15="http://schemas.microsoft.com/office/drawing/2012/chart" uri="{CE6537A1-D6FC-4f65-9D91-7224C49458BB}"/>
                <c:ext xmlns:c16="http://schemas.microsoft.com/office/drawing/2014/chart" uri="{C3380CC4-5D6E-409C-BE32-E72D297353CC}">
                  <c16:uniqueId val="{00000007-A970-44DF-8CFB-7E4EAE742D89}"/>
                </c:ext>
              </c:extLst>
            </c:dLbl>
            <c:dLbl>
              <c:idx val="4"/>
              <c:layout>
                <c:manualLayout>
                  <c:x val="-0.12165331185453679"/>
                  <c:y val="2.4180462635792392E-3"/>
                </c:manualLayout>
              </c:layout>
              <c:tx>
                <c:rich>
                  <a:bodyPr/>
                  <a:lstStyle/>
                  <a:p>
                    <a:r>
                      <a:rPr lang="en-US" sz="900" b="0" i="0" u="none" strike="noStrike" kern="1200" baseline="0">
                        <a:solidFill>
                          <a:sysClr val="windowText" lastClr="000000"/>
                        </a:solidFill>
                      </a:rPr>
                      <a:t>Ventes des publications</a:t>
                    </a:r>
                    <a:r>
                      <a:rPr lang="en-US" baseline="0">
                        <a:solidFill>
                          <a:sysClr val="windowText" lastClr="000000"/>
                        </a:solidFill>
                      </a:rPr>
                      <a:t>
43%</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A970-44DF-8CFB-7E4EAE742D89}"/>
                </c:ext>
              </c:extLst>
            </c:dLbl>
            <c:dLbl>
              <c:idx val="5"/>
              <c:layout>
                <c:manualLayout>
                  <c:x val="-0.10193735042378971"/>
                  <c:y val="2.9353278448394421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sz="800" b="0" i="0" u="none" strike="noStrike" kern="1200" baseline="0">
                        <a:solidFill>
                          <a:sysClr val="windowText" lastClr="000000"/>
                        </a:solidFill>
                      </a:rPr>
                      <a:t>Fiches de notification des réseaux à satellite</a:t>
                    </a:r>
                    <a:r>
                      <a:rPr lang="en-US" sz="800" baseline="0">
                        <a:solidFill>
                          <a:sysClr val="windowText" lastClr="000000"/>
                        </a:solidFill>
                      </a:rPr>
                      <a:t>
34%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extLst>
                <c:ext xmlns:c15="http://schemas.microsoft.com/office/drawing/2012/chart" uri="{CE6537A1-D6FC-4f65-9D91-7224C49458BB}">
                  <c15:layout>
                    <c:manualLayout>
                      <c:w val="0.15982150379350729"/>
                      <c:h val="0.13441261755720171"/>
                    </c:manualLayout>
                  </c15:layout>
                  <c15:showDataLabelsRange val="0"/>
                </c:ext>
                <c:ext xmlns:c16="http://schemas.microsoft.com/office/drawing/2014/chart" uri="{C3380CC4-5D6E-409C-BE32-E72D297353CC}">
                  <c16:uniqueId val="{0000000B-A970-44DF-8CFB-7E4EAE742D89}"/>
                </c:ext>
              </c:extLst>
            </c:dLbl>
            <c:dLbl>
              <c:idx val="6"/>
              <c:layout>
                <c:manualLayout>
                  <c:x val="-9.8889403850220658E-2"/>
                  <c:y val="5.4967529852486124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sz="900" b="0" i="0" u="none" strike="noStrike" kern="1200" baseline="0">
                        <a:solidFill>
                          <a:sysClr val="windowText" lastClr="000000"/>
                        </a:solidFill>
                      </a:rPr>
                      <a:t>Autres produits d'exploitation</a:t>
                    </a:r>
                  </a:p>
                  <a:p>
                    <a:pPr>
                      <a:defRPr>
                        <a:solidFill>
                          <a:sysClr val="windowText" lastClr="000000"/>
                        </a:solidFill>
                      </a:defRPr>
                    </a:pPr>
                    <a:r>
                      <a:rPr lang="en-US" baseline="0">
                        <a:solidFill>
                          <a:sysClr val="windowText" lastClr="000000"/>
                        </a:solidFill>
                      </a:rPr>
                      <a:t>23%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extLst>
                <c:ext xmlns:c15="http://schemas.microsoft.com/office/drawing/2012/chart" uri="{CE6537A1-D6FC-4f65-9D91-7224C49458BB}">
                  <c15:layout>
                    <c:manualLayout>
                      <c:w val="0.173124655714332"/>
                      <c:h val="0.1145394592722761"/>
                    </c:manualLayout>
                  </c15:layout>
                  <c15:showDataLabelsRange val="0"/>
                </c:ext>
                <c:ext xmlns:c16="http://schemas.microsoft.com/office/drawing/2014/chart" uri="{C3380CC4-5D6E-409C-BE32-E72D297353CC}">
                  <c16:uniqueId val="{0000000D-A970-44DF-8CFB-7E4EAE742D89}"/>
                </c:ext>
              </c:extLst>
            </c:dLbl>
            <c:dLbl>
              <c:idx val="7"/>
              <c:layout>
                <c:manualLayout>
                  <c:x val="-0.17080346438176711"/>
                  <c:y val="-8.7574339778585912E-3"/>
                </c:manualLayout>
              </c:layout>
              <c:tx>
                <c:rich>
                  <a:bodyPr/>
                  <a:lstStyle/>
                  <a:p>
                    <a:r>
                      <a:rPr lang="en-US" sz="900" b="0" i="0" u="none" strike="noStrike" kern="1200" baseline="0">
                        <a:solidFill>
                          <a:sysClr val="windowText" lastClr="000000"/>
                        </a:solidFill>
                      </a:rPr>
                      <a:t>Produits d'exploitation</a:t>
                    </a:r>
                  </a:p>
                  <a:p>
                    <a:r>
                      <a:rPr lang="en-US" baseline="0">
                        <a:solidFill>
                          <a:sysClr val="windowText" lastClr="000000"/>
                        </a:solidFill>
                      </a:rPr>
                      <a:t>24%</a:t>
                    </a:r>
                    <a:endParaRPr lang="en-US" baseline="0">
                      <a:solidFill>
                        <a:schemeClr val="bg1"/>
                      </a:solidFill>
                    </a:endParaRPr>
                  </a:p>
                </c:rich>
              </c:tx>
              <c:showLegendKey val="1"/>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A970-44DF-8CFB-7E4EAE742D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'[1]Financial Highlights'!$B$33:$B$39</c:f>
              <c:numCache>
                <c:formatCode>General</c:formatCode>
                <c:ptCount val="7"/>
                <c:pt idx="0">
                  <c:v>125740.73</c:v>
                </c:pt>
                <c:pt idx="1">
                  <c:v>8299.5299999999988</c:v>
                </c:pt>
                <c:pt idx="2">
                  <c:v>-4699.99</c:v>
                </c:pt>
                <c:pt idx="3">
                  <c:v>74.180000000000007</c:v>
                </c:pt>
                <c:pt idx="4">
                  <c:v>17115.520000000004</c:v>
                </c:pt>
                <c:pt idx="5">
                  <c:v>13631.29</c:v>
                </c:pt>
                <c:pt idx="6">
                  <c:v>9377.3870000000006</c:v>
                </c:pt>
              </c:numCache>
            </c:numRef>
          </c:val>
          <c:extLst>
            <c:ext xmlns:c16="http://schemas.microsoft.com/office/drawing/2014/chart" uri="{C3380CC4-5D6E-409C-BE32-E72D297353CC}">
              <c16:uniqueId val="{00000010-A970-44DF-8CFB-7E4EAE742D89}"/>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Highlights'!$C$61</c:f>
              <c:strCache>
                <c:ptCount val="1"/>
                <c:pt idx="0">
                  <c:v>2020</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153,825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0A7-4537-A8B9-A257D3CF1348}"/>
                </c:ext>
              </c:extLst>
            </c:dLbl>
            <c:dLbl>
              <c:idx val="1"/>
              <c:tx>
                <c:rich>
                  <a:bodyPr/>
                  <a:lstStyle/>
                  <a:p>
                    <a:r>
                      <a:rPr lang="en-US"/>
                      <a:t>1,003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0A7-4537-A8B9-A257D3CF1348}"/>
                </c:ext>
              </c:extLst>
            </c:dLbl>
            <c:dLbl>
              <c:idx val="2"/>
              <c:layout>
                <c:manualLayout>
                  <c:x val="-1.0374520178441786E-2"/>
                  <c:y val="-2.9795158286778398E-2"/>
                </c:manualLayout>
              </c:layout>
              <c:tx>
                <c:rich>
                  <a:bodyPr/>
                  <a:lstStyle/>
                  <a:p>
                    <a:r>
                      <a:rPr lang="en-US"/>
                      <a:t>14</a:t>
                    </a:r>
                    <a:r>
                      <a:rPr lang="en-US" baseline="0"/>
                      <a:t>,</a:t>
                    </a:r>
                    <a:r>
                      <a:rPr lang="en-US"/>
                      <a:t>512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0A7-4537-A8B9-A257D3CF1348}"/>
                </c:ext>
              </c:extLst>
            </c:dLbl>
            <c:dLbl>
              <c:idx val="3"/>
              <c:layout>
                <c:manualLayout>
                  <c:x val="0"/>
                  <c:y val="-2.9795158286778398E-2"/>
                </c:manualLayout>
              </c:layout>
              <c:tx>
                <c:rich>
                  <a:bodyPr/>
                  <a:lstStyle/>
                  <a:p>
                    <a:r>
                      <a:rPr lang="en-US"/>
                      <a:t>3,004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0A7-4537-A8B9-A257D3CF1348}"/>
                </c:ext>
              </c:extLst>
            </c:dLbl>
            <c:dLbl>
              <c:idx val="4"/>
              <c:layout>
                <c:manualLayout>
                  <c:x val="-8.2996161427533969E-3"/>
                  <c:y val="-4.0968342644320296E-2"/>
                </c:manualLayout>
              </c:layout>
              <c:tx>
                <c:rich>
                  <a:bodyPr/>
                  <a:lstStyle/>
                  <a:p>
                    <a:r>
                      <a:rPr lang="en-US"/>
                      <a:t>2</a:t>
                    </a:r>
                    <a:r>
                      <a:rPr lang="en-US" baseline="0"/>
                      <a:t>,</a:t>
                    </a:r>
                    <a:r>
                      <a:rPr lang="en-US"/>
                      <a:t>896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D0A7-4537-A8B9-A257D3CF1348}"/>
                </c:ext>
              </c:extLst>
            </c:dLbl>
            <c:dLbl>
              <c:idx val="5"/>
              <c:tx>
                <c:rich>
                  <a:bodyPr/>
                  <a:lstStyle/>
                  <a:p>
                    <a:r>
                      <a:rPr lang="en-US"/>
                      <a:t>16</a:t>
                    </a:r>
                    <a:r>
                      <a:rPr lang="en-US" baseline="0"/>
                      <a:t>,</a:t>
                    </a:r>
                    <a:r>
                      <a:rPr lang="en-US"/>
                      <a:t>598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D0A7-4537-A8B9-A257D3CF1348}"/>
                </c:ext>
              </c:extLst>
            </c:dLbl>
            <c:dLbl>
              <c:idx val="6"/>
              <c:tx>
                <c:rich>
                  <a:bodyPr/>
                  <a:lstStyle/>
                  <a:p>
                    <a:r>
                      <a:rPr lang="en-US"/>
                      <a:t>1</a:t>
                    </a:r>
                    <a:r>
                      <a:rPr lang="en-US" baseline="0"/>
                      <a:t>,</a:t>
                    </a:r>
                    <a:r>
                      <a:rPr lang="en-US"/>
                      <a:t>599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D0A7-4537-A8B9-A257D3CF1348}"/>
                </c:ext>
              </c:extLst>
            </c:dLbl>
            <c:dLbl>
              <c:idx val="7"/>
              <c:layout>
                <c:manualLayout>
                  <c:x val="-9.5522370098038295E-3"/>
                  <c:y val="6.0475161987041087E-2"/>
                </c:manualLayout>
              </c:layout>
              <c:tx>
                <c:rich>
                  <a:bodyPr/>
                  <a:lstStyle/>
                  <a:p>
                    <a:r>
                      <a:rPr lang="en-US"/>
                      <a:t>8</a:t>
                    </a:r>
                    <a:r>
                      <a:rPr lang="en-US" baseline="0"/>
                      <a:t>,</a:t>
                    </a:r>
                    <a:r>
                      <a:rPr lang="en-US"/>
                      <a:t>306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0A7-4537-A8B9-A257D3CF1348}"/>
                </c:ext>
              </c:extLst>
            </c:dLbl>
            <c:dLbl>
              <c:idx val="8"/>
              <c:tx>
                <c:rich>
                  <a:bodyPr/>
                  <a:lstStyle/>
                  <a:p>
                    <a:r>
                      <a:rPr lang="en-US"/>
                      <a:t>15</a:t>
                    </a:r>
                    <a:r>
                      <a:rPr lang="en-US" baseline="0"/>
                      <a:t>,</a:t>
                    </a:r>
                    <a:r>
                      <a:rPr lang="en-US"/>
                      <a:t>069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D0A7-4537-A8B9-A257D3CF13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Highlights'!$A$63:$B$71</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Highlights'!$C$63:$C$71</c:f>
              <c:numCache>
                <c:formatCode>#,##0</c:formatCode>
                <c:ptCount val="9"/>
                <c:pt idx="0">
                  <c:v>153825.00902000011</c:v>
                </c:pt>
                <c:pt idx="1">
                  <c:v>1003.2751899999994</c:v>
                </c:pt>
                <c:pt idx="2">
                  <c:v>14512.124170000001</c:v>
                </c:pt>
                <c:pt idx="3">
                  <c:v>3004.1787800000006</c:v>
                </c:pt>
                <c:pt idx="4">
                  <c:v>2895.7347000000013</c:v>
                </c:pt>
                <c:pt idx="5">
                  <c:v>16598.213210000002</c:v>
                </c:pt>
                <c:pt idx="6">
                  <c:v>1598.8020300000003</c:v>
                </c:pt>
                <c:pt idx="7">
                  <c:v>8306.1690299999991</c:v>
                </c:pt>
                <c:pt idx="8" formatCode="0">
                  <c:v>15069</c:v>
                </c:pt>
              </c:numCache>
            </c:numRef>
          </c:val>
          <c:extLst>
            <c:ext xmlns:c16="http://schemas.microsoft.com/office/drawing/2014/chart" uri="{C3380CC4-5D6E-409C-BE32-E72D297353CC}">
              <c16:uniqueId val="{00000001-D0A7-4537-A8B9-A257D3CF1348}"/>
            </c:ext>
          </c:extLst>
        </c:ser>
        <c:ser>
          <c:idx val="1"/>
          <c:order val="1"/>
          <c:tx>
            <c:strRef>
              <c:f>'Financial Highlights'!$D$61</c:f>
              <c:strCache>
                <c:ptCount val="1"/>
                <c:pt idx="0">
                  <c:v>2019</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0A7-4537-A8B9-A257D3CF1348}"/>
              </c:ext>
            </c:extLst>
          </c:dPt>
          <c:dLbls>
            <c:dLbl>
              <c:idx val="0"/>
              <c:tx>
                <c:rich>
                  <a:bodyPr/>
                  <a:lstStyle/>
                  <a:p>
                    <a:r>
                      <a:rPr lang="en-US"/>
                      <a:t>203,942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0A7-4537-A8B9-A257D3CF1348}"/>
                </c:ext>
              </c:extLst>
            </c:dLbl>
            <c:dLbl>
              <c:idx val="1"/>
              <c:layout>
                <c:manualLayout>
                  <c:x val="0"/>
                  <c:y val="-7.4487895716946681E-3"/>
                </c:manualLayout>
              </c:layout>
              <c:tx>
                <c:rich>
                  <a:bodyPr/>
                  <a:lstStyle/>
                  <a:p>
                    <a:r>
                      <a:rPr lang="en-US"/>
                      <a:t>7</a:t>
                    </a:r>
                    <a:r>
                      <a:rPr lang="en-US" baseline="0"/>
                      <a:t>,</a:t>
                    </a:r>
                    <a:r>
                      <a:rPr lang="en-US"/>
                      <a:t>767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0A7-4537-A8B9-A257D3CF1348}"/>
                </c:ext>
              </c:extLst>
            </c:dLbl>
            <c:dLbl>
              <c:idx val="2"/>
              <c:tx>
                <c:rich>
                  <a:bodyPr/>
                  <a:lstStyle/>
                  <a:p>
                    <a:r>
                      <a:rPr lang="en-US"/>
                      <a:t>13,821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0A7-4537-A8B9-A257D3CF1348}"/>
                </c:ext>
              </c:extLst>
            </c:dLbl>
            <c:dLbl>
              <c:idx val="3"/>
              <c:tx>
                <c:rich>
                  <a:bodyPr/>
                  <a:lstStyle/>
                  <a:p>
                    <a:r>
                      <a:rPr lang="en-US"/>
                      <a:t>4</a:t>
                    </a:r>
                    <a:r>
                      <a:rPr lang="en-US" baseline="0"/>
                      <a:t>,</a:t>
                    </a:r>
                    <a:r>
                      <a:rPr lang="en-US"/>
                      <a:t>175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0A7-4537-A8B9-A257D3CF1348}"/>
                </c:ext>
              </c:extLst>
            </c:dLbl>
            <c:dLbl>
              <c:idx val="4"/>
              <c:layout>
                <c:manualLayout>
                  <c:x val="4.149808071376623E-3"/>
                  <c:y val="-6.8279782299995497E-17"/>
                </c:manualLayout>
              </c:layout>
              <c:tx>
                <c:rich>
                  <a:bodyPr/>
                  <a:lstStyle/>
                  <a:p>
                    <a:r>
                      <a:rPr lang="en-US"/>
                      <a:t>3,815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0A7-4537-A8B9-A257D3CF1348}"/>
                </c:ext>
              </c:extLst>
            </c:dLbl>
            <c:dLbl>
              <c:idx val="5"/>
              <c:tx>
                <c:rich>
                  <a:bodyPr/>
                  <a:lstStyle/>
                  <a:p>
                    <a:r>
                      <a:rPr lang="en-US"/>
                      <a:t>4</a:t>
                    </a:r>
                    <a:r>
                      <a:rPr lang="en-US" baseline="0"/>
                      <a:t>,</a:t>
                    </a:r>
                    <a:r>
                      <a:rPr lang="en-US"/>
                      <a:t>570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0A7-4537-A8B9-A257D3CF1348}"/>
                </c:ext>
              </c:extLst>
            </c:dLbl>
            <c:dLbl>
              <c:idx val="6"/>
              <c:layout>
                <c:manualLayout>
                  <c:x val="1.0374520178441747E-2"/>
                  <c:y val="-3.7243947858472998E-3"/>
                </c:manualLayout>
              </c:layout>
              <c:tx>
                <c:rich>
                  <a:bodyPr/>
                  <a:lstStyle/>
                  <a:p>
                    <a:r>
                      <a:rPr lang="en-US"/>
                      <a:t>1,619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D0A7-4537-A8B9-A257D3CF1348}"/>
                </c:ext>
              </c:extLst>
            </c:dLbl>
            <c:dLbl>
              <c:idx val="7"/>
              <c:tx>
                <c:rich>
                  <a:bodyPr/>
                  <a:lstStyle/>
                  <a:p>
                    <a:r>
                      <a:rPr lang="en-US"/>
                      <a:t>1</a:t>
                    </a:r>
                    <a:r>
                      <a:rPr lang="en-US" baseline="0"/>
                      <a:t>,</a:t>
                    </a:r>
                    <a:r>
                      <a:rPr lang="en-US"/>
                      <a:t>252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D0A7-4537-A8B9-A257D3CF1348}"/>
                </c:ext>
              </c:extLst>
            </c:dLbl>
            <c:dLbl>
              <c:idx val="8"/>
              <c:tx>
                <c:rich>
                  <a:bodyPr/>
                  <a:lstStyle/>
                  <a:p>
                    <a:r>
                      <a:rPr lang="en-US"/>
                      <a:t>3</a:t>
                    </a:r>
                    <a:r>
                      <a:rPr lang="en-US" baseline="0"/>
                      <a:t>,</a:t>
                    </a:r>
                    <a:r>
                      <a:rPr lang="en-US"/>
                      <a:t>679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D0A7-4537-A8B9-A257D3CF13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Highlights'!$A$63:$B$71</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Highlights'!$D$63:$D$71</c:f>
              <c:numCache>
                <c:formatCode>#,##0</c:formatCode>
                <c:ptCount val="9"/>
                <c:pt idx="0">
                  <c:v>203942</c:v>
                </c:pt>
                <c:pt idx="1">
                  <c:v>7767</c:v>
                </c:pt>
                <c:pt idx="2">
                  <c:v>13821</c:v>
                </c:pt>
                <c:pt idx="3">
                  <c:v>4175</c:v>
                </c:pt>
                <c:pt idx="4">
                  <c:v>3815</c:v>
                </c:pt>
                <c:pt idx="5">
                  <c:v>4570</c:v>
                </c:pt>
                <c:pt idx="6">
                  <c:v>1619</c:v>
                </c:pt>
                <c:pt idx="7">
                  <c:v>1252</c:v>
                </c:pt>
                <c:pt idx="8" formatCode="0">
                  <c:v>3679</c:v>
                </c:pt>
              </c:numCache>
            </c:numRef>
          </c:val>
          <c:extLst>
            <c:ext xmlns:c16="http://schemas.microsoft.com/office/drawing/2014/chart" uri="{C3380CC4-5D6E-409C-BE32-E72D297353CC}">
              <c16:uniqueId val="{00000004-D0A7-4537-A8B9-A257D3CF1348}"/>
            </c:ext>
          </c:extLst>
        </c:ser>
        <c:dLbls>
          <c:showLegendKey val="0"/>
          <c:showVal val="1"/>
          <c:showCatName val="0"/>
          <c:showSerName val="0"/>
          <c:showPercent val="0"/>
          <c:showBubbleSize val="0"/>
        </c:dLbls>
        <c:gapWidth val="100"/>
        <c:overlap val="-24"/>
        <c:axId val="422513544"/>
        <c:axId val="428000744"/>
      </c:barChart>
      <c:catAx>
        <c:axId val="422513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8000744"/>
        <c:crosses val="autoZero"/>
        <c:auto val="1"/>
        <c:lblAlgn val="ctr"/>
        <c:lblOffset val="100"/>
        <c:noMultiLvlLbl val="0"/>
      </c:catAx>
      <c:valAx>
        <c:axId val="428000744"/>
        <c:scaling>
          <c:orientation val="minMax"/>
          <c:max val="22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2513544"/>
        <c:crosses val="autoZero"/>
        <c:crossBetween val="between"/>
      </c:valAx>
      <c:spPr>
        <a:noFill/>
        <a:ln>
          <a:noFill/>
        </a:ln>
        <a:effectLst/>
      </c:spPr>
    </c:plotArea>
    <c:legend>
      <c:legendPos val="b"/>
      <c:layout>
        <c:manualLayout>
          <c:xMode val="edge"/>
          <c:yMode val="edge"/>
          <c:x val="0.44034266958460255"/>
          <c:y val="0.93715039809967893"/>
          <c:w val="0.14006353780940781"/>
          <c:h val="6.28496019003211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70006971784777"/>
          <c:y val="6.2360744067455093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86B-4135-ADAE-E1B4F55D42CA}"/>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86B-4135-ADAE-E1B4F55D42CA}"/>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86B-4135-ADAE-E1B4F55D42CA}"/>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86B-4135-ADAE-E1B4F55D42CA}"/>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86B-4135-ADAE-E1B4F55D42CA}"/>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86B-4135-ADAE-E1B4F55D42CA}"/>
              </c:ext>
            </c:extLst>
          </c:dPt>
          <c:dLbls>
            <c:dLbl>
              <c:idx val="0"/>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Trésorerie et équivalents de trésorerie</a:t>
                    </a:r>
                    <a:r>
                      <a:rPr lang="en-US" baseline="0"/>
                      <a:t>
</a:t>
                    </a:r>
                    <a:fld id="{54F6336B-A74D-4F39-8B60-C8A277621D5F}"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86B-4135-ADAE-E1B4F55D42CA}"/>
                </c:ext>
              </c:extLst>
            </c:dLbl>
            <c:dLbl>
              <c:idx val="1"/>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Placements</a:t>
                    </a:r>
                    <a:r>
                      <a:rPr lang="en-US" baseline="0"/>
                      <a:t>
</a:t>
                    </a:r>
                    <a:fld id="{5AF22B61-A406-42BC-A204-5943190D877A}"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86B-4135-ADAE-E1B4F55D42CA}"/>
                </c:ext>
              </c:extLst>
            </c:dLbl>
            <c:dLbl>
              <c:idx val="2"/>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Créances</a:t>
                    </a:r>
                    <a:r>
                      <a:rPr lang="en-US" baseline="0"/>
                      <a:t>
</a:t>
                    </a:r>
                    <a:fld id="{545C8D6D-BA5A-4496-B0EB-FF3C0ADADED4}"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86B-4135-ADAE-E1B4F55D42CA}"/>
                </c:ext>
              </c:extLst>
            </c:dLbl>
            <c:dLbl>
              <c:idx val="3"/>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Autres </a:t>
                    </a:r>
                    <a:br>
                      <a:rPr lang="en-US" sz="1000" b="1" i="0" u="none" strike="noStrike" kern="1200" spc="0" baseline="0">
                        <a:solidFill>
                          <a:sysClr val="windowText" lastClr="000000"/>
                        </a:solidFill>
                      </a:rPr>
                    </a:br>
                    <a:r>
                      <a:rPr lang="en-US" sz="1000" b="1" i="0" u="none" strike="noStrike" kern="1200" spc="0" baseline="0">
                        <a:solidFill>
                          <a:sysClr val="windowText" lastClr="000000"/>
                        </a:solidFill>
                      </a:rPr>
                      <a:t>créances</a:t>
                    </a:r>
                    <a:r>
                      <a:rPr lang="en-US" baseline="0"/>
                      <a:t>
</a:t>
                    </a:r>
                    <a:fld id="{BD8CFCC1-FBE7-4017-AEB0-5F6E3C4A566A}"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86B-4135-ADAE-E1B4F55D42CA}"/>
                </c:ext>
              </c:extLst>
            </c:dLbl>
            <c:dLbl>
              <c:idx val="4"/>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Immobilisations corporelles</a:t>
                    </a:r>
                    <a:r>
                      <a:rPr lang="en-US" baseline="0"/>
                      <a:t>
</a:t>
                    </a:r>
                    <a:fld id="{C4752B6F-CC7E-402B-B9A3-225370E0466B}"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86B-4135-ADAE-E1B4F55D42CA}"/>
                </c:ext>
              </c:extLst>
            </c:dLbl>
            <c:dLbl>
              <c:idx val="5"/>
              <c:layout>
                <c:manualLayout>
                  <c:x val="-1.6666666666666691E-2"/>
                  <c:y val="-0.102418192386108"/>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Autres actifs</a:t>
                    </a:r>
                    <a:r>
                      <a:rPr lang="en-US" baseline="0"/>
                      <a:t>
</a:t>
                    </a:r>
                    <a:fld id="{D891D02C-BCD1-4DF2-88DA-2EBE32E9DA20}"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86B-4135-ADAE-E1B4F55D42CA}"/>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086B-4135-ADAE-E1B4F55D42CA}"/>
                </c:ext>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'[1]Financial Highlights'!$C$88:$C$93</c:f>
              <c:numCache>
                <c:formatCode>General</c:formatCode>
                <c:ptCount val="6"/>
                <c:pt idx="0">
                  <c:v>99405.760019999987</c:v>
                </c:pt>
                <c:pt idx="1">
                  <c:v>95516.27</c:v>
                </c:pt>
                <c:pt idx="2">
                  <c:v>97787.19</c:v>
                </c:pt>
                <c:pt idx="3">
                  <c:v>26879.8835</c:v>
                </c:pt>
                <c:pt idx="4">
                  <c:v>78040.295000000013</c:v>
                </c:pt>
                <c:pt idx="5">
                  <c:v>10885.637999999999</c:v>
                </c:pt>
              </c:numCache>
            </c:numRef>
          </c:val>
          <c:extLst>
            <c:ext xmlns:c16="http://schemas.microsoft.com/office/drawing/2014/chart" uri="{C3380CC4-5D6E-409C-BE32-E72D297353CC}">
              <c16:uniqueId val="{0000000D-086B-4135-ADAE-E1B4F55D42C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'C:\COMPTA GENERALE\BOUCLEMENT\2020\[MAQUETTE BOUCLEMENT 2020-claire.xlsx]Financial Highlights'!$C$86:$C$87</c:f>
              <c:strCache>
                <c:ptCount val="1"/>
                <c:pt idx="0">
                  <c:v>2020</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'[1]Financial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'[1]Financial Highlights'!$C$88:$C$93</c:f>
              <c:numCache>
                <c:formatCode>General</c:formatCode>
                <c:ptCount val="6"/>
                <c:pt idx="0">
                  <c:v>99405.760019999987</c:v>
                </c:pt>
                <c:pt idx="1">
                  <c:v>95516.27</c:v>
                </c:pt>
                <c:pt idx="2">
                  <c:v>97787.19</c:v>
                </c:pt>
                <c:pt idx="3">
                  <c:v>26879.8835</c:v>
                </c:pt>
                <c:pt idx="4">
                  <c:v>78040.295000000013</c:v>
                </c:pt>
                <c:pt idx="5">
                  <c:v>10885.637999999999</c:v>
                </c:pt>
              </c:numCache>
            </c:numRef>
          </c:val>
          <c:extLst>
            <c:ext xmlns:c16="http://schemas.microsoft.com/office/drawing/2014/chart" uri="{C3380CC4-5D6E-409C-BE32-E72D297353CC}">
              <c16:uniqueId val="{00000000-E7C0-4B85-9748-83EA22AC421B}"/>
            </c:ext>
          </c:extLst>
        </c:ser>
        <c:ser>
          <c:idx val="1"/>
          <c:order val="1"/>
          <c:tx>
            <c:strRef>
              <c:f>'C:\COMPTA GENERALE\BOUCLEMENT\2020\[MAQUETTE BOUCLEMENT 2020-claire.xlsx]Financial Highlights'!$D$86:$D$87</c:f>
              <c:strCache>
                <c:ptCount val="1"/>
                <c:pt idx="0">
                  <c:v>2019</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'[1]Financial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'[1]Financial Highlights'!$D$88:$D$93</c:f>
              <c:numCache>
                <c:formatCode>General</c:formatCode>
                <c:ptCount val="6"/>
                <c:pt idx="0">
                  <c:v>178852</c:v>
                </c:pt>
                <c:pt idx="1">
                  <c:v>33329</c:v>
                </c:pt>
                <c:pt idx="2">
                  <c:v>94787</c:v>
                </c:pt>
                <c:pt idx="3">
                  <c:v>50243.856209999998</c:v>
                </c:pt>
                <c:pt idx="4">
                  <c:v>92675</c:v>
                </c:pt>
                <c:pt idx="5">
                  <c:v>7076</c:v>
                </c:pt>
              </c:numCache>
            </c:numRef>
          </c:val>
          <c:extLst>
            <c:ext xmlns:c16="http://schemas.microsoft.com/office/drawing/2014/chart" uri="{C3380CC4-5D6E-409C-BE32-E72D297353CC}">
              <c16:uniqueId val="{00000001-E7C0-4B85-9748-83EA22AC421B}"/>
            </c:ext>
          </c:extLst>
        </c:ser>
        <c:dLbls>
          <c:showLegendKey val="0"/>
          <c:showVal val="0"/>
          <c:showCatName val="0"/>
          <c:showSerName val="0"/>
          <c:showPercent val="0"/>
          <c:showBubbleSize val="0"/>
        </c:dLbls>
        <c:gapWidth val="100"/>
        <c:overlap val="-24"/>
        <c:axId val="427995648"/>
        <c:axId val="427996040"/>
      </c:barChart>
      <c:catAx>
        <c:axId val="42799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996040"/>
        <c:crosses val="autoZero"/>
        <c:auto val="1"/>
        <c:lblAlgn val="ctr"/>
        <c:lblOffset val="100"/>
        <c:noMultiLvlLbl val="0"/>
      </c:catAx>
      <c:valAx>
        <c:axId val="427996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99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5"/>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364-4BCF-9B18-AF10CB12F098}"/>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364-4BCF-9B18-AF10CB12F098}"/>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364-4BCF-9B18-AF10CB12F098}"/>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364-4BCF-9B18-AF10CB12F098}"/>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364-4BCF-9B18-AF10CB12F098}"/>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364-4BCF-9B18-AF10CB12F098}"/>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364-4BCF-9B18-AF10CB12F098}"/>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E364-4BCF-9B18-AF10CB12F098}"/>
              </c:ext>
            </c:extLst>
          </c:dPt>
          <c:dLbls>
            <c:dLbl>
              <c:idx val="0"/>
              <c:layout>
                <c:manualLayout>
                  <c:x val="-2.7777777777777779E-3"/>
                  <c:y val="-8.36901366151784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Dettes et créances</a:t>
                    </a:r>
                    <a:r>
                      <a:rPr lang="en-US" baseline="0"/>
                      <a:t>
</a:t>
                    </a:r>
                    <a:fld id="{55C2FB74-329C-4D0E-95D8-1F1721EBE345}"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364-4BCF-9B18-AF10CB12F098}"/>
                </c:ext>
              </c:extLst>
            </c:dLbl>
            <c:dLbl>
              <c:idx val="1"/>
              <c:layout>
                <c:manualLayout>
                  <c:x val="-6.3888888888888884E-2"/>
                  <c:y val="-3.268532844845792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Produits différés</a:t>
                    </a:r>
                    <a:r>
                      <a:rPr lang="en-US" baseline="0"/>
                      <a:t>
</a:t>
                    </a:r>
                    <a:fld id="{38EFFB6B-5F17-4971-AF74-724B2FE0AFF2}"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364-4BCF-9B18-AF10CB12F098}"/>
                </c:ext>
              </c:extLst>
            </c:dLbl>
            <c:dLbl>
              <c:idx val="2"/>
              <c:layout>
                <c:manualLayout>
                  <c:x val="-2.7777777777777776E-2"/>
                  <c:y val="-0.1058302956073413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Autres passifs</a:t>
                    </a:r>
                    <a:r>
                      <a:rPr lang="en-US" baseline="0"/>
                      <a:t>
</a:t>
                    </a:r>
                    <a:fld id="{DD520E40-CDA2-470F-A60F-B2FBBC840D43}"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364-4BCF-9B18-AF10CB12F098}"/>
                </c:ext>
              </c:extLst>
            </c:dLbl>
            <c:dLbl>
              <c:idx val="3"/>
              <c:layout>
                <c:manualLayout>
                  <c:x val="2.9337051618547581E-2"/>
                  <c:y val="-2.946223223521831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Emprunts</a:t>
                    </a:r>
                    <a:r>
                      <a:rPr lang="en-US" baseline="0"/>
                      <a:t>
</a:t>
                    </a:r>
                    <a:fld id="{5B5C3A30-E520-44FD-80C9-07BAC6271495}"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364-4BCF-9B18-AF10CB12F098}"/>
                </c:ext>
              </c:extLst>
            </c:dLbl>
            <c:dLbl>
              <c:idx val="4"/>
              <c:layout>
                <c:manualLayout>
                  <c:x val="-5.2942475940507452E-2"/>
                  <c:y val="-8.398566008713753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Avantages accordés au personnel</a:t>
                    </a:r>
                    <a:r>
                      <a:rPr lang="en-US" baseline="0"/>
                      <a:t>
</a:t>
                    </a:r>
                    <a:fld id="{62D57730-4896-4A25-BC18-73D1A2167625}"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364-4BCF-9B18-AF10CB12F098}"/>
                </c:ext>
              </c:extLst>
            </c:dLbl>
            <c:dLbl>
              <c:idx val="5"/>
              <c:layout>
                <c:manualLayout>
                  <c:x val="-7.5991907261592301E-2"/>
                  <c:y val="-6.310606270399268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Fonds de tiers</a:t>
                    </a:r>
                    <a:r>
                      <a:rPr lang="en-US" baseline="0"/>
                      <a:t>
</a:t>
                    </a:r>
                    <a:fld id="{6DA8CE9E-4BFD-492F-BE32-2910530A87B4}"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364-4BCF-9B18-AF10CB12F098}"/>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364-4BCF-9B18-AF10CB12F098}"/>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364-4BCF-9B18-AF10CB12F098}"/>
                </c:ext>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E364-4BCF-9B18-AF10CB12F098}"/>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'[1]Financial Highlights'!$C$113:$C$119</c:f>
              <c:strCache>
                <c:ptCount val="7"/>
                <c:pt idx="0">
                  <c:v>Payables and accruals</c:v>
                </c:pt>
                <c:pt idx="1">
                  <c:v>Deferred revenue</c:v>
                </c:pt>
                <c:pt idx="2">
                  <c:v>Other liabilities</c:v>
                </c:pt>
                <c:pt idx="3">
                  <c:v>Borrowings</c:v>
                </c:pt>
                <c:pt idx="4">
                  <c:v>Employee benefits</c:v>
                </c:pt>
                <c:pt idx="5">
                  <c:v>Third party funds</c:v>
                </c:pt>
              </c:strCache>
            </c:strRef>
          </c:cat>
          <c:val>
            <c:numRef>
              <c:f>'[1]Financial Highlights'!$D$113:$D$119</c:f>
              <c:numCache>
                <c:formatCode>General</c:formatCode>
                <c:ptCount val="7"/>
                <c:pt idx="0">
                  <c:v>7119.92</c:v>
                </c:pt>
                <c:pt idx="1">
                  <c:v>132565.67879000001</c:v>
                </c:pt>
                <c:pt idx="2">
                  <c:v>23933.065930000001</c:v>
                </c:pt>
                <c:pt idx="3">
                  <c:v>47109.79</c:v>
                </c:pt>
                <c:pt idx="4">
                  <c:v>656030.80000000005</c:v>
                </c:pt>
                <c:pt idx="5">
                  <c:v>42782.91</c:v>
                </c:pt>
              </c:numCache>
            </c:numRef>
          </c:val>
          <c:extLst>
            <c:ext xmlns:c16="http://schemas.microsoft.com/office/drawing/2014/chart" uri="{C3380CC4-5D6E-409C-BE32-E72D297353CC}">
              <c16:uniqueId val="{00000011-E364-4BCF-9B18-AF10CB12F09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Highlights'!$D$112</c:f>
              <c:strCache>
                <c:ptCount val="1"/>
                <c:pt idx="0">
                  <c:v>2020</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Highlights'!$C$113:$C$118</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Highlights'!$D$113:$D$118</c:f>
              <c:numCache>
                <c:formatCode>_ * #,##0_ ;_ * \-#,##0_ ;_ * "-"??_ ;_ @_ </c:formatCode>
                <c:ptCount val="6"/>
                <c:pt idx="0">
                  <c:v>7119.92</c:v>
                </c:pt>
                <c:pt idx="1">
                  <c:v>132565.67879000001</c:v>
                </c:pt>
                <c:pt idx="2">
                  <c:v>23933.065930000001</c:v>
                </c:pt>
                <c:pt idx="3">
                  <c:v>47109.79</c:v>
                </c:pt>
                <c:pt idx="4">
                  <c:v>656030.80000000005</c:v>
                </c:pt>
                <c:pt idx="5">
                  <c:v>42782.91</c:v>
                </c:pt>
              </c:numCache>
            </c:numRef>
          </c:val>
          <c:extLst>
            <c:ext xmlns:c16="http://schemas.microsoft.com/office/drawing/2014/chart" uri="{C3380CC4-5D6E-409C-BE32-E72D297353CC}">
              <c16:uniqueId val="{00000000-FA76-40B8-BF46-2D8091F9F98D}"/>
            </c:ext>
          </c:extLst>
        </c:ser>
        <c:ser>
          <c:idx val="1"/>
          <c:order val="1"/>
          <c:tx>
            <c:strRef>
              <c:f>'Financial Highlights'!$E$112</c:f>
              <c:strCache>
                <c:ptCount val="1"/>
                <c:pt idx="0">
                  <c:v>2019</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Highlights'!$C$113:$C$118</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Highlights'!$E$113:$E$118</c:f>
              <c:numCache>
                <c:formatCode>_ * #,##0_ ;_ * \-#,##0_ ;_ * "-"??_ ;_ @_ </c:formatCode>
                <c:ptCount val="6"/>
                <c:pt idx="0">
                  <c:v>9235.090000000002</c:v>
                </c:pt>
                <c:pt idx="1">
                  <c:v>135641.69</c:v>
                </c:pt>
                <c:pt idx="2">
                  <c:v>46961.93993</c:v>
                </c:pt>
                <c:pt idx="3">
                  <c:v>44948.92</c:v>
                </c:pt>
                <c:pt idx="4">
                  <c:v>635034</c:v>
                </c:pt>
                <c:pt idx="5">
                  <c:v>38325</c:v>
                </c:pt>
              </c:numCache>
            </c:numRef>
          </c:val>
          <c:extLst>
            <c:ext xmlns:c16="http://schemas.microsoft.com/office/drawing/2014/chart" uri="{C3380CC4-5D6E-409C-BE32-E72D297353CC}">
              <c16:uniqueId val="{00000001-FA76-40B8-BF46-2D8091F9F98D}"/>
            </c:ext>
          </c:extLst>
        </c:ser>
        <c:dLbls>
          <c:showLegendKey val="0"/>
          <c:showVal val="0"/>
          <c:showCatName val="0"/>
          <c:showSerName val="0"/>
          <c:showPercent val="0"/>
          <c:showBubbleSize val="0"/>
        </c:dLbls>
        <c:gapWidth val="100"/>
        <c:overlap val="-24"/>
        <c:axId val="356761288"/>
        <c:axId val="356762464"/>
      </c:barChart>
      <c:catAx>
        <c:axId val="356761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56762464"/>
        <c:crosses val="autoZero"/>
        <c:auto val="1"/>
        <c:lblAlgn val="ctr"/>
        <c:lblOffset val="100"/>
        <c:noMultiLvlLbl val="0"/>
      </c:catAx>
      <c:valAx>
        <c:axId val="356762464"/>
        <c:scaling>
          <c:orientation val="minMax"/>
          <c:max val="65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56761288"/>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68261-677C-4949-8CFB-94BC9027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125</Pages>
  <Words>36448</Words>
  <Characters>204925</Characters>
  <Application>Microsoft Office Word</Application>
  <DocSecurity>0</DocSecurity>
  <Lines>1707</Lines>
  <Paragraphs>481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240892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financière pour l'exercice financier 2020</dc:title>
  <dc:subject>Conseil 2022</dc:subject>
  <dc:creator>Chanavat, Emilie</dc:creator>
  <cp:keywords>C2022, C22, Council-22</cp:keywords>
  <dc:description/>
  <cp:lastModifiedBy>French</cp:lastModifiedBy>
  <cp:revision>3</cp:revision>
  <cp:lastPrinted>2000-07-18T08:55:00Z</cp:lastPrinted>
  <dcterms:created xsi:type="dcterms:W3CDTF">2023-04-21T09:03:00Z</dcterms:created>
  <dcterms:modified xsi:type="dcterms:W3CDTF">2023-04-21T09:13:00Z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