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 w14:paraId="4D453A4F" w14:textId="77777777">
        <w:trPr>
          <w:cantSplit/>
        </w:trPr>
        <w:tc>
          <w:tcPr>
            <w:tcW w:w="6912" w:type="dxa"/>
          </w:tcPr>
          <w:p w14:paraId="7A4CC259" w14:textId="77777777" w:rsidR="00520F36" w:rsidRPr="0092392D" w:rsidRDefault="00520F36" w:rsidP="00745D39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</w:t>
            </w:r>
            <w:r w:rsidR="009C353C">
              <w:rPr>
                <w:b/>
                <w:bCs/>
                <w:sz w:val="30"/>
                <w:szCs w:val="30"/>
                <w:lang w:val="fr-CH"/>
              </w:rPr>
              <w:t>2</w:t>
            </w:r>
            <w:r w:rsidR="0083391C">
              <w:rPr>
                <w:b/>
                <w:bCs/>
                <w:sz w:val="30"/>
                <w:szCs w:val="30"/>
                <w:lang w:val="fr-CH"/>
              </w:rPr>
              <w:t>2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="0083391C">
              <w:rPr>
                <w:b/>
                <w:bCs/>
                <w:sz w:val="28"/>
                <w:szCs w:val="28"/>
                <w:lang w:val="fr-CH"/>
              </w:rPr>
              <w:t>Genève</w:t>
            </w:r>
            <w:r w:rsidRPr="004D1D50">
              <w:rPr>
                <w:b/>
                <w:bCs/>
                <w:sz w:val="28"/>
                <w:szCs w:val="28"/>
                <w:lang w:val="fr-CH"/>
              </w:rPr>
              <w:t xml:space="preserve">, </w:t>
            </w:r>
            <w:r w:rsidR="0083391C">
              <w:rPr>
                <w:b/>
                <w:bCs/>
                <w:sz w:val="28"/>
                <w:szCs w:val="28"/>
                <w:lang w:val="fr-CH"/>
              </w:rPr>
              <w:t>21</w:t>
            </w:r>
            <w:r w:rsidRPr="004D1D50">
              <w:rPr>
                <w:b/>
                <w:bCs/>
                <w:sz w:val="28"/>
                <w:szCs w:val="28"/>
                <w:lang w:val="fr-CH"/>
              </w:rPr>
              <w:t>-</w:t>
            </w:r>
            <w:r w:rsidR="0083391C">
              <w:rPr>
                <w:b/>
                <w:bCs/>
                <w:sz w:val="28"/>
                <w:szCs w:val="28"/>
                <w:lang w:val="fr-CH"/>
              </w:rPr>
              <w:t>31</w:t>
            </w:r>
            <w:r w:rsidR="00106B19" w:rsidRPr="004D1D50">
              <w:rPr>
                <w:b/>
                <w:bCs/>
                <w:sz w:val="28"/>
                <w:szCs w:val="28"/>
                <w:lang w:val="fr-CH"/>
              </w:rPr>
              <w:t xml:space="preserve"> </w:t>
            </w:r>
            <w:r w:rsidR="0083391C">
              <w:rPr>
                <w:b/>
                <w:bCs/>
                <w:sz w:val="28"/>
                <w:szCs w:val="28"/>
                <w:lang w:val="fr-CH"/>
              </w:rPr>
              <w:t>mars</w:t>
            </w:r>
            <w:r w:rsidRPr="004D1D50">
              <w:rPr>
                <w:b/>
                <w:bCs/>
                <w:sz w:val="28"/>
                <w:szCs w:val="28"/>
                <w:lang w:val="fr-CH"/>
              </w:rPr>
              <w:t xml:space="preserve"> 20</w:t>
            </w:r>
            <w:r w:rsidR="009C353C" w:rsidRPr="004D1D50">
              <w:rPr>
                <w:b/>
                <w:bCs/>
                <w:sz w:val="28"/>
                <w:szCs w:val="28"/>
                <w:lang w:val="fr-CH"/>
              </w:rPr>
              <w:t>2</w:t>
            </w:r>
            <w:r w:rsidR="0083391C">
              <w:rPr>
                <w:b/>
                <w:bCs/>
                <w:sz w:val="28"/>
                <w:szCs w:val="28"/>
                <w:lang w:val="fr-CH"/>
              </w:rPr>
              <w:t>2</w:t>
            </w:r>
          </w:p>
        </w:tc>
        <w:tc>
          <w:tcPr>
            <w:tcW w:w="3261" w:type="dxa"/>
          </w:tcPr>
          <w:p w14:paraId="6DC8D94C" w14:textId="77777777" w:rsidR="00520F36" w:rsidRPr="0092392D" w:rsidRDefault="009C353C" w:rsidP="00745D39">
            <w:pPr>
              <w:spacing w:before="0"/>
              <w:rPr>
                <w:lang w:val="fr-CH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7D7BF1E9" wp14:editId="16FC68F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14:paraId="309685C2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73DAD2B8" w14:textId="77777777" w:rsidR="00520F36" w:rsidRPr="00361350" w:rsidRDefault="00520F36" w:rsidP="00745D39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2CD2DDDF" w14:textId="77777777" w:rsidR="00520F36" w:rsidRPr="0092392D" w:rsidRDefault="00520F36" w:rsidP="00745D39">
            <w:pPr>
              <w:spacing w:before="0"/>
              <w:rPr>
                <w:b/>
                <w:bCs/>
              </w:rPr>
            </w:pPr>
          </w:p>
        </w:tc>
      </w:tr>
      <w:tr w:rsidR="00520F36" w:rsidRPr="0092392D" w14:paraId="266C7AF6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199643D6" w14:textId="77777777" w:rsidR="00520F36" w:rsidRPr="0092392D" w:rsidRDefault="00520F36" w:rsidP="00745D39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34B532D9" w14:textId="77777777" w:rsidR="00520F36" w:rsidRPr="0092392D" w:rsidRDefault="00520F36" w:rsidP="00745D39">
            <w:pPr>
              <w:spacing w:before="0"/>
              <w:rPr>
                <w:b/>
                <w:bCs/>
              </w:rPr>
            </w:pPr>
          </w:p>
        </w:tc>
      </w:tr>
      <w:tr w:rsidR="00520F36" w:rsidRPr="0092392D" w14:paraId="3B48F1DB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2AB5F7D3" w14:textId="37AE9424" w:rsidR="00520F36" w:rsidRPr="00520F36" w:rsidRDefault="00E3170F" w:rsidP="00745D39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>
              <w:rPr>
                <w:rFonts w:cs="Times"/>
                <w:b/>
                <w:bCs/>
                <w:szCs w:val="24"/>
                <w:lang w:val="fr-CH"/>
              </w:rPr>
              <w:t>Point de l</w:t>
            </w:r>
            <w:r w:rsidR="0020447B">
              <w:rPr>
                <w:rFonts w:cs="Times"/>
                <w:b/>
                <w:bCs/>
                <w:szCs w:val="24"/>
                <w:lang w:val="fr-CH"/>
              </w:rPr>
              <w:t>'</w:t>
            </w:r>
            <w:r>
              <w:rPr>
                <w:rFonts w:cs="Times"/>
                <w:b/>
                <w:bCs/>
                <w:szCs w:val="24"/>
                <w:lang w:val="fr-CH"/>
              </w:rPr>
              <w:t xml:space="preserve">ordre du </w:t>
            </w:r>
            <w:proofErr w:type="gramStart"/>
            <w:r>
              <w:rPr>
                <w:rFonts w:cs="Times"/>
                <w:b/>
                <w:bCs/>
                <w:szCs w:val="24"/>
                <w:lang w:val="fr-CH"/>
              </w:rPr>
              <w:t>jour</w:t>
            </w:r>
            <w:r w:rsidR="009438C7">
              <w:rPr>
                <w:rFonts w:cs="Times"/>
                <w:b/>
                <w:bCs/>
                <w:szCs w:val="24"/>
                <w:lang w:val="fr-CH"/>
              </w:rPr>
              <w:t>:</w:t>
            </w:r>
            <w:proofErr w:type="gramEnd"/>
            <w:r w:rsidR="009438C7">
              <w:rPr>
                <w:rFonts w:cs="Times"/>
                <w:b/>
                <w:bCs/>
                <w:szCs w:val="24"/>
                <w:lang w:val="fr-CH"/>
              </w:rPr>
              <w:t xml:space="preserve"> ADM</w:t>
            </w:r>
            <w:r>
              <w:rPr>
                <w:rFonts w:cs="Times"/>
                <w:b/>
                <w:bCs/>
                <w:szCs w:val="24"/>
                <w:lang w:val="fr-CH"/>
              </w:rPr>
              <w:t xml:space="preserve"> 8</w:t>
            </w:r>
          </w:p>
        </w:tc>
        <w:tc>
          <w:tcPr>
            <w:tcW w:w="3261" w:type="dxa"/>
          </w:tcPr>
          <w:p w14:paraId="21F125EE" w14:textId="7AFEA7B5" w:rsidR="00520F36" w:rsidRPr="00520F36" w:rsidRDefault="00520F36" w:rsidP="00745D3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</w:t>
            </w:r>
            <w:r w:rsidR="009C353C">
              <w:rPr>
                <w:b/>
                <w:bCs/>
              </w:rPr>
              <w:t>2</w:t>
            </w:r>
            <w:r w:rsidR="0083391C">
              <w:rPr>
                <w:b/>
                <w:bCs/>
              </w:rPr>
              <w:t>2</w:t>
            </w:r>
            <w:r>
              <w:rPr>
                <w:b/>
                <w:bCs/>
              </w:rPr>
              <w:t>/</w:t>
            </w:r>
            <w:r w:rsidR="009438C7">
              <w:rPr>
                <w:b/>
                <w:bCs/>
              </w:rPr>
              <w:t>39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 w14:paraId="30FEC4DA" w14:textId="77777777">
        <w:trPr>
          <w:cantSplit/>
          <w:trHeight w:val="20"/>
        </w:trPr>
        <w:tc>
          <w:tcPr>
            <w:tcW w:w="6912" w:type="dxa"/>
            <w:vMerge/>
          </w:tcPr>
          <w:p w14:paraId="78732297" w14:textId="77777777" w:rsidR="00520F36" w:rsidRPr="0092392D" w:rsidRDefault="00520F36" w:rsidP="00745D39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7402F85C" w14:textId="344CCD3C" w:rsidR="00520F36" w:rsidRPr="00520F36" w:rsidRDefault="009438C7" w:rsidP="00745D3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22D13" w:rsidRPr="00922D13">
              <w:rPr>
                <w:rFonts w:hint="eastAsia"/>
                <w:b/>
                <w:bCs/>
              </w:rPr>
              <w:t>8</w:t>
            </w:r>
            <w:r>
              <w:rPr>
                <w:b/>
                <w:bCs/>
              </w:rPr>
              <w:t xml:space="preserve"> février</w:t>
            </w:r>
            <w:r w:rsidR="00520F36">
              <w:rPr>
                <w:b/>
                <w:bCs/>
              </w:rPr>
              <w:t xml:space="preserve"> 20</w:t>
            </w:r>
            <w:r w:rsidR="009C353C">
              <w:rPr>
                <w:b/>
                <w:bCs/>
              </w:rPr>
              <w:t>2</w:t>
            </w:r>
            <w:r w:rsidR="00F40207">
              <w:rPr>
                <w:b/>
                <w:bCs/>
              </w:rPr>
              <w:t>2</w:t>
            </w:r>
          </w:p>
        </w:tc>
      </w:tr>
      <w:tr w:rsidR="00520F36" w:rsidRPr="0092392D" w14:paraId="5E1ABFC1" w14:textId="77777777">
        <w:trPr>
          <w:cantSplit/>
          <w:trHeight w:val="20"/>
        </w:trPr>
        <w:tc>
          <w:tcPr>
            <w:tcW w:w="6912" w:type="dxa"/>
            <w:vMerge/>
          </w:tcPr>
          <w:p w14:paraId="38D2BA89" w14:textId="77777777" w:rsidR="00520F36" w:rsidRPr="0092392D" w:rsidRDefault="00520F36" w:rsidP="00745D39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074ADD5C" w14:textId="77777777" w:rsidR="00520F36" w:rsidRPr="00520F36" w:rsidRDefault="00520F36" w:rsidP="00745D39">
            <w:pPr>
              <w:spacing w:before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Original:</w:t>
            </w:r>
            <w:proofErr w:type="gramEnd"/>
            <w:r>
              <w:rPr>
                <w:b/>
                <w:bCs/>
              </w:rPr>
              <w:t xml:space="preserve"> anglais</w:t>
            </w:r>
          </w:p>
        </w:tc>
      </w:tr>
      <w:tr w:rsidR="00520F36" w:rsidRPr="0092392D" w14:paraId="4F00D16D" w14:textId="77777777">
        <w:trPr>
          <w:cantSplit/>
        </w:trPr>
        <w:tc>
          <w:tcPr>
            <w:tcW w:w="10173" w:type="dxa"/>
            <w:gridSpan w:val="2"/>
          </w:tcPr>
          <w:p w14:paraId="433B24D5" w14:textId="3647DB25" w:rsidR="00520F36" w:rsidRPr="0092392D" w:rsidRDefault="004676BE" w:rsidP="00745D39">
            <w:pPr>
              <w:pStyle w:val="Source"/>
            </w:pPr>
            <w:bookmarkStart w:id="6" w:name="dsource" w:colFirst="0" w:colLast="0"/>
            <w:bookmarkEnd w:id="5"/>
            <w:r w:rsidRPr="004676BE">
              <w:t>Rapport du Secrétaire général</w:t>
            </w:r>
          </w:p>
        </w:tc>
      </w:tr>
      <w:tr w:rsidR="00520F36" w:rsidRPr="0092392D" w14:paraId="5A0A6D36" w14:textId="77777777">
        <w:trPr>
          <w:cantSplit/>
        </w:trPr>
        <w:tc>
          <w:tcPr>
            <w:tcW w:w="10173" w:type="dxa"/>
            <w:gridSpan w:val="2"/>
          </w:tcPr>
          <w:p w14:paraId="6D6F1877" w14:textId="14B3B5E3" w:rsidR="00520F36" w:rsidRPr="0092392D" w:rsidRDefault="004676BE" w:rsidP="00745D39">
            <w:pPr>
              <w:pStyle w:val="Title1"/>
            </w:pPr>
            <w:bookmarkStart w:id="7" w:name="dtitle1" w:colFirst="0" w:colLast="0"/>
            <w:bookmarkStart w:id="8" w:name="_Hlk97884950"/>
            <w:bookmarkEnd w:id="6"/>
            <w:r w:rsidRPr="004676BE">
              <w:rPr>
                <w:lang w:val="fr-CH"/>
              </w:rPr>
              <w:t xml:space="preserve">Exonération du paiement </w:t>
            </w:r>
            <w:r w:rsidR="006A7CEB">
              <w:rPr>
                <w:lang w:val="fr-CH"/>
              </w:rPr>
              <w:t xml:space="preserve">DE DROITS </w:t>
            </w:r>
            <w:r w:rsidRPr="004676BE">
              <w:rPr>
                <w:lang w:val="fr-CH"/>
              </w:rPr>
              <w:t xml:space="preserve">pour les organisations </w:t>
            </w:r>
            <w:r w:rsidR="0033455C">
              <w:rPr>
                <w:lang w:val="fr-CH"/>
              </w:rPr>
              <w:br/>
            </w:r>
            <w:r w:rsidRPr="004676BE">
              <w:rPr>
                <w:lang w:val="fr-CH"/>
              </w:rPr>
              <w:t>ayant un caractère international</w:t>
            </w:r>
            <w:bookmarkEnd w:id="8"/>
          </w:p>
        </w:tc>
      </w:tr>
      <w:bookmarkEnd w:id="7"/>
    </w:tbl>
    <w:p w14:paraId="5D0CA4AE" w14:textId="77777777" w:rsidR="00520F36" w:rsidRPr="0092392D" w:rsidRDefault="00520F36" w:rsidP="00745D39">
      <w:pPr>
        <w:rPr>
          <w:lang w:val="fr-CH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9567D7" w14:paraId="672BA967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168EE9" w14:textId="77777777" w:rsidR="00520F36" w:rsidRPr="00362268" w:rsidRDefault="00520F36" w:rsidP="00745D39">
            <w:pPr>
              <w:pStyle w:val="Headingb"/>
            </w:pPr>
            <w:r w:rsidRPr="00362268">
              <w:t>Résumé</w:t>
            </w:r>
          </w:p>
          <w:p w14:paraId="01756979" w14:textId="5935A2C2" w:rsidR="00520F36" w:rsidRPr="00731D2B" w:rsidRDefault="00731D2B" w:rsidP="00745D39">
            <w:pPr>
              <w:rPr>
                <w:rFonts w:eastAsia="Calibri" w:cs="Calibri"/>
              </w:rPr>
            </w:pPr>
            <w:r w:rsidRPr="00731D2B">
              <w:rPr>
                <w:rFonts w:eastAsia="Calibri" w:cs="Calibri"/>
              </w:rPr>
              <w:t>Chaque année, l</w:t>
            </w:r>
            <w:r w:rsidR="0020447B">
              <w:rPr>
                <w:rFonts w:eastAsia="Calibri" w:cs="Calibri"/>
              </w:rPr>
              <w:t>'</w:t>
            </w:r>
            <w:r w:rsidRPr="00731D2B">
              <w:rPr>
                <w:rFonts w:eastAsia="Calibri" w:cs="Calibri"/>
              </w:rPr>
              <w:t>UIT reçoit des demandes</w:t>
            </w:r>
            <w:r w:rsidR="004676BE" w:rsidRPr="00731D2B">
              <w:rPr>
                <w:rFonts w:eastAsia="Calibri" w:cs="Calibri"/>
              </w:rPr>
              <w:t xml:space="preserve"> </w:t>
            </w:r>
            <w:r w:rsidR="003D5EA9">
              <w:rPr>
                <w:rFonts w:eastAsia="Calibri" w:cs="Calibri"/>
              </w:rPr>
              <w:t>d</w:t>
            </w:r>
            <w:r w:rsidR="0020447B">
              <w:rPr>
                <w:rFonts w:eastAsia="Calibri" w:cs="Calibri"/>
              </w:rPr>
              <w:t>'</w:t>
            </w:r>
            <w:r w:rsidRPr="00731D2B">
              <w:rPr>
                <w:rFonts w:eastAsia="Calibri" w:cs="Calibri"/>
              </w:rPr>
              <w:t xml:space="preserve">organisations ayant un caractère international </w:t>
            </w:r>
            <w:r w:rsidR="003D5EA9">
              <w:rPr>
                <w:rFonts w:eastAsia="Calibri" w:cs="Calibri"/>
              </w:rPr>
              <w:t>sollicitant l</w:t>
            </w:r>
            <w:r w:rsidR="0020447B">
              <w:rPr>
                <w:rFonts w:eastAsia="Calibri" w:cs="Calibri"/>
              </w:rPr>
              <w:t>'</w:t>
            </w:r>
            <w:r w:rsidR="00765D8B">
              <w:rPr>
                <w:rFonts w:eastAsia="Calibri" w:cs="Calibri"/>
              </w:rPr>
              <w:t>exonération</w:t>
            </w:r>
            <w:r>
              <w:rPr>
                <w:rFonts w:eastAsia="Calibri" w:cs="Calibri"/>
              </w:rPr>
              <w:t xml:space="preserve"> d</w:t>
            </w:r>
            <w:r w:rsidR="00765D8B">
              <w:rPr>
                <w:rFonts w:eastAsia="Calibri" w:cs="Calibri"/>
              </w:rPr>
              <w:t>u paiement des droits de membre</w:t>
            </w:r>
            <w:r>
              <w:rPr>
                <w:rFonts w:eastAsia="Calibri" w:cs="Calibri"/>
              </w:rPr>
              <w:t xml:space="preserve"> et d</w:t>
            </w:r>
            <w:r w:rsidR="0020447B">
              <w:rPr>
                <w:rFonts w:eastAsia="Calibri" w:cs="Calibri"/>
              </w:rPr>
              <w:t>'</w:t>
            </w:r>
            <w:r>
              <w:rPr>
                <w:rFonts w:eastAsia="Calibri" w:cs="Calibri"/>
              </w:rPr>
              <w:t>autres contributions financières à l</w:t>
            </w:r>
            <w:r w:rsidR="0020447B">
              <w:rPr>
                <w:rFonts w:eastAsia="Calibri" w:cs="Calibri"/>
              </w:rPr>
              <w:t>'</w:t>
            </w:r>
            <w:r>
              <w:rPr>
                <w:rFonts w:eastAsia="Calibri" w:cs="Calibri"/>
              </w:rPr>
              <w:t xml:space="preserve">Union </w:t>
            </w:r>
            <w:r w:rsidR="003D5EA9">
              <w:rPr>
                <w:rFonts w:eastAsia="Calibri" w:cs="Calibri"/>
              </w:rPr>
              <w:t xml:space="preserve">sur la base de la </w:t>
            </w:r>
            <w:r>
              <w:rPr>
                <w:rFonts w:eastAsia="Calibri" w:cs="Calibri"/>
              </w:rPr>
              <w:t>réciprocité</w:t>
            </w:r>
            <w:r w:rsidR="004676BE" w:rsidRPr="00731D2B">
              <w:rPr>
                <w:rFonts w:eastAsia="Calibri" w:cs="Calibri"/>
              </w:rPr>
              <w:t xml:space="preserve">. </w:t>
            </w:r>
            <w:r w:rsidRPr="00731D2B">
              <w:rPr>
                <w:rFonts w:eastAsia="Calibri" w:cs="Calibri"/>
              </w:rPr>
              <w:t>Ces nouvelles demandes so</w:t>
            </w:r>
            <w:r w:rsidR="00980F34">
              <w:rPr>
                <w:rFonts w:eastAsia="Calibri" w:cs="Calibri"/>
              </w:rPr>
              <w:t>nt examinées par le secrétariat</w:t>
            </w:r>
            <w:r w:rsidRPr="00731D2B">
              <w:rPr>
                <w:rFonts w:eastAsia="Calibri" w:cs="Calibri"/>
              </w:rPr>
              <w:t xml:space="preserve"> </w:t>
            </w:r>
            <w:r w:rsidR="003D5EA9">
              <w:rPr>
                <w:rFonts w:eastAsia="Calibri" w:cs="Calibri"/>
              </w:rPr>
              <w:t>d</w:t>
            </w:r>
            <w:r w:rsidR="0020447B">
              <w:rPr>
                <w:rFonts w:eastAsia="Calibri" w:cs="Calibri"/>
              </w:rPr>
              <w:t>'</w:t>
            </w:r>
            <w:r w:rsidR="003D5EA9">
              <w:rPr>
                <w:rFonts w:eastAsia="Calibri" w:cs="Calibri"/>
              </w:rPr>
              <w:t>après</w:t>
            </w:r>
            <w:r>
              <w:rPr>
                <w:rFonts w:eastAsia="Calibri" w:cs="Calibri"/>
              </w:rPr>
              <w:t xml:space="preserve"> </w:t>
            </w:r>
            <w:r w:rsidR="003D5EA9">
              <w:rPr>
                <w:rFonts w:eastAsia="Calibri" w:cs="Calibri"/>
              </w:rPr>
              <w:t xml:space="preserve">les </w:t>
            </w:r>
            <w:r>
              <w:rPr>
                <w:rFonts w:eastAsia="Calibri" w:cs="Calibri"/>
              </w:rPr>
              <w:t xml:space="preserve">critères </w:t>
            </w:r>
            <w:r w:rsidR="003D5EA9">
              <w:rPr>
                <w:rFonts w:eastAsia="Calibri" w:cs="Calibri"/>
              </w:rPr>
              <w:t xml:space="preserve">établis </w:t>
            </w:r>
            <w:r>
              <w:rPr>
                <w:rFonts w:eastAsia="Calibri" w:cs="Calibri"/>
              </w:rPr>
              <w:t>par le Conseil</w:t>
            </w:r>
            <w:r w:rsidR="004676BE" w:rsidRPr="00731D2B">
              <w:rPr>
                <w:rFonts w:eastAsia="Calibri" w:cs="Calibri"/>
              </w:rPr>
              <w:t>.</w:t>
            </w:r>
          </w:p>
          <w:p w14:paraId="5EC234FC" w14:textId="33D865AF" w:rsidR="004676BE" w:rsidRPr="00180A17" w:rsidRDefault="00064CD3" w:rsidP="00745D39">
            <w:r>
              <w:rPr>
                <w:rFonts w:eastAsia="Calibri" w:cs="Calibri"/>
              </w:rPr>
              <w:t xml:space="preserve">Le </w:t>
            </w:r>
            <w:r w:rsidR="00731D2B" w:rsidRPr="00731D2B">
              <w:rPr>
                <w:rFonts w:eastAsia="Calibri" w:cs="Calibri"/>
              </w:rPr>
              <w:t xml:space="preserve">secrétariat </w:t>
            </w:r>
            <w:r>
              <w:rPr>
                <w:rFonts w:eastAsia="Calibri" w:cs="Calibri"/>
              </w:rPr>
              <w:t>a aussi entrepris de réexaminer l</w:t>
            </w:r>
            <w:r w:rsidR="0020447B">
              <w:rPr>
                <w:rFonts w:eastAsia="Calibri" w:cs="Calibri"/>
              </w:rPr>
              <w:t>'</w:t>
            </w:r>
            <w:r>
              <w:rPr>
                <w:rFonts w:eastAsia="Calibri" w:cs="Calibri"/>
              </w:rPr>
              <w:t xml:space="preserve">ensemble de la </w:t>
            </w:r>
            <w:r w:rsidR="00980F34">
              <w:rPr>
                <w:rFonts w:eastAsia="Calibri" w:cs="Calibri"/>
              </w:rPr>
              <w:t xml:space="preserve">liste </w:t>
            </w:r>
            <w:r w:rsidR="00731D2B" w:rsidRPr="00731D2B">
              <w:rPr>
                <w:rFonts w:eastAsia="Calibri" w:cs="Calibri"/>
              </w:rPr>
              <w:t xml:space="preserve">des entités exonérées </w:t>
            </w:r>
            <w:r w:rsidR="00731D2B">
              <w:rPr>
                <w:rFonts w:eastAsia="Calibri" w:cs="Calibri"/>
              </w:rPr>
              <w:t>pour déterminer si elles satisfont pleinement</w:t>
            </w:r>
            <w:r w:rsidR="004676BE" w:rsidRPr="00731D2B">
              <w:rPr>
                <w:rFonts w:eastAsia="Calibri" w:cs="Calibri"/>
              </w:rPr>
              <w:t xml:space="preserve"> </w:t>
            </w:r>
            <w:r w:rsidR="00180A17">
              <w:rPr>
                <w:rFonts w:eastAsia="Calibri" w:cs="Calibri"/>
              </w:rPr>
              <w:t>aux critères révisés par le Conseil à sa session de</w:t>
            </w:r>
            <w:r w:rsidR="004676BE" w:rsidRPr="00731D2B">
              <w:rPr>
                <w:rFonts w:eastAsia="Calibri" w:cs="Calibri"/>
              </w:rPr>
              <w:t xml:space="preserve"> 2017. </w:t>
            </w:r>
            <w:r w:rsidR="00180A17">
              <w:rPr>
                <w:rFonts w:eastAsia="Calibri" w:cs="Calibri"/>
              </w:rPr>
              <w:t xml:space="preserve">Un rapport complet est </w:t>
            </w:r>
            <w:r w:rsidR="00467DF4">
              <w:rPr>
                <w:rFonts w:eastAsia="Calibri" w:cs="Calibri"/>
              </w:rPr>
              <w:t xml:space="preserve">élaboré actuellement pour examen </w:t>
            </w:r>
            <w:r w:rsidR="00180A17">
              <w:rPr>
                <w:rFonts w:eastAsia="Calibri" w:cs="Calibri"/>
              </w:rPr>
              <w:t>à la prochaine réunion du Conseil</w:t>
            </w:r>
            <w:r w:rsidR="00467DF4">
              <w:rPr>
                <w:rFonts w:eastAsia="Calibri" w:cs="Calibri"/>
              </w:rPr>
              <w:t>,</w:t>
            </w:r>
            <w:r w:rsidR="00180A17">
              <w:rPr>
                <w:rFonts w:eastAsia="Calibri" w:cs="Calibri"/>
              </w:rPr>
              <w:t xml:space="preserve"> en septembre</w:t>
            </w:r>
            <w:r w:rsidR="004676BE" w:rsidRPr="00180A17">
              <w:rPr>
                <w:rFonts w:eastAsia="Calibri" w:cs="Calibri"/>
              </w:rPr>
              <w:t xml:space="preserve"> 2022.</w:t>
            </w:r>
          </w:p>
          <w:p w14:paraId="105BFEDB" w14:textId="77777777" w:rsidR="00520F36" w:rsidRPr="00362268" w:rsidRDefault="00520F36" w:rsidP="00745D39">
            <w:pPr>
              <w:pStyle w:val="Headingb"/>
            </w:pPr>
            <w:proofErr w:type="gramStart"/>
            <w:r w:rsidRPr="00362268">
              <w:t>Suite à</w:t>
            </w:r>
            <w:proofErr w:type="gramEnd"/>
            <w:r w:rsidRPr="00362268">
              <w:t xml:space="preserve"> donner</w:t>
            </w:r>
          </w:p>
          <w:p w14:paraId="344CDE5E" w14:textId="1867DEDF" w:rsidR="00520F36" w:rsidRPr="007122BC" w:rsidRDefault="007122BC" w:rsidP="00745D39">
            <w:bookmarkStart w:id="9" w:name="lt_pId019"/>
            <w:r w:rsidRPr="007122BC">
              <w:rPr>
                <w:rFonts w:asciiTheme="minorHAnsi" w:eastAsiaTheme="minorEastAsia" w:hAnsiTheme="minorHAnsi" w:cstheme="minorBidi"/>
                <w:szCs w:val="24"/>
                <w:lang w:eastAsia="zh-CN"/>
              </w:rPr>
              <w:t xml:space="preserve">Le Conseil est invité à </w:t>
            </w:r>
            <w:r w:rsidRPr="007122BC">
              <w:rPr>
                <w:rFonts w:asciiTheme="minorHAnsi" w:eastAsiaTheme="minorEastAsia" w:hAnsiTheme="minorHAnsi" w:cstheme="minorBidi"/>
                <w:b/>
                <w:bCs/>
                <w:szCs w:val="24"/>
                <w:lang w:eastAsia="zh-CN"/>
              </w:rPr>
              <w:t>examiner</w:t>
            </w:r>
            <w:r w:rsidR="004676BE" w:rsidRPr="007122BC">
              <w:rPr>
                <w:rFonts w:asciiTheme="minorHAnsi" w:eastAsiaTheme="minorEastAsia" w:hAnsiTheme="minorHAnsi" w:cstheme="minorBidi"/>
                <w:szCs w:val="24"/>
                <w:lang w:eastAsia="zh-CN"/>
              </w:rPr>
              <w:t xml:space="preserve"> </w:t>
            </w:r>
            <w:r w:rsidRPr="007122BC">
              <w:rPr>
                <w:rFonts w:asciiTheme="minorHAnsi" w:eastAsiaTheme="minorEastAsia" w:hAnsiTheme="minorHAnsi" w:cstheme="minorBidi"/>
                <w:szCs w:val="24"/>
                <w:lang w:eastAsia="zh-CN"/>
              </w:rPr>
              <w:t>les recomma</w:t>
            </w:r>
            <w:r w:rsidR="004676BE" w:rsidRPr="007122BC">
              <w:rPr>
                <w:rFonts w:asciiTheme="minorHAnsi" w:eastAsiaTheme="minorEastAsia" w:hAnsiTheme="minorHAnsi" w:cstheme="minorBidi"/>
                <w:szCs w:val="24"/>
                <w:lang w:eastAsia="zh-CN"/>
              </w:rPr>
              <w:t xml:space="preserve">ndations </w:t>
            </w:r>
            <w:r w:rsidRPr="007122BC">
              <w:rPr>
                <w:rFonts w:asciiTheme="minorHAnsi" w:eastAsiaTheme="minorEastAsia" w:hAnsiTheme="minorHAnsi" w:cstheme="minorBidi"/>
                <w:szCs w:val="24"/>
                <w:lang w:eastAsia="zh-CN"/>
              </w:rPr>
              <w:t>du Secrétaire général concernant les nouvelles demandes d</w:t>
            </w:r>
            <w:r w:rsidR="0020447B">
              <w:rPr>
                <w:rFonts w:asciiTheme="minorHAnsi" w:eastAsiaTheme="minorEastAsia" w:hAnsiTheme="minorHAnsi" w:cstheme="minorBidi"/>
                <w:szCs w:val="24"/>
                <w:lang w:eastAsia="zh-CN"/>
              </w:rPr>
              <w:t>'</w:t>
            </w:r>
            <w:r w:rsidRPr="007122BC">
              <w:rPr>
                <w:rFonts w:asciiTheme="minorHAnsi" w:eastAsiaTheme="minorEastAsia" w:hAnsiTheme="minorHAnsi" w:cstheme="minorBidi"/>
                <w:szCs w:val="24"/>
                <w:lang w:eastAsia="zh-CN"/>
              </w:rPr>
              <w:t>exonération</w:t>
            </w:r>
            <w:r w:rsidR="004676BE" w:rsidRPr="007122BC">
              <w:rPr>
                <w:rFonts w:asciiTheme="minorHAnsi" w:eastAsiaTheme="minorEastAsia" w:hAnsiTheme="minorHAnsi" w:cstheme="minorBidi"/>
                <w:szCs w:val="24"/>
                <w:lang w:eastAsia="zh-CN"/>
              </w:rPr>
              <w:t>.</w:t>
            </w:r>
            <w:bookmarkEnd w:id="9"/>
          </w:p>
          <w:p w14:paraId="03FB9415" w14:textId="77777777" w:rsidR="00520F36" w:rsidRPr="00F40207" w:rsidRDefault="00520F36" w:rsidP="00745D39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FR"/>
              </w:rPr>
            </w:pPr>
            <w:r w:rsidRPr="00F40207">
              <w:rPr>
                <w:rFonts w:ascii="Calibri" w:hAnsi="Calibri"/>
                <w:caps w:val="0"/>
                <w:sz w:val="22"/>
                <w:lang w:val="fr-FR"/>
              </w:rPr>
              <w:t>____________</w:t>
            </w:r>
          </w:p>
          <w:p w14:paraId="656C8FE1" w14:textId="4B65734B" w:rsidR="00520F36" w:rsidRDefault="00520F36" w:rsidP="00745D39">
            <w:pPr>
              <w:pStyle w:val="Headingb"/>
            </w:pPr>
            <w:r w:rsidRPr="00F40207">
              <w:t>Références</w:t>
            </w:r>
          </w:p>
          <w:bookmarkStart w:id="10" w:name="lt_pId021"/>
          <w:p w14:paraId="5EB1D455" w14:textId="0D27EAB6" w:rsidR="00520F36" w:rsidRPr="0033455C" w:rsidRDefault="0033455C" w:rsidP="0033455C">
            <w:pPr>
              <w:spacing w:after="120"/>
              <w:rPr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fldChar w:fldCharType="begin"/>
            </w:r>
            <w:r>
              <w:rPr>
                <w:rFonts w:eastAsia="Calibri" w:cs="Calibri"/>
                <w:i/>
                <w:iCs/>
              </w:rPr>
              <w:instrText xml:space="preserve"> HYPERLINK "http://www.itu.int/itudoc/gs/council/c00/docs/28rev1.html" </w:instrText>
            </w:r>
            <w:r>
              <w:rPr>
                <w:rFonts w:eastAsia="Calibri" w:cs="Calibri"/>
                <w:i/>
                <w:iCs/>
              </w:rPr>
              <w:fldChar w:fldCharType="separate"/>
            </w:r>
            <w:r w:rsidR="009567D7" w:rsidRPr="0033455C">
              <w:rPr>
                <w:rStyle w:val="Hyperlink"/>
                <w:rFonts w:eastAsia="Calibri" w:cs="Calibri"/>
                <w:i/>
                <w:iCs/>
              </w:rPr>
              <w:t>Document C2000/28(Rév.1)</w:t>
            </w:r>
            <w:r>
              <w:rPr>
                <w:rFonts w:eastAsia="Calibri" w:cs="Calibri"/>
                <w:i/>
                <w:iCs/>
              </w:rPr>
              <w:fldChar w:fldCharType="end"/>
            </w:r>
            <w:r w:rsidR="004676BE" w:rsidRPr="0033455C">
              <w:rPr>
                <w:rStyle w:val="Hyperlink"/>
                <w:rFonts w:eastAsia="Calibri" w:cs="Calibri"/>
                <w:color w:val="auto"/>
                <w:u w:val="none"/>
              </w:rPr>
              <w:t>,</w:t>
            </w:r>
            <w:r w:rsidR="004676BE" w:rsidRPr="0033455C">
              <w:rPr>
                <w:rStyle w:val="Hyperlink"/>
                <w:rFonts w:eastAsia="Calibri" w:cs="Calibri"/>
                <w:i/>
                <w:iCs/>
                <w:color w:val="auto"/>
                <w:u w:val="none"/>
              </w:rPr>
              <w:t xml:space="preserve"> </w:t>
            </w:r>
            <w:hyperlink r:id="rId9" w:history="1">
              <w:r w:rsidR="00DB728F" w:rsidRPr="0033455C">
                <w:rPr>
                  <w:rStyle w:val="Hyperlink"/>
                  <w:rFonts w:eastAsia="Calibri" w:cs="Calibri"/>
                  <w:i/>
                  <w:iCs/>
                </w:rPr>
                <w:t>Résolution 925 du Conseil</w:t>
              </w:r>
            </w:hyperlink>
            <w:r w:rsidR="004676BE" w:rsidRPr="0033455C">
              <w:rPr>
                <w:rStyle w:val="Hyperlink"/>
                <w:rFonts w:eastAsia="Calibri" w:cs="Calibri"/>
                <w:i/>
                <w:iCs/>
                <w:color w:val="auto"/>
                <w:u w:val="none"/>
              </w:rPr>
              <w:t xml:space="preserve">, </w:t>
            </w:r>
            <w:hyperlink r:id="rId10" w:history="1">
              <w:r w:rsidR="009567D7" w:rsidRPr="0033455C">
                <w:rPr>
                  <w:rStyle w:val="Hyperlink"/>
                  <w:rFonts w:eastAsia="Calibri" w:cs="Calibri"/>
                  <w:i/>
                  <w:iCs/>
                </w:rPr>
                <w:t>Critères d</w:t>
              </w:r>
              <w:r w:rsidR="0020447B" w:rsidRPr="0033455C">
                <w:rPr>
                  <w:rStyle w:val="Hyperlink"/>
                  <w:rFonts w:eastAsia="Calibri" w:cs="Calibri"/>
                  <w:i/>
                  <w:iCs/>
                </w:rPr>
                <w:t>'</w:t>
              </w:r>
              <w:r w:rsidR="009567D7" w:rsidRPr="0033455C">
                <w:rPr>
                  <w:rStyle w:val="Hyperlink"/>
                  <w:rFonts w:eastAsia="Calibri" w:cs="Calibri"/>
                  <w:i/>
                  <w:iCs/>
                </w:rPr>
                <w:t>exonération établis par le Conseil (Rév.2017)</w:t>
              </w:r>
              <w:bookmarkEnd w:id="10"/>
            </w:hyperlink>
          </w:p>
        </w:tc>
      </w:tr>
    </w:tbl>
    <w:p w14:paraId="110EBD2C" w14:textId="540C49A1" w:rsidR="00897553" w:rsidRPr="00362268" w:rsidRDefault="004676BE" w:rsidP="00745D39">
      <w:pPr>
        <w:pStyle w:val="Heading1"/>
        <w:rPr>
          <w:rFonts w:eastAsia="Calibri"/>
        </w:rPr>
      </w:pPr>
      <w:r w:rsidRPr="00362268">
        <w:rPr>
          <w:rFonts w:eastAsia="Calibri"/>
        </w:rPr>
        <w:t>1</w:t>
      </w:r>
      <w:r w:rsidRPr="00362268">
        <w:rPr>
          <w:rFonts w:eastAsia="Calibri"/>
        </w:rPr>
        <w:tab/>
      </w:r>
      <w:r w:rsidR="00C95D7A">
        <w:rPr>
          <w:rFonts w:eastAsia="Calibri"/>
        </w:rPr>
        <w:t>Généralités</w:t>
      </w:r>
    </w:p>
    <w:p w14:paraId="41F85864" w14:textId="6C9CF9F8" w:rsidR="004676BE" w:rsidRPr="00765D8B" w:rsidRDefault="004676BE" w:rsidP="00745D39">
      <w:pPr>
        <w:rPr>
          <w:rFonts w:eastAsia="Calibri" w:cs="Calibri"/>
        </w:rPr>
      </w:pPr>
      <w:r w:rsidRPr="00765D8B">
        <w:t>1.1</w:t>
      </w:r>
      <w:r w:rsidRPr="00765D8B">
        <w:tab/>
      </w:r>
      <w:r w:rsidR="00080DDD" w:rsidRPr="00731D2B">
        <w:rPr>
          <w:rFonts w:eastAsia="Calibri" w:cs="Calibri"/>
        </w:rPr>
        <w:t>Chaque année, l</w:t>
      </w:r>
      <w:r w:rsidR="0020447B">
        <w:rPr>
          <w:rFonts w:eastAsia="Calibri" w:cs="Calibri"/>
        </w:rPr>
        <w:t>'</w:t>
      </w:r>
      <w:r w:rsidR="00080DDD" w:rsidRPr="00731D2B">
        <w:rPr>
          <w:rFonts w:eastAsia="Calibri" w:cs="Calibri"/>
        </w:rPr>
        <w:t xml:space="preserve">UIT reçoit des demandes </w:t>
      </w:r>
      <w:r w:rsidR="00467DF4">
        <w:rPr>
          <w:rFonts w:eastAsia="Calibri" w:cs="Calibri"/>
        </w:rPr>
        <w:t>d</w:t>
      </w:r>
      <w:r w:rsidR="0020447B">
        <w:rPr>
          <w:rFonts w:eastAsia="Calibri" w:cs="Calibri"/>
        </w:rPr>
        <w:t>'</w:t>
      </w:r>
      <w:r w:rsidR="00080DDD" w:rsidRPr="00731D2B">
        <w:rPr>
          <w:rFonts w:eastAsia="Calibri" w:cs="Calibri"/>
        </w:rPr>
        <w:t xml:space="preserve">organisations ayant un caractère international </w:t>
      </w:r>
      <w:r w:rsidR="00467DF4">
        <w:rPr>
          <w:rFonts w:eastAsia="Calibri" w:cs="Calibri"/>
        </w:rPr>
        <w:t>sollicitant l</w:t>
      </w:r>
      <w:r w:rsidR="0020447B">
        <w:rPr>
          <w:rFonts w:eastAsia="Calibri" w:cs="Calibri"/>
        </w:rPr>
        <w:t>'</w:t>
      </w:r>
      <w:r w:rsidR="00080DDD">
        <w:rPr>
          <w:rFonts w:eastAsia="Calibri" w:cs="Calibri"/>
        </w:rPr>
        <w:t>exonération du paiement des droits de membre et d</w:t>
      </w:r>
      <w:r w:rsidR="0020447B">
        <w:rPr>
          <w:rFonts w:eastAsia="Calibri" w:cs="Calibri"/>
        </w:rPr>
        <w:t>'</w:t>
      </w:r>
      <w:r w:rsidR="00080DDD">
        <w:rPr>
          <w:rFonts w:eastAsia="Calibri" w:cs="Calibri"/>
        </w:rPr>
        <w:t>autres contributions financières à l</w:t>
      </w:r>
      <w:r w:rsidR="0020447B">
        <w:rPr>
          <w:rFonts w:eastAsia="Calibri" w:cs="Calibri"/>
        </w:rPr>
        <w:t>'</w:t>
      </w:r>
      <w:r w:rsidR="00080DDD">
        <w:rPr>
          <w:rFonts w:eastAsia="Calibri" w:cs="Calibri"/>
        </w:rPr>
        <w:t>Union</w:t>
      </w:r>
      <w:r w:rsidR="00467DF4">
        <w:rPr>
          <w:rFonts w:eastAsia="Calibri" w:cs="Calibri"/>
        </w:rPr>
        <w:t xml:space="preserve"> sur la base de la réciprocité</w:t>
      </w:r>
      <w:r w:rsidRPr="00765D8B">
        <w:rPr>
          <w:rFonts w:eastAsia="Calibri" w:cs="Calibri"/>
        </w:rPr>
        <w:t xml:space="preserve">. </w:t>
      </w:r>
      <w:r w:rsidR="00765D8B" w:rsidRPr="00765D8B">
        <w:rPr>
          <w:rFonts w:eastAsia="Calibri" w:cs="Calibri"/>
        </w:rPr>
        <w:t xml:space="preserve">Ces demandes sont examinées conformément à la </w:t>
      </w:r>
      <w:r w:rsidR="00765D8B">
        <w:rPr>
          <w:rFonts w:eastAsia="Calibri" w:cs="Calibri"/>
        </w:rPr>
        <w:t>procé</w:t>
      </w:r>
      <w:r w:rsidR="00765D8B" w:rsidRPr="00765D8B">
        <w:rPr>
          <w:rFonts w:eastAsia="Calibri" w:cs="Calibri"/>
        </w:rPr>
        <w:t>dure établie par le Conseil à sa session de</w:t>
      </w:r>
      <w:r w:rsidRPr="00765D8B">
        <w:rPr>
          <w:rFonts w:eastAsia="Calibri" w:cs="Calibri"/>
        </w:rPr>
        <w:t xml:space="preserve"> 2000 (</w:t>
      </w:r>
      <w:hyperlink r:id="rId11" w:history="1">
        <w:r w:rsidR="00765D8B">
          <w:rPr>
            <w:rStyle w:val="Hyperlink"/>
            <w:rFonts w:eastAsia="Calibri" w:cs="Calibri"/>
          </w:rPr>
          <w:t>C2000/28(Ré</w:t>
        </w:r>
        <w:r w:rsidRPr="00765D8B">
          <w:rPr>
            <w:rStyle w:val="Hyperlink"/>
            <w:rFonts w:eastAsia="Calibri" w:cs="Calibri"/>
          </w:rPr>
          <w:t>v.1)</w:t>
        </w:r>
      </w:hyperlink>
      <w:r w:rsidRPr="00765D8B">
        <w:rPr>
          <w:rFonts w:eastAsia="Calibri" w:cs="Calibri"/>
        </w:rPr>
        <w:t>)</w:t>
      </w:r>
      <w:r w:rsidR="00765D8B">
        <w:rPr>
          <w:rFonts w:eastAsia="Calibri" w:cs="Calibri"/>
        </w:rPr>
        <w:t>, au numéro</w:t>
      </w:r>
      <w:r w:rsidRPr="00765D8B">
        <w:rPr>
          <w:rFonts w:eastAsia="Calibri" w:cs="Calibri"/>
        </w:rPr>
        <w:t xml:space="preserve"> 476 </w:t>
      </w:r>
      <w:r w:rsidR="00765D8B">
        <w:rPr>
          <w:rFonts w:eastAsia="Calibri" w:cs="Calibri"/>
        </w:rPr>
        <w:t>de la</w:t>
      </w:r>
      <w:r w:rsidRPr="00765D8B">
        <w:rPr>
          <w:rFonts w:eastAsia="Calibri" w:cs="Calibri"/>
        </w:rPr>
        <w:t xml:space="preserve"> Convention </w:t>
      </w:r>
      <w:r w:rsidR="00765D8B">
        <w:rPr>
          <w:rFonts w:eastAsia="Calibri" w:cs="Calibri"/>
        </w:rPr>
        <w:t>et à la</w:t>
      </w:r>
      <w:r w:rsidRPr="00765D8B">
        <w:rPr>
          <w:rFonts w:eastAsia="Calibri" w:cs="Calibri"/>
        </w:rPr>
        <w:t xml:space="preserve"> </w:t>
      </w:r>
      <w:hyperlink r:id="rId12" w:history="1">
        <w:r w:rsidR="00765D8B">
          <w:rPr>
            <w:rStyle w:val="Hyperlink"/>
            <w:rFonts w:eastAsia="Calibri" w:cs="Calibri"/>
          </w:rPr>
          <w:t>Résolution 925 du Conseil</w:t>
        </w:r>
      </w:hyperlink>
      <w:r w:rsidRPr="00765D8B">
        <w:rPr>
          <w:rFonts w:eastAsia="Calibri" w:cs="Calibri"/>
        </w:rPr>
        <w:t>.</w:t>
      </w:r>
    </w:p>
    <w:p w14:paraId="08D180B0" w14:textId="77777777" w:rsidR="00986B4C" w:rsidRDefault="00986B4C" w:rsidP="00745D39">
      <w:pPr>
        <w:rPr>
          <w:rFonts w:eastAsia="Calibri" w:cs="Calibri"/>
        </w:rPr>
      </w:pPr>
      <w:r>
        <w:rPr>
          <w:rFonts w:eastAsia="Calibri" w:cs="Calibri"/>
        </w:rPr>
        <w:br w:type="page"/>
      </w:r>
    </w:p>
    <w:p w14:paraId="7F493293" w14:textId="5B453365" w:rsidR="004676BE" w:rsidRDefault="004676BE" w:rsidP="00745D39">
      <w:pPr>
        <w:rPr>
          <w:lang w:val="fr-CH" w:eastAsia="zh-CN"/>
        </w:rPr>
      </w:pPr>
      <w:r w:rsidRPr="004676BE">
        <w:rPr>
          <w:rFonts w:eastAsia="Calibri" w:cs="Calibri"/>
        </w:rPr>
        <w:lastRenderedPageBreak/>
        <w:t>1.2</w:t>
      </w:r>
      <w:r w:rsidRPr="004676BE">
        <w:rPr>
          <w:rFonts w:eastAsia="Calibri" w:cs="Calibri"/>
        </w:rPr>
        <w:tab/>
      </w:r>
      <w:r w:rsidRPr="00DA2006">
        <w:rPr>
          <w:lang w:val="fr-CH" w:eastAsia="zh-CN"/>
        </w:rPr>
        <w:t>Les exonérations de paiement des droits sont accordées par le Conseil à la suite d</w:t>
      </w:r>
      <w:r w:rsidR="0020447B">
        <w:rPr>
          <w:lang w:val="fr-CH" w:eastAsia="zh-CN"/>
        </w:rPr>
        <w:t>'</w:t>
      </w:r>
      <w:r w:rsidRPr="00DA2006">
        <w:rPr>
          <w:lang w:val="fr-CH" w:eastAsia="zh-CN"/>
        </w:rPr>
        <w:t>une analyse des Secteurs concernés et d</w:t>
      </w:r>
      <w:r w:rsidR="0020447B">
        <w:rPr>
          <w:lang w:val="fr-CH" w:eastAsia="zh-CN"/>
        </w:rPr>
        <w:t>'</w:t>
      </w:r>
      <w:r w:rsidRPr="00DA2006">
        <w:rPr>
          <w:lang w:val="fr-CH" w:eastAsia="zh-CN"/>
        </w:rPr>
        <w:t>une recommandation du Secrétaire général.</w:t>
      </w:r>
      <w:r>
        <w:rPr>
          <w:lang w:val="fr-CH" w:eastAsia="zh-CN"/>
        </w:rPr>
        <w:t xml:space="preserve"> Si leur demande est approuvée</w:t>
      </w:r>
      <w:r w:rsidRPr="00DA2006">
        <w:rPr>
          <w:lang w:val="fr-CH" w:eastAsia="zh-CN"/>
        </w:rPr>
        <w:t>, les entité</w:t>
      </w:r>
      <w:r>
        <w:rPr>
          <w:lang w:val="fr-CH" w:eastAsia="zh-CN"/>
        </w:rPr>
        <w:t>s concernées deviennent des </w:t>
      </w:r>
      <w:r w:rsidRPr="00DA2006">
        <w:rPr>
          <w:lang w:val="fr-CH" w:eastAsia="zh-CN"/>
        </w:rPr>
        <w:t>Membres de Secteur ou des Associés au titre du numéro 231 de la Convention.</w:t>
      </w:r>
    </w:p>
    <w:p w14:paraId="64D2B543" w14:textId="7FEF8657" w:rsidR="004676BE" w:rsidRDefault="004676BE" w:rsidP="00745D39">
      <w:pPr>
        <w:rPr>
          <w:lang w:val="fr-CH" w:eastAsia="zh-CN"/>
        </w:rPr>
      </w:pPr>
      <w:r>
        <w:rPr>
          <w:lang w:val="fr-CH" w:eastAsia="zh-CN"/>
        </w:rPr>
        <w:t>1.3</w:t>
      </w:r>
      <w:r>
        <w:rPr>
          <w:lang w:val="fr-CH" w:eastAsia="zh-CN"/>
        </w:rPr>
        <w:tab/>
      </w:r>
      <w:r w:rsidRPr="00DA2006">
        <w:rPr>
          <w:lang w:val="fr-CH" w:eastAsia="zh-CN"/>
        </w:rPr>
        <w:t>Actuellement</w:t>
      </w:r>
      <w:r>
        <w:rPr>
          <w:lang w:val="fr-CH" w:eastAsia="zh-CN"/>
        </w:rPr>
        <w:t xml:space="preserve">, 130 organisations </w:t>
      </w:r>
      <w:r w:rsidR="00765D8B">
        <w:rPr>
          <w:lang w:val="fr-CH" w:eastAsia="zh-CN"/>
        </w:rPr>
        <w:t>ayant un caractère international</w:t>
      </w:r>
      <w:r w:rsidRPr="00DA2006">
        <w:rPr>
          <w:lang w:val="fr-CH" w:eastAsia="zh-CN"/>
        </w:rPr>
        <w:t xml:space="preserve"> sont exonérées de droits.</w:t>
      </w:r>
      <w:r w:rsidR="00080DDD">
        <w:rPr>
          <w:lang w:val="fr-CH" w:eastAsia="zh-CN"/>
        </w:rPr>
        <w:t xml:space="preserve"> La liste complète est disponible </w:t>
      </w:r>
      <w:hyperlink r:id="rId13" w:history="1">
        <w:r w:rsidR="00080DDD" w:rsidRPr="00080DDD">
          <w:rPr>
            <w:rStyle w:val="Hyperlink"/>
            <w:lang w:val="fr-CH" w:eastAsia="zh-CN"/>
          </w:rPr>
          <w:t>ici</w:t>
        </w:r>
      </w:hyperlink>
      <w:r w:rsidR="00080DDD">
        <w:rPr>
          <w:lang w:val="fr-CH" w:eastAsia="zh-CN"/>
        </w:rPr>
        <w:t>.</w:t>
      </w:r>
    </w:p>
    <w:p w14:paraId="5632F364" w14:textId="3DD242C8" w:rsidR="004676BE" w:rsidRDefault="004676BE" w:rsidP="00745D39">
      <w:pPr>
        <w:rPr>
          <w:bCs/>
          <w:iCs/>
          <w:szCs w:val="22"/>
          <w:lang w:val="fr-CH" w:eastAsia="zh-CN"/>
        </w:rPr>
      </w:pPr>
      <w:r>
        <w:rPr>
          <w:lang w:val="fr-CH" w:eastAsia="zh-CN"/>
        </w:rPr>
        <w:t>1.4</w:t>
      </w:r>
      <w:r>
        <w:rPr>
          <w:lang w:val="fr-CH" w:eastAsia="zh-CN"/>
        </w:rPr>
        <w:tab/>
      </w:r>
      <w:r w:rsidRPr="00DA2006">
        <w:rPr>
          <w:bCs/>
          <w:iCs/>
          <w:szCs w:val="22"/>
          <w:lang w:val="fr-CH" w:eastAsia="zh-CN"/>
        </w:rPr>
        <w:t xml:space="preserve">Par sa Résolution 187 (Busan, 2014), la </w:t>
      </w:r>
      <w:r w:rsidR="0015782B">
        <w:rPr>
          <w:bCs/>
          <w:iCs/>
          <w:szCs w:val="22"/>
          <w:lang w:val="fr-CH" w:eastAsia="zh-CN"/>
        </w:rPr>
        <w:t>Conférence de plénipotentiaires de 2014</w:t>
      </w:r>
      <w:r w:rsidRPr="00DA2006">
        <w:rPr>
          <w:bCs/>
          <w:iCs/>
          <w:szCs w:val="22"/>
          <w:lang w:val="fr-CH" w:eastAsia="zh-CN"/>
        </w:rPr>
        <w:t xml:space="preserve"> a chargé le Conseil "de revoir la pratique et les critères relatifs à l</w:t>
      </w:r>
      <w:r w:rsidR="0020447B">
        <w:rPr>
          <w:bCs/>
          <w:iCs/>
          <w:szCs w:val="22"/>
          <w:lang w:val="fr-CH" w:eastAsia="zh-CN"/>
        </w:rPr>
        <w:t>'</w:t>
      </w:r>
      <w:r w:rsidRPr="00DA2006">
        <w:rPr>
          <w:bCs/>
          <w:iCs/>
          <w:szCs w:val="22"/>
          <w:lang w:val="fr-CH" w:eastAsia="zh-CN"/>
        </w:rPr>
        <w:t>exonération de certaines entités du paiement des droits de membre et d</w:t>
      </w:r>
      <w:r w:rsidR="0020447B">
        <w:rPr>
          <w:bCs/>
          <w:iCs/>
          <w:szCs w:val="22"/>
          <w:lang w:val="fr-CH" w:eastAsia="zh-CN"/>
        </w:rPr>
        <w:t>'</w:t>
      </w:r>
      <w:r w:rsidRPr="00DA2006">
        <w:rPr>
          <w:bCs/>
          <w:iCs/>
          <w:szCs w:val="22"/>
          <w:lang w:val="fr-CH" w:eastAsia="zh-CN"/>
        </w:rPr>
        <w:t>apporter, le cas échéant, des modifications, afin de rendre les critères d</w:t>
      </w:r>
      <w:r w:rsidR="0020447B">
        <w:rPr>
          <w:bCs/>
          <w:iCs/>
          <w:szCs w:val="22"/>
          <w:lang w:val="fr-CH" w:eastAsia="zh-CN"/>
        </w:rPr>
        <w:t>'</w:t>
      </w:r>
      <w:r w:rsidRPr="00DA2006">
        <w:rPr>
          <w:bCs/>
          <w:iCs/>
          <w:szCs w:val="22"/>
          <w:lang w:val="fr-CH" w:eastAsia="zh-CN"/>
        </w:rPr>
        <w:t>admissibilité plus stricts pour contribuer à améliorer la clarté, l</w:t>
      </w:r>
      <w:r w:rsidR="0020447B">
        <w:rPr>
          <w:bCs/>
          <w:iCs/>
          <w:szCs w:val="22"/>
          <w:lang w:val="fr-CH" w:eastAsia="zh-CN"/>
        </w:rPr>
        <w:t>'</w:t>
      </w:r>
      <w:r w:rsidRPr="00DA2006">
        <w:rPr>
          <w:bCs/>
          <w:iCs/>
          <w:szCs w:val="22"/>
          <w:lang w:val="fr-CH" w:eastAsia="zh-CN"/>
        </w:rPr>
        <w:t>homogénéité et l</w:t>
      </w:r>
      <w:r w:rsidR="0020447B">
        <w:rPr>
          <w:bCs/>
          <w:iCs/>
          <w:szCs w:val="22"/>
          <w:lang w:val="fr-CH" w:eastAsia="zh-CN"/>
        </w:rPr>
        <w:t>'</w:t>
      </w:r>
      <w:r w:rsidRPr="00DA2006">
        <w:rPr>
          <w:bCs/>
          <w:iCs/>
          <w:szCs w:val="22"/>
          <w:lang w:val="fr-CH" w:eastAsia="zh-CN"/>
        </w:rPr>
        <w:t>équité entre les membres qui paient des contributions et ceux qui n</w:t>
      </w:r>
      <w:r w:rsidR="0020447B">
        <w:rPr>
          <w:bCs/>
          <w:iCs/>
          <w:szCs w:val="22"/>
          <w:lang w:val="fr-CH" w:eastAsia="zh-CN"/>
        </w:rPr>
        <w:t>'</w:t>
      </w:r>
      <w:r w:rsidRPr="00DA2006">
        <w:rPr>
          <w:bCs/>
          <w:iCs/>
          <w:szCs w:val="22"/>
          <w:lang w:val="fr-CH" w:eastAsia="zh-CN"/>
        </w:rPr>
        <w:t>en acquittent aucune et réduire le nombre total d</w:t>
      </w:r>
      <w:r w:rsidR="0020447B">
        <w:rPr>
          <w:bCs/>
          <w:iCs/>
          <w:szCs w:val="22"/>
          <w:lang w:val="fr-CH" w:eastAsia="zh-CN"/>
        </w:rPr>
        <w:t>'</w:t>
      </w:r>
      <w:r w:rsidRPr="00DA2006">
        <w:rPr>
          <w:bCs/>
          <w:iCs/>
          <w:szCs w:val="22"/>
          <w:lang w:val="fr-CH" w:eastAsia="zh-CN"/>
        </w:rPr>
        <w:t>entités exonérées".</w:t>
      </w:r>
    </w:p>
    <w:p w14:paraId="0C4DF8F5" w14:textId="03DD59A0" w:rsidR="004676BE" w:rsidRPr="0015782B" w:rsidRDefault="004676BE" w:rsidP="00745D39">
      <w:pPr>
        <w:rPr>
          <w:lang w:eastAsia="zh-CN"/>
        </w:rPr>
      </w:pPr>
      <w:r w:rsidRPr="0015782B">
        <w:rPr>
          <w:lang w:eastAsia="zh-CN"/>
        </w:rPr>
        <w:t>1.5</w:t>
      </w:r>
      <w:r w:rsidRPr="0015782B">
        <w:rPr>
          <w:lang w:eastAsia="zh-CN"/>
        </w:rPr>
        <w:tab/>
      </w:r>
      <w:r w:rsidR="0015782B" w:rsidRPr="00745D39">
        <w:rPr>
          <w:caps/>
          <w:lang w:eastAsia="zh-CN"/>
        </w:rPr>
        <w:t>à</w:t>
      </w:r>
      <w:r w:rsidR="0015782B" w:rsidRPr="0015782B">
        <w:rPr>
          <w:lang w:eastAsia="zh-CN"/>
        </w:rPr>
        <w:t xml:space="preserve"> sa session de 2017, </w:t>
      </w:r>
      <w:r w:rsidR="00467DF4">
        <w:rPr>
          <w:lang w:eastAsia="zh-CN"/>
        </w:rPr>
        <w:t xml:space="preserve">le Conseil </w:t>
      </w:r>
      <w:r w:rsidR="0015782B">
        <w:rPr>
          <w:lang w:eastAsia="zh-CN"/>
        </w:rPr>
        <w:t xml:space="preserve">a approuvé </w:t>
      </w:r>
      <w:r w:rsidR="00467DF4">
        <w:rPr>
          <w:lang w:eastAsia="zh-CN"/>
        </w:rPr>
        <w:t xml:space="preserve">des </w:t>
      </w:r>
      <w:r w:rsidR="0015782B">
        <w:rPr>
          <w:lang w:eastAsia="zh-CN"/>
        </w:rPr>
        <w:t xml:space="preserve">critères révisés, qui </w:t>
      </w:r>
      <w:r w:rsidR="00467DF4">
        <w:rPr>
          <w:lang w:eastAsia="zh-CN"/>
        </w:rPr>
        <w:t xml:space="preserve">peuvent être consultés </w:t>
      </w:r>
      <w:hyperlink r:id="rId14" w:history="1">
        <w:r w:rsidR="0015782B">
          <w:rPr>
            <w:rStyle w:val="Hyperlink"/>
            <w:rFonts w:eastAsia="Calibri"/>
            <w:lang w:eastAsia="zh-CN"/>
          </w:rPr>
          <w:t>ici</w:t>
        </w:r>
      </w:hyperlink>
      <w:r w:rsidRPr="0015782B">
        <w:rPr>
          <w:lang w:eastAsia="zh-CN"/>
        </w:rPr>
        <w:t xml:space="preserve">. </w:t>
      </w:r>
      <w:r w:rsidR="00467DF4">
        <w:rPr>
          <w:lang w:eastAsia="zh-CN"/>
        </w:rPr>
        <w:t xml:space="preserve">Le Conseil examine depuis lors les </w:t>
      </w:r>
      <w:r w:rsidR="0015782B">
        <w:rPr>
          <w:lang w:eastAsia="zh-CN"/>
        </w:rPr>
        <w:t xml:space="preserve">nouvelles demandes </w:t>
      </w:r>
      <w:r w:rsidR="00467DF4">
        <w:rPr>
          <w:lang w:eastAsia="zh-CN"/>
        </w:rPr>
        <w:t xml:space="preserve">selon </w:t>
      </w:r>
      <w:r w:rsidR="0015782B">
        <w:rPr>
          <w:lang w:eastAsia="zh-CN"/>
        </w:rPr>
        <w:t>ces critères</w:t>
      </w:r>
      <w:r w:rsidRPr="0015782B">
        <w:rPr>
          <w:lang w:eastAsia="zh-CN"/>
        </w:rPr>
        <w:t>.</w:t>
      </w:r>
    </w:p>
    <w:p w14:paraId="42489CEA" w14:textId="654A7CB8" w:rsidR="004676BE" w:rsidRPr="00362268" w:rsidRDefault="004676BE" w:rsidP="00745D39">
      <w:pPr>
        <w:rPr>
          <w:lang w:eastAsia="zh-CN"/>
        </w:rPr>
      </w:pPr>
      <w:r w:rsidRPr="0015782B">
        <w:rPr>
          <w:lang w:eastAsia="zh-CN"/>
        </w:rPr>
        <w:t>1.6</w:t>
      </w:r>
      <w:r w:rsidRPr="0015782B">
        <w:rPr>
          <w:lang w:eastAsia="zh-CN"/>
        </w:rPr>
        <w:tab/>
      </w:r>
      <w:r w:rsidR="0015782B" w:rsidRPr="0015782B">
        <w:rPr>
          <w:lang w:eastAsia="zh-CN"/>
        </w:rPr>
        <w:t>À sa</w:t>
      </w:r>
      <w:r w:rsidRPr="0015782B">
        <w:rPr>
          <w:lang w:eastAsia="zh-CN"/>
        </w:rPr>
        <w:t xml:space="preserve"> session</w:t>
      </w:r>
      <w:r w:rsidR="0015782B" w:rsidRPr="0015782B">
        <w:rPr>
          <w:lang w:eastAsia="zh-CN"/>
        </w:rPr>
        <w:t xml:space="preserve"> de 2019</w:t>
      </w:r>
      <w:r w:rsidRPr="0015782B">
        <w:rPr>
          <w:lang w:eastAsia="zh-CN"/>
        </w:rPr>
        <w:t xml:space="preserve">, </w:t>
      </w:r>
      <w:r w:rsidR="0015782B" w:rsidRPr="0015782B">
        <w:rPr>
          <w:lang w:eastAsia="zh-CN"/>
        </w:rPr>
        <w:t>le Conseil a décidé d</w:t>
      </w:r>
      <w:r w:rsidR="0020447B">
        <w:rPr>
          <w:lang w:eastAsia="zh-CN"/>
        </w:rPr>
        <w:t>'</w:t>
      </w:r>
      <w:r w:rsidR="0015782B" w:rsidRPr="0015782B">
        <w:rPr>
          <w:lang w:eastAsia="zh-CN"/>
        </w:rPr>
        <w:t>appliquer les critères révisés</w:t>
      </w:r>
      <w:r w:rsidRPr="0015782B">
        <w:rPr>
          <w:lang w:eastAsia="zh-CN"/>
        </w:rPr>
        <w:t xml:space="preserve"> </w:t>
      </w:r>
      <w:r w:rsidR="0015782B" w:rsidRPr="0015782B">
        <w:rPr>
          <w:lang w:eastAsia="zh-CN"/>
        </w:rPr>
        <w:t>aux nouvelles demandes et de</w:t>
      </w:r>
      <w:r w:rsidR="00080DDD">
        <w:rPr>
          <w:lang w:eastAsia="zh-CN"/>
        </w:rPr>
        <w:t xml:space="preserve"> conserver la liste actuelle</w:t>
      </w:r>
      <w:r w:rsidR="0015782B" w:rsidRPr="0015782B">
        <w:rPr>
          <w:lang w:eastAsia="zh-CN"/>
        </w:rPr>
        <w:t xml:space="preserve"> </w:t>
      </w:r>
      <w:r w:rsidR="00080DDD">
        <w:rPr>
          <w:lang w:eastAsia="zh-CN"/>
        </w:rPr>
        <w:t>(c</w:t>
      </w:r>
      <w:r w:rsidR="0020447B">
        <w:rPr>
          <w:lang w:eastAsia="zh-CN"/>
        </w:rPr>
        <w:t>'</w:t>
      </w:r>
      <w:r w:rsidR="00080DDD">
        <w:rPr>
          <w:lang w:eastAsia="zh-CN"/>
        </w:rPr>
        <w:t>est-à-dire</w:t>
      </w:r>
      <w:r w:rsidR="00456751">
        <w:rPr>
          <w:lang w:eastAsia="zh-CN"/>
        </w:rPr>
        <w:t xml:space="preserve"> de</w:t>
      </w:r>
      <w:r w:rsidR="00080DDD">
        <w:rPr>
          <w:lang w:eastAsia="zh-CN"/>
        </w:rPr>
        <w:t xml:space="preserve"> "maintenir</w:t>
      </w:r>
      <w:r w:rsidR="0015782B">
        <w:rPr>
          <w:lang w:eastAsia="zh-CN"/>
        </w:rPr>
        <w:t xml:space="preserve"> </w:t>
      </w:r>
      <w:r w:rsidR="00080DDD">
        <w:rPr>
          <w:lang w:eastAsia="zh-CN"/>
        </w:rPr>
        <w:t>les droits acquis"</w:t>
      </w:r>
      <w:r w:rsidRPr="0015782B">
        <w:rPr>
          <w:lang w:eastAsia="zh-CN"/>
        </w:rPr>
        <w:t xml:space="preserve"> </w:t>
      </w:r>
      <w:r w:rsidR="00080DDD">
        <w:rPr>
          <w:lang w:eastAsia="zh-CN"/>
        </w:rPr>
        <w:t>des entités qui y figurent)</w:t>
      </w:r>
      <w:r w:rsidRPr="0015782B">
        <w:rPr>
          <w:lang w:eastAsia="zh-CN"/>
        </w:rPr>
        <w:t xml:space="preserve"> </w:t>
      </w:r>
      <w:r w:rsidR="00666921">
        <w:rPr>
          <w:lang w:eastAsia="zh-CN"/>
        </w:rPr>
        <w:t>pendant quatre années supplémentaires</w:t>
      </w:r>
      <w:r w:rsidRPr="0015782B">
        <w:rPr>
          <w:lang w:eastAsia="zh-CN"/>
        </w:rPr>
        <w:t xml:space="preserve"> </w:t>
      </w:r>
      <w:r w:rsidR="0015782B">
        <w:rPr>
          <w:lang w:eastAsia="zh-CN"/>
        </w:rPr>
        <w:t xml:space="preserve">à titre </w:t>
      </w:r>
      <w:r w:rsidR="00467DF4">
        <w:rPr>
          <w:lang w:eastAsia="zh-CN"/>
        </w:rPr>
        <w:t>transitoire</w:t>
      </w:r>
      <w:r w:rsidRPr="0015782B">
        <w:rPr>
          <w:lang w:eastAsia="zh-CN"/>
        </w:rPr>
        <w:t xml:space="preserve">. </w:t>
      </w:r>
      <w:r w:rsidR="00666921" w:rsidRPr="00362268">
        <w:rPr>
          <w:lang w:eastAsia="zh-CN"/>
        </w:rPr>
        <w:t>Ces derniers mois</w:t>
      </w:r>
      <w:r w:rsidRPr="00362268">
        <w:rPr>
          <w:lang w:eastAsia="zh-CN"/>
        </w:rPr>
        <w:t xml:space="preserve">, </w:t>
      </w:r>
      <w:r w:rsidR="00666921" w:rsidRPr="00362268">
        <w:rPr>
          <w:lang w:eastAsia="zh-CN"/>
        </w:rPr>
        <w:t>le secré</w:t>
      </w:r>
      <w:r w:rsidRPr="00362268">
        <w:rPr>
          <w:lang w:eastAsia="zh-CN"/>
        </w:rPr>
        <w:t xml:space="preserve">tariat </w:t>
      </w:r>
      <w:r w:rsidR="00666921" w:rsidRPr="00362268">
        <w:rPr>
          <w:lang w:eastAsia="zh-CN"/>
        </w:rPr>
        <w:t xml:space="preserve">a </w:t>
      </w:r>
      <w:r w:rsidR="00D73A20">
        <w:rPr>
          <w:lang w:eastAsia="zh-CN"/>
        </w:rPr>
        <w:t xml:space="preserve">pris contact avec </w:t>
      </w:r>
      <w:r w:rsidR="00666921" w:rsidRPr="00362268">
        <w:rPr>
          <w:lang w:eastAsia="zh-CN"/>
        </w:rPr>
        <w:t>toutes les entités</w:t>
      </w:r>
      <w:r w:rsidR="00362268">
        <w:rPr>
          <w:lang w:eastAsia="zh-CN"/>
        </w:rPr>
        <w:t xml:space="preserve"> </w:t>
      </w:r>
      <w:r w:rsidR="00456751">
        <w:rPr>
          <w:lang w:eastAsia="zh-CN"/>
        </w:rPr>
        <w:t>bénéficiant actuellement d</w:t>
      </w:r>
      <w:r w:rsidR="0020447B">
        <w:rPr>
          <w:lang w:eastAsia="zh-CN"/>
        </w:rPr>
        <w:t>'</w:t>
      </w:r>
      <w:r w:rsidR="00456751">
        <w:rPr>
          <w:lang w:eastAsia="zh-CN"/>
        </w:rPr>
        <w:t>une exonération</w:t>
      </w:r>
      <w:r w:rsidR="00064CD3">
        <w:rPr>
          <w:lang w:eastAsia="zh-CN"/>
        </w:rPr>
        <w:t xml:space="preserve"> afin</w:t>
      </w:r>
      <w:r w:rsidRPr="00362268">
        <w:rPr>
          <w:lang w:eastAsia="zh-CN"/>
        </w:rPr>
        <w:t xml:space="preserve"> </w:t>
      </w:r>
      <w:r w:rsidR="00362268">
        <w:rPr>
          <w:lang w:eastAsia="zh-CN"/>
        </w:rPr>
        <w:t xml:space="preserve">de mettre à jour </w:t>
      </w:r>
      <w:r w:rsidR="00064CD3">
        <w:rPr>
          <w:lang w:eastAsia="zh-CN"/>
        </w:rPr>
        <w:t xml:space="preserve">leur dossier et de vérifier </w:t>
      </w:r>
      <w:r w:rsidR="00362268">
        <w:rPr>
          <w:lang w:eastAsia="zh-CN"/>
        </w:rPr>
        <w:t xml:space="preserve">si elles souhaitent </w:t>
      </w:r>
      <w:r w:rsidR="00064CD3">
        <w:rPr>
          <w:lang w:eastAsia="zh-CN"/>
        </w:rPr>
        <w:t xml:space="preserve">conserver leur statut </w:t>
      </w:r>
      <w:r w:rsidR="00362268">
        <w:rPr>
          <w:lang w:eastAsia="zh-CN"/>
        </w:rPr>
        <w:t>sous réserve de réciprocité</w:t>
      </w:r>
      <w:r w:rsidRPr="00362268">
        <w:rPr>
          <w:lang w:eastAsia="zh-CN"/>
        </w:rPr>
        <w:t xml:space="preserve">. </w:t>
      </w:r>
      <w:r w:rsidR="00362268">
        <w:rPr>
          <w:lang w:eastAsia="zh-CN"/>
        </w:rPr>
        <w:t>Sur cette base</w:t>
      </w:r>
      <w:r w:rsidRPr="00362268">
        <w:rPr>
          <w:lang w:eastAsia="zh-CN"/>
        </w:rPr>
        <w:t xml:space="preserve">, </w:t>
      </w:r>
      <w:r w:rsidR="00362268" w:rsidRPr="00362268">
        <w:rPr>
          <w:lang w:eastAsia="zh-CN"/>
        </w:rPr>
        <w:t xml:space="preserve">le secrétariat </w:t>
      </w:r>
      <w:r w:rsidR="00064CD3">
        <w:rPr>
          <w:lang w:eastAsia="zh-CN"/>
        </w:rPr>
        <w:t>a entrepris de réexaminer</w:t>
      </w:r>
      <w:r w:rsidR="00064CD3" w:rsidRPr="00362268">
        <w:rPr>
          <w:lang w:eastAsia="zh-CN"/>
        </w:rPr>
        <w:t xml:space="preserve"> </w:t>
      </w:r>
      <w:r w:rsidR="00064CD3">
        <w:rPr>
          <w:lang w:eastAsia="zh-CN"/>
        </w:rPr>
        <w:t>l</w:t>
      </w:r>
      <w:r w:rsidR="0020447B">
        <w:rPr>
          <w:lang w:eastAsia="zh-CN"/>
        </w:rPr>
        <w:t>'</w:t>
      </w:r>
      <w:r w:rsidR="00064CD3">
        <w:rPr>
          <w:lang w:eastAsia="zh-CN"/>
        </w:rPr>
        <w:t xml:space="preserve">ensemble de la </w:t>
      </w:r>
      <w:r w:rsidR="00456751">
        <w:rPr>
          <w:lang w:eastAsia="zh-CN"/>
        </w:rPr>
        <w:t xml:space="preserve">liste </w:t>
      </w:r>
      <w:r w:rsidR="00362268" w:rsidRPr="00362268">
        <w:rPr>
          <w:lang w:eastAsia="zh-CN"/>
        </w:rPr>
        <w:t>des entités exonérées</w:t>
      </w:r>
      <w:r w:rsidRPr="00362268">
        <w:rPr>
          <w:lang w:eastAsia="zh-CN"/>
        </w:rPr>
        <w:t xml:space="preserve"> </w:t>
      </w:r>
      <w:r w:rsidR="00362268" w:rsidRPr="00362268">
        <w:rPr>
          <w:lang w:eastAsia="zh-CN"/>
        </w:rPr>
        <w:t xml:space="preserve">pour </w:t>
      </w:r>
      <w:r w:rsidR="00362268">
        <w:rPr>
          <w:lang w:eastAsia="zh-CN"/>
        </w:rPr>
        <w:t>dé</w:t>
      </w:r>
      <w:r w:rsidR="00362268" w:rsidRPr="00362268">
        <w:rPr>
          <w:lang w:eastAsia="zh-CN"/>
        </w:rPr>
        <w:t xml:space="preserve">terminer si elles </w:t>
      </w:r>
      <w:r w:rsidR="00456751">
        <w:rPr>
          <w:lang w:eastAsia="zh-CN"/>
        </w:rPr>
        <w:t>satisfont aux</w:t>
      </w:r>
      <w:r w:rsidR="00362268" w:rsidRPr="00362268">
        <w:rPr>
          <w:lang w:eastAsia="zh-CN"/>
        </w:rPr>
        <w:t xml:space="preserve"> critères révisés, dans </w:t>
      </w:r>
      <w:r w:rsidR="00064CD3">
        <w:rPr>
          <w:lang w:eastAsia="zh-CN"/>
        </w:rPr>
        <w:t>l</w:t>
      </w:r>
      <w:r w:rsidR="0020447B">
        <w:rPr>
          <w:lang w:eastAsia="zh-CN"/>
        </w:rPr>
        <w:t>'</w:t>
      </w:r>
      <w:r w:rsidR="00064CD3">
        <w:rPr>
          <w:lang w:eastAsia="zh-CN"/>
        </w:rPr>
        <w:t xml:space="preserve">intention </w:t>
      </w:r>
      <w:r w:rsidR="00362268" w:rsidRPr="00362268">
        <w:rPr>
          <w:lang w:eastAsia="zh-CN"/>
        </w:rPr>
        <w:t xml:space="preserve">de </w:t>
      </w:r>
      <w:r w:rsidR="00362268">
        <w:rPr>
          <w:lang w:eastAsia="zh-CN"/>
        </w:rPr>
        <w:t>pré</w:t>
      </w:r>
      <w:r w:rsidR="00362268" w:rsidRPr="00362268">
        <w:rPr>
          <w:lang w:eastAsia="zh-CN"/>
        </w:rPr>
        <w:t xml:space="preserve">senter un rapport complet </w:t>
      </w:r>
      <w:r w:rsidR="00064CD3">
        <w:rPr>
          <w:lang w:eastAsia="zh-CN"/>
        </w:rPr>
        <w:t xml:space="preserve">à ce sujet au </w:t>
      </w:r>
      <w:r w:rsidR="00362268" w:rsidRPr="00362268">
        <w:rPr>
          <w:lang w:eastAsia="zh-CN"/>
        </w:rPr>
        <w:t>Conseil pour examen</w:t>
      </w:r>
      <w:r w:rsidR="00064CD3">
        <w:rPr>
          <w:lang w:eastAsia="zh-CN"/>
        </w:rPr>
        <w:t xml:space="preserve"> à sa prochaine session</w:t>
      </w:r>
      <w:r w:rsidRPr="00362268">
        <w:rPr>
          <w:lang w:eastAsia="zh-CN"/>
        </w:rPr>
        <w:t>.</w:t>
      </w:r>
    </w:p>
    <w:p w14:paraId="4CCDB7A0" w14:textId="0F12227D" w:rsidR="004676BE" w:rsidRPr="004E23B6" w:rsidRDefault="004676BE" w:rsidP="00745D39">
      <w:pPr>
        <w:pStyle w:val="Heading1"/>
        <w:rPr>
          <w:rFonts w:eastAsia="Calibri"/>
        </w:rPr>
      </w:pPr>
      <w:r w:rsidRPr="004E23B6">
        <w:rPr>
          <w:rFonts w:eastAsia="Calibri"/>
        </w:rPr>
        <w:t>2</w:t>
      </w:r>
      <w:r w:rsidRPr="004E23B6">
        <w:rPr>
          <w:rFonts w:eastAsia="Calibri"/>
        </w:rPr>
        <w:tab/>
      </w:r>
      <w:bookmarkStart w:id="11" w:name="lt_pId043"/>
      <w:r w:rsidR="004E23B6" w:rsidRPr="004E23B6">
        <w:rPr>
          <w:rFonts w:eastAsia="Calibri"/>
        </w:rPr>
        <w:t>Nouvelles demandes et recommandations</w:t>
      </w:r>
      <w:bookmarkEnd w:id="11"/>
    </w:p>
    <w:p w14:paraId="094EE748" w14:textId="5E7A2B0A" w:rsidR="004676BE" w:rsidRPr="00F25B94" w:rsidRDefault="004676BE" w:rsidP="00986B4C">
      <w:pPr>
        <w:spacing w:after="120"/>
        <w:rPr>
          <w:lang w:val="en-GB"/>
        </w:rPr>
      </w:pPr>
      <w:r w:rsidRPr="00F25B94">
        <w:rPr>
          <w:lang w:val="en-GB"/>
        </w:rPr>
        <w:t>2.1</w:t>
      </w:r>
    </w:p>
    <w:tbl>
      <w:tblPr>
        <w:tblW w:w="73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44"/>
        <w:gridCol w:w="1260"/>
        <w:gridCol w:w="2730"/>
      </w:tblGrid>
      <w:tr w:rsidR="00DF078A" w:rsidRPr="00B119AE" w14:paraId="52D5EBA9" w14:textId="77777777" w:rsidTr="00986B4C">
        <w:trPr>
          <w:cantSplit/>
          <w:jc w:val="center"/>
        </w:trPr>
        <w:tc>
          <w:tcPr>
            <w:tcW w:w="3344" w:type="dxa"/>
          </w:tcPr>
          <w:p w14:paraId="3CEC6460" w14:textId="77777777" w:rsidR="00DF078A" w:rsidRPr="00986B4C" w:rsidRDefault="00DF078A" w:rsidP="00986B4C">
            <w:pPr>
              <w:pStyle w:val="TableHead0"/>
              <w:rPr>
                <w:rFonts w:asciiTheme="minorHAnsi" w:hAnsiTheme="minorHAnsi"/>
                <w:sz w:val="22"/>
                <w:szCs w:val="22"/>
              </w:rPr>
            </w:pPr>
            <w:r w:rsidRPr="00986B4C">
              <w:rPr>
                <w:rFonts w:asciiTheme="minorHAnsi" w:hAnsiTheme="minorHAnsi"/>
                <w:sz w:val="22"/>
                <w:szCs w:val="22"/>
              </w:rPr>
              <w:t>Organisation</w:t>
            </w:r>
          </w:p>
        </w:tc>
        <w:tc>
          <w:tcPr>
            <w:tcW w:w="1260" w:type="dxa"/>
          </w:tcPr>
          <w:p w14:paraId="53D3870C" w14:textId="77777777" w:rsidR="00DF078A" w:rsidRPr="00986B4C" w:rsidRDefault="00DF078A" w:rsidP="00986B4C">
            <w:pPr>
              <w:pStyle w:val="TableHead0"/>
              <w:rPr>
                <w:rFonts w:asciiTheme="minorHAnsi" w:hAnsiTheme="minorHAnsi"/>
                <w:sz w:val="22"/>
                <w:szCs w:val="22"/>
              </w:rPr>
            </w:pPr>
            <w:r w:rsidRPr="00986B4C">
              <w:rPr>
                <w:rFonts w:asciiTheme="minorHAnsi" w:hAnsiTheme="minorHAnsi"/>
                <w:sz w:val="22"/>
                <w:szCs w:val="22"/>
              </w:rPr>
              <w:t>Secteur</w:t>
            </w:r>
          </w:p>
        </w:tc>
        <w:tc>
          <w:tcPr>
            <w:tcW w:w="2730" w:type="dxa"/>
          </w:tcPr>
          <w:p w14:paraId="74F0BED5" w14:textId="3E342172" w:rsidR="00DF078A" w:rsidRPr="00986B4C" w:rsidRDefault="00DF078A" w:rsidP="00986B4C">
            <w:pPr>
              <w:pStyle w:val="TableHead0"/>
              <w:rPr>
                <w:rFonts w:asciiTheme="minorHAnsi" w:hAnsiTheme="minorHAnsi"/>
                <w:sz w:val="22"/>
                <w:szCs w:val="22"/>
              </w:rPr>
            </w:pPr>
            <w:r w:rsidRPr="00986B4C">
              <w:rPr>
                <w:rFonts w:asciiTheme="minorHAnsi" w:hAnsiTheme="minorHAnsi"/>
                <w:sz w:val="22"/>
                <w:szCs w:val="22"/>
              </w:rPr>
              <w:t>Recommandation</w:t>
            </w:r>
          </w:p>
        </w:tc>
      </w:tr>
      <w:tr w:rsidR="00DF078A" w:rsidRPr="00B119AE" w14:paraId="3EB4C602" w14:textId="77777777" w:rsidTr="00986B4C">
        <w:trPr>
          <w:cantSplit/>
          <w:jc w:val="center"/>
        </w:trPr>
        <w:tc>
          <w:tcPr>
            <w:tcW w:w="3344" w:type="dxa"/>
          </w:tcPr>
          <w:p w14:paraId="73BE9D04" w14:textId="4BC17404" w:rsidR="00DF078A" w:rsidRPr="00922D13" w:rsidRDefault="004E23B6" w:rsidP="00986B4C">
            <w:pPr>
              <w:pStyle w:val="TableText0"/>
              <w:rPr>
                <w:rFonts w:asciiTheme="minorHAnsi" w:hAnsiTheme="minorHAnsi"/>
                <w:b/>
                <w:sz w:val="22"/>
                <w:szCs w:val="22"/>
                <w:lang w:val="fr-FR"/>
              </w:rPr>
            </w:pPr>
            <w:r w:rsidRPr="00922D13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>Organisation pour la coopération numérique</w:t>
            </w:r>
            <w:r w:rsidR="00DF078A" w:rsidRPr="00922D13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 xml:space="preserve"> (DCO)</w:t>
            </w:r>
          </w:p>
        </w:tc>
        <w:tc>
          <w:tcPr>
            <w:tcW w:w="1260" w:type="dxa"/>
          </w:tcPr>
          <w:p w14:paraId="729A8E7F" w14:textId="676B304A" w:rsidR="00DF078A" w:rsidRPr="00986B4C" w:rsidRDefault="00DF078A" w:rsidP="00986B4C">
            <w:pPr>
              <w:pStyle w:val="TableText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86B4C">
              <w:rPr>
                <w:rFonts w:asciiTheme="minorHAnsi" w:hAnsiTheme="minorHAnsi"/>
                <w:sz w:val="22"/>
                <w:szCs w:val="22"/>
              </w:rPr>
              <w:t>UIT-D</w:t>
            </w:r>
          </w:p>
        </w:tc>
        <w:tc>
          <w:tcPr>
            <w:tcW w:w="2730" w:type="dxa"/>
          </w:tcPr>
          <w:p w14:paraId="2E599BA5" w14:textId="1E1A5F0A" w:rsidR="00DF078A" w:rsidRPr="00986B4C" w:rsidRDefault="00DF078A" w:rsidP="00986B4C">
            <w:pPr>
              <w:pStyle w:val="TableText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86B4C">
              <w:rPr>
                <w:rFonts w:asciiTheme="minorHAnsi" w:hAnsiTheme="minorHAnsi"/>
                <w:sz w:val="22"/>
                <w:szCs w:val="22"/>
              </w:rPr>
              <w:t>OUI</w:t>
            </w:r>
          </w:p>
        </w:tc>
      </w:tr>
    </w:tbl>
    <w:p w14:paraId="0FD209DC" w14:textId="667D7191" w:rsidR="004676BE" w:rsidRDefault="00A73F78" w:rsidP="00986B4C">
      <w:pPr>
        <w:spacing w:before="240"/>
      </w:pPr>
      <w:r w:rsidRPr="00745D39">
        <w:t>Sise en Arabie saoudite</w:t>
      </w:r>
      <w:r>
        <w:rPr>
          <w:color w:val="17212A"/>
          <w:szCs w:val="24"/>
          <w:shd w:val="clear" w:color="auto" w:fill="F7F9FA"/>
          <w:lang w:eastAsia="en-GB"/>
        </w:rPr>
        <w:t xml:space="preserve">, </w:t>
      </w:r>
      <w:r w:rsidRPr="00745D39">
        <w:t>l</w:t>
      </w:r>
      <w:r w:rsidR="0020447B">
        <w:t>'</w:t>
      </w:r>
      <w:r w:rsidR="00384555" w:rsidRPr="00745D39">
        <w:t>Organisation pour la coopération numérique (DCO) a été créée en</w:t>
      </w:r>
      <w:r w:rsidR="003B5482">
        <w:t> </w:t>
      </w:r>
      <w:r w:rsidR="00384555" w:rsidRPr="00745D39">
        <w:t xml:space="preserve">2020 par sept États Membres pour </w:t>
      </w:r>
      <w:r w:rsidR="00412B91" w:rsidRPr="00745D39">
        <w:t>favoriser une plus grande</w:t>
      </w:r>
      <w:r w:rsidR="00384555" w:rsidRPr="00745D39">
        <w:t xml:space="preserve"> c</w:t>
      </w:r>
      <w:r w:rsidR="00384555">
        <w:t xml:space="preserve">ollaboration et </w:t>
      </w:r>
      <w:r w:rsidR="00412B91">
        <w:t xml:space="preserve">une plus grande </w:t>
      </w:r>
      <w:r w:rsidR="00384555">
        <w:t>coopération</w:t>
      </w:r>
      <w:r w:rsidR="00F25B94" w:rsidRPr="00384555">
        <w:t xml:space="preserve"> </w:t>
      </w:r>
      <w:r w:rsidR="00412B91">
        <w:t>entre les entrepreneurs</w:t>
      </w:r>
      <w:r w:rsidR="00F25B94" w:rsidRPr="00384555">
        <w:t xml:space="preserve">, </w:t>
      </w:r>
      <w:r w:rsidR="00117C38">
        <w:t xml:space="preserve">ainsi que </w:t>
      </w:r>
      <w:r w:rsidR="00384555">
        <w:t>l</w:t>
      </w:r>
      <w:r w:rsidR="0020447B">
        <w:t>'</w:t>
      </w:r>
      <w:r w:rsidR="00F25B94" w:rsidRPr="00384555">
        <w:t xml:space="preserve">innovation, </w:t>
      </w:r>
      <w:r w:rsidR="00384555">
        <w:t>la croissance des entreprises</w:t>
      </w:r>
      <w:r w:rsidR="00F25B94" w:rsidRPr="00384555">
        <w:t xml:space="preserve"> </w:t>
      </w:r>
      <w:r w:rsidR="00384555">
        <w:t xml:space="preserve">et </w:t>
      </w:r>
      <w:r w:rsidR="00412B91">
        <w:t>la création d</w:t>
      </w:r>
      <w:r w:rsidR="0020447B">
        <w:t>'</w:t>
      </w:r>
      <w:r w:rsidR="00412B91">
        <w:t>emplois</w:t>
      </w:r>
      <w:r w:rsidR="00384555">
        <w:t xml:space="preserve"> dans une économie numérique du partage</w:t>
      </w:r>
      <w:r w:rsidR="00F25B94" w:rsidRPr="00384555">
        <w:t xml:space="preserve">. </w:t>
      </w:r>
      <w:r w:rsidR="00064CD3">
        <w:t xml:space="preserve">Ses sept pays membres fondateurs sont les </w:t>
      </w:r>
      <w:proofErr w:type="gramStart"/>
      <w:r w:rsidR="00064CD3">
        <w:t>suivants</w:t>
      </w:r>
      <w:r w:rsidR="00F618F1">
        <w:t>:</w:t>
      </w:r>
      <w:proofErr w:type="gramEnd"/>
      <w:r w:rsidR="00F25B94" w:rsidRPr="00F618F1">
        <w:t xml:space="preserve"> </w:t>
      </w:r>
      <w:r w:rsidR="00F618F1">
        <w:t>Bahreï</w:t>
      </w:r>
      <w:r w:rsidR="00F25B94" w:rsidRPr="00F618F1">
        <w:t xml:space="preserve">n, </w:t>
      </w:r>
      <w:r w:rsidR="00F618F1">
        <w:t>Jordanie</w:t>
      </w:r>
      <w:r w:rsidR="00F25B94" w:rsidRPr="00F618F1">
        <w:t xml:space="preserve">, </w:t>
      </w:r>
      <w:r w:rsidR="00F618F1">
        <w:t>Koweï</w:t>
      </w:r>
      <w:r w:rsidR="00F25B94" w:rsidRPr="00F618F1">
        <w:t xml:space="preserve">t, </w:t>
      </w:r>
      <w:r w:rsidR="00F618F1">
        <w:t>Nigéria</w:t>
      </w:r>
      <w:r w:rsidR="00986B4C">
        <w:t xml:space="preserve">, Oman, </w:t>
      </w:r>
      <w:r w:rsidR="00F618F1">
        <w:t>Pakistan</w:t>
      </w:r>
      <w:r w:rsidR="00986B4C">
        <w:t xml:space="preserve"> et Arabie saoudite</w:t>
      </w:r>
      <w:r w:rsidR="00F25B94" w:rsidRPr="00F618F1">
        <w:t xml:space="preserve">. </w:t>
      </w:r>
      <w:r w:rsidR="00671FDD">
        <w:t>Le</w:t>
      </w:r>
      <w:r w:rsidR="0020447B">
        <w:t> </w:t>
      </w:r>
      <w:r w:rsidR="00671FDD">
        <w:t>s</w:t>
      </w:r>
      <w:r w:rsidR="00DF078A" w:rsidRPr="00DF078A">
        <w:t>ecrétariat estime que cette entité remplit les cr</w:t>
      </w:r>
      <w:r w:rsidR="00671FDD">
        <w:t>itères d</w:t>
      </w:r>
      <w:r w:rsidR="0020447B">
        <w:t>'</w:t>
      </w:r>
      <w:r w:rsidR="00671FDD">
        <w:t>exonération pour l</w:t>
      </w:r>
      <w:r w:rsidR="0020447B">
        <w:t>'</w:t>
      </w:r>
      <w:r w:rsidR="00671FDD">
        <w:t>UIT-</w:t>
      </w:r>
      <w:r w:rsidR="00DF078A" w:rsidRPr="00DF078A">
        <w:t>D.</w:t>
      </w:r>
    </w:p>
    <w:p w14:paraId="6FFD99CC" w14:textId="21D700EE" w:rsidR="00DF078A" w:rsidRDefault="00DF078A" w:rsidP="00986B4C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2.2</w:t>
      </w:r>
    </w:p>
    <w:tbl>
      <w:tblPr>
        <w:tblW w:w="73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44"/>
        <w:gridCol w:w="1260"/>
        <w:gridCol w:w="2730"/>
      </w:tblGrid>
      <w:tr w:rsidR="00DF078A" w:rsidRPr="00B119AE" w14:paraId="4C250ABD" w14:textId="77777777" w:rsidTr="00D44FD7">
        <w:trPr>
          <w:cantSplit/>
          <w:jc w:val="center"/>
        </w:trPr>
        <w:tc>
          <w:tcPr>
            <w:tcW w:w="3344" w:type="dxa"/>
            <w:vAlign w:val="center"/>
          </w:tcPr>
          <w:p w14:paraId="6C199BB2" w14:textId="77777777" w:rsidR="00DF078A" w:rsidRPr="00B119AE" w:rsidRDefault="00DF078A" w:rsidP="00745D39">
            <w:pPr>
              <w:pStyle w:val="Tablehead"/>
            </w:pPr>
            <w:r w:rsidRPr="00B119AE">
              <w:t>Organisation</w:t>
            </w:r>
          </w:p>
        </w:tc>
        <w:tc>
          <w:tcPr>
            <w:tcW w:w="1260" w:type="dxa"/>
            <w:vAlign w:val="center"/>
          </w:tcPr>
          <w:p w14:paraId="2D76FCC4" w14:textId="77777777" w:rsidR="00DF078A" w:rsidRPr="00B119AE" w:rsidRDefault="00DF078A" w:rsidP="00986B4C">
            <w:pPr>
              <w:pStyle w:val="Tablehead"/>
            </w:pPr>
            <w:r w:rsidRPr="00B119AE">
              <w:t>Secteur</w:t>
            </w:r>
          </w:p>
        </w:tc>
        <w:tc>
          <w:tcPr>
            <w:tcW w:w="2730" w:type="dxa"/>
            <w:vAlign w:val="center"/>
          </w:tcPr>
          <w:p w14:paraId="48CBC3D8" w14:textId="06102358" w:rsidR="00DF078A" w:rsidRPr="00B119AE" w:rsidRDefault="00DF078A" w:rsidP="00745D39">
            <w:pPr>
              <w:pStyle w:val="Tablehead"/>
            </w:pPr>
            <w:r w:rsidRPr="00B119AE">
              <w:t>Recommandation</w:t>
            </w:r>
          </w:p>
        </w:tc>
      </w:tr>
      <w:tr w:rsidR="00DF078A" w:rsidRPr="00986B4C" w14:paraId="18CB45B0" w14:textId="77777777" w:rsidTr="00D44FD7">
        <w:trPr>
          <w:cantSplit/>
          <w:jc w:val="center"/>
        </w:trPr>
        <w:tc>
          <w:tcPr>
            <w:tcW w:w="3344" w:type="dxa"/>
          </w:tcPr>
          <w:p w14:paraId="4419C343" w14:textId="2F608645" w:rsidR="00DF078A" w:rsidRPr="00922D13" w:rsidRDefault="00F618F1" w:rsidP="00986B4C">
            <w:pPr>
              <w:pStyle w:val="TableText0"/>
              <w:rPr>
                <w:rFonts w:asciiTheme="minorHAnsi" w:hAnsiTheme="minorHAnsi"/>
                <w:b/>
                <w:sz w:val="22"/>
                <w:szCs w:val="22"/>
                <w:lang w:val="fr-FR"/>
              </w:rPr>
            </w:pPr>
            <w:r w:rsidRPr="00922D13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>Société de normalisation des télécommunications de l</w:t>
            </w:r>
            <w:r w:rsidR="0020447B" w:rsidRPr="00922D13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>'</w:t>
            </w:r>
            <w:r w:rsidRPr="00922D13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>Inde (TSDSI)</w:t>
            </w:r>
          </w:p>
        </w:tc>
        <w:tc>
          <w:tcPr>
            <w:tcW w:w="1260" w:type="dxa"/>
          </w:tcPr>
          <w:p w14:paraId="640AFB96" w14:textId="77777777" w:rsidR="00DF078A" w:rsidRPr="00986B4C" w:rsidRDefault="00DF078A" w:rsidP="00986B4C">
            <w:pPr>
              <w:pStyle w:val="TableText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86B4C">
              <w:rPr>
                <w:rFonts w:asciiTheme="minorHAnsi" w:hAnsiTheme="minorHAnsi"/>
                <w:sz w:val="22"/>
                <w:szCs w:val="22"/>
              </w:rPr>
              <w:t>UIT-R</w:t>
            </w:r>
          </w:p>
          <w:p w14:paraId="2B64A993" w14:textId="10FF452E" w:rsidR="00DF078A" w:rsidRPr="00986B4C" w:rsidRDefault="00DF078A" w:rsidP="00986B4C">
            <w:pPr>
              <w:pStyle w:val="TableText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86B4C">
              <w:rPr>
                <w:rFonts w:asciiTheme="minorHAnsi" w:hAnsiTheme="minorHAnsi"/>
                <w:sz w:val="22"/>
                <w:szCs w:val="22"/>
              </w:rPr>
              <w:t>UIT-T</w:t>
            </w:r>
          </w:p>
        </w:tc>
        <w:tc>
          <w:tcPr>
            <w:tcW w:w="2730" w:type="dxa"/>
          </w:tcPr>
          <w:p w14:paraId="4FCA23C6" w14:textId="542573EF" w:rsidR="00DF078A" w:rsidRPr="00922D13" w:rsidRDefault="005D0DD8" w:rsidP="00986B4C">
            <w:pPr>
              <w:pStyle w:val="TableText0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922D13">
              <w:rPr>
                <w:rFonts w:asciiTheme="minorHAnsi" w:hAnsiTheme="minorHAnsi"/>
                <w:sz w:val="22"/>
                <w:szCs w:val="22"/>
                <w:lang w:val="fr-FR"/>
              </w:rPr>
              <w:t>Reporter l</w:t>
            </w:r>
            <w:r w:rsidR="0020447B" w:rsidRPr="00922D13">
              <w:rPr>
                <w:rFonts w:asciiTheme="minorHAnsi" w:hAnsiTheme="minorHAnsi"/>
                <w:sz w:val="22"/>
                <w:szCs w:val="22"/>
                <w:lang w:val="fr-FR"/>
              </w:rPr>
              <w:t>'</w:t>
            </w:r>
            <w:r w:rsidRPr="00922D13">
              <w:rPr>
                <w:rFonts w:asciiTheme="minorHAnsi" w:hAnsiTheme="minorHAnsi"/>
                <w:sz w:val="22"/>
                <w:szCs w:val="22"/>
                <w:lang w:val="fr-FR"/>
              </w:rPr>
              <w:t>examen</w:t>
            </w:r>
            <w:r w:rsidR="001B793B" w:rsidRPr="00922D13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="00F618F1" w:rsidRPr="00922D13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à la prochaine session du </w:t>
            </w:r>
            <w:r w:rsidR="001B793B" w:rsidRPr="00922D13">
              <w:rPr>
                <w:rFonts w:asciiTheme="minorHAnsi" w:hAnsiTheme="minorHAnsi"/>
                <w:sz w:val="22"/>
                <w:szCs w:val="22"/>
                <w:lang w:val="fr-FR"/>
              </w:rPr>
              <w:t>Conseil</w:t>
            </w:r>
            <w:r w:rsidR="00A73F78" w:rsidRPr="00922D13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, où </w:t>
            </w:r>
            <w:r w:rsidR="000C26A8" w:rsidRPr="00922D13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sera examinée la liste </w:t>
            </w:r>
            <w:r w:rsidR="002C4F1C" w:rsidRPr="00922D13">
              <w:rPr>
                <w:rFonts w:asciiTheme="minorHAnsi" w:hAnsiTheme="minorHAnsi"/>
                <w:sz w:val="22"/>
                <w:szCs w:val="22"/>
                <w:lang w:val="fr-FR"/>
              </w:rPr>
              <w:t>complète</w:t>
            </w:r>
          </w:p>
        </w:tc>
      </w:tr>
    </w:tbl>
    <w:p w14:paraId="04ED9305" w14:textId="1EBCEA19" w:rsidR="00DF078A" w:rsidRPr="00F91D76" w:rsidRDefault="00F618F1" w:rsidP="00745D39">
      <w:r w:rsidRPr="00F618F1">
        <w:lastRenderedPageBreak/>
        <w:t xml:space="preserve">La </w:t>
      </w:r>
      <w:r w:rsidR="00DF078A" w:rsidRPr="00F618F1">
        <w:t xml:space="preserve">TSDSI </w:t>
      </w:r>
      <w:r>
        <w:t>est un organisme autonom</w:t>
      </w:r>
      <w:r w:rsidRPr="00F618F1">
        <w:t xml:space="preserve">e </w:t>
      </w:r>
      <w:r w:rsidR="00A73F78">
        <w:t xml:space="preserve">à but non </w:t>
      </w:r>
      <w:r w:rsidR="00745D39">
        <w:t>lucratif créé</w:t>
      </w:r>
      <w:r>
        <w:t xml:space="preserve"> </w:t>
      </w:r>
      <w:r w:rsidR="00A73F78">
        <w:t>en Inde à l</w:t>
      </w:r>
      <w:r w:rsidR="0020447B">
        <w:t>'</w:t>
      </w:r>
      <w:r w:rsidR="00A73F78">
        <w:t xml:space="preserve">initiative du </w:t>
      </w:r>
      <w:r w:rsidR="005D0DD8">
        <w:t xml:space="preserve">secteur privé, </w:t>
      </w:r>
      <w:r w:rsidR="00A73F78">
        <w:t>d</w:t>
      </w:r>
      <w:r w:rsidR="0020447B">
        <w:t>'</w:t>
      </w:r>
      <w:r w:rsidR="005D0DD8">
        <w:t xml:space="preserve">établissements universitaires, </w:t>
      </w:r>
      <w:r w:rsidR="00A73F78">
        <w:t xml:space="preserve">de centres </w:t>
      </w:r>
      <w:r w:rsidRPr="00F618F1">
        <w:t xml:space="preserve">de </w:t>
      </w:r>
      <w:r>
        <w:t>recherche</w:t>
      </w:r>
      <w:r w:rsidRPr="00F618F1">
        <w:t xml:space="preserve"> et </w:t>
      </w:r>
      <w:r w:rsidR="00A73F78">
        <w:t xml:space="preserve">des pouvoirs publics </w:t>
      </w:r>
      <w:r w:rsidR="005D0DD8">
        <w:t>afin de</w:t>
      </w:r>
      <w:r w:rsidR="00DF078A" w:rsidRPr="00F618F1">
        <w:t xml:space="preserve"> </w:t>
      </w:r>
      <w:r w:rsidR="00A73F78">
        <w:t xml:space="preserve">promouvoir </w:t>
      </w:r>
      <w:r w:rsidR="00181971">
        <w:t>les activités de normalisation des télécommunications en Inde</w:t>
      </w:r>
      <w:r w:rsidR="00DF078A" w:rsidRPr="00F618F1">
        <w:t xml:space="preserve"> </w:t>
      </w:r>
      <w:r w:rsidR="00181971">
        <w:t xml:space="preserve">et </w:t>
      </w:r>
      <w:r w:rsidR="005D0DD8">
        <w:t>de</w:t>
      </w:r>
      <w:r w:rsidR="00181971">
        <w:t xml:space="preserve"> </w:t>
      </w:r>
      <w:r w:rsidR="005D0DD8">
        <w:t>représenter</w:t>
      </w:r>
      <w:r w:rsidR="00DF078A" w:rsidRPr="00F618F1">
        <w:t xml:space="preserve"> </w:t>
      </w:r>
      <w:r w:rsidR="00181971">
        <w:t>les intérêts de l</w:t>
      </w:r>
      <w:r w:rsidR="0020447B">
        <w:t>'</w:t>
      </w:r>
      <w:r w:rsidR="00181971">
        <w:t xml:space="preserve">Inde dans les </w:t>
      </w:r>
      <w:r w:rsidR="00A73F78">
        <w:t>réunions internationales</w:t>
      </w:r>
      <w:r w:rsidR="00DF078A" w:rsidRPr="00F618F1">
        <w:t xml:space="preserve">. </w:t>
      </w:r>
      <w:r w:rsidR="005D0DD8">
        <w:t>La TSDSI compte parmi s</w:t>
      </w:r>
      <w:r w:rsidR="00181971" w:rsidRPr="00181971">
        <w:t>es membres des entreprises international</w:t>
      </w:r>
      <w:r w:rsidR="00181971">
        <w:t>e</w:t>
      </w:r>
      <w:r w:rsidR="00181971" w:rsidRPr="00181971">
        <w:t xml:space="preserve">s et des instituts universitaires/de </w:t>
      </w:r>
      <w:r w:rsidR="00181971">
        <w:t>recherche</w:t>
      </w:r>
      <w:r w:rsidR="00181971" w:rsidRPr="00181971">
        <w:t xml:space="preserve"> </w:t>
      </w:r>
      <w:r w:rsidR="00181971">
        <w:t>de nombreux pays</w:t>
      </w:r>
      <w:r w:rsidR="00DF078A" w:rsidRPr="00181971">
        <w:t xml:space="preserve">. </w:t>
      </w:r>
      <w:r w:rsidR="005D0DD8">
        <w:t>Elle</w:t>
      </w:r>
      <w:r w:rsidR="00181971" w:rsidRPr="00181971">
        <w:t xml:space="preserve"> a signé des accords de partenariat avec plusieurs organismes de normalisation et forums des TIC internationaux</w:t>
      </w:r>
      <w:r w:rsidR="00181971">
        <w:t>, et est devenue membre de l</w:t>
      </w:r>
      <w:r w:rsidR="0020447B">
        <w:t>'</w:t>
      </w:r>
      <w:r w:rsidR="00181971">
        <w:t>UIT pour contribuer à l</w:t>
      </w:r>
      <w:r w:rsidR="0020447B">
        <w:t>'</w:t>
      </w:r>
      <w:r w:rsidR="00181971">
        <w:t>élaboration de</w:t>
      </w:r>
      <w:r w:rsidR="002C4F1C">
        <w:t>s</w:t>
      </w:r>
      <w:r w:rsidR="00181971">
        <w:t xml:space="preserve"> normes internationales. </w:t>
      </w:r>
      <w:r w:rsidR="00F91D76" w:rsidRPr="00F91D76">
        <w:t>Elle est actuellement m</w:t>
      </w:r>
      <w:r w:rsidR="00181971" w:rsidRPr="00F91D76">
        <w:t xml:space="preserve">embre </w:t>
      </w:r>
      <w:r w:rsidR="00F91D76" w:rsidRPr="00F91D76">
        <w:t>Associé de l</w:t>
      </w:r>
      <w:r w:rsidR="0020447B">
        <w:t>'</w:t>
      </w:r>
      <w:r w:rsidR="00F91D76" w:rsidRPr="00F91D76">
        <w:t>UIT-R et de l</w:t>
      </w:r>
      <w:r w:rsidR="0020447B">
        <w:t>'</w:t>
      </w:r>
      <w:r w:rsidR="00F91D76" w:rsidRPr="00F91D76">
        <w:t xml:space="preserve">UIT-T </w:t>
      </w:r>
      <w:r w:rsidR="00E07E8B">
        <w:t>et</w:t>
      </w:r>
      <w:r w:rsidR="00F91D76">
        <w:t xml:space="preserve"> acquitte des contributions</w:t>
      </w:r>
      <w:r w:rsidR="00DF078A" w:rsidRPr="00F91D76">
        <w:t>.</w:t>
      </w:r>
    </w:p>
    <w:p w14:paraId="504B7444" w14:textId="2B2DCCB3" w:rsidR="00DF078A" w:rsidRPr="00F91D76" w:rsidRDefault="002C4F1C" w:rsidP="00745D39">
      <w:r>
        <w:t xml:space="preserve">Si </w:t>
      </w:r>
      <w:r w:rsidR="00F91D76" w:rsidRPr="00F91D76">
        <w:t>la</w:t>
      </w:r>
      <w:r w:rsidR="00DF078A" w:rsidRPr="00F91D76">
        <w:t xml:space="preserve"> TSDSI </w:t>
      </w:r>
      <w:r>
        <w:t xml:space="preserve">est </w:t>
      </w:r>
      <w:r w:rsidR="00F91D76" w:rsidRPr="00F91D76">
        <w:t xml:space="preserve">active </w:t>
      </w:r>
      <w:r>
        <w:t xml:space="preserve">sur le plan </w:t>
      </w:r>
      <w:r w:rsidR="00F91D76" w:rsidRPr="00F91D76">
        <w:t>international</w:t>
      </w:r>
      <w:r w:rsidR="00DF078A" w:rsidRPr="00F91D76">
        <w:t xml:space="preserve">, </w:t>
      </w:r>
      <w:r w:rsidR="00F91D76" w:rsidRPr="00F91D76">
        <w:t xml:space="preserve">y compris </w:t>
      </w:r>
      <w:r w:rsidR="00F91D76">
        <w:t>à</w:t>
      </w:r>
      <w:r w:rsidR="00F91D76" w:rsidRPr="00F91D76">
        <w:t xml:space="preserve"> l</w:t>
      </w:r>
      <w:r w:rsidR="0020447B">
        <w:t>'</w:t>
      </w:r>
      <w:r w:rsidR="00F91D76" w:rsidRPr="00F91D76">
        <w:t>UIT</w:t>
      </w:r>
      <w:r w:rsidR="00DF078A" w:rsidRPr="00F91D76">
        <w:t xml:space="preserve">, </w:t>
      </w:r>
      <w:r w:rsidR="00F91D76">
        <w:t xml:space="preserve">et compte en son sein des membres </w:t>
      </w:r>
      <w:r w:rsidR="00DB728F">
        <w:t>internationaux</w:t>
      </w:r>
      <w:r w:rsidR="00DF078A" w:rsidRPr="00F91D76">
        <w:t xml:space="preserve">, </w:t>
      </w:r>
      <w:r>
        <w:t xml:space="preserve">la plupart de </w:t>
      </w:r>
      <w:r w:rsidR="00F91D76">
        <w:t xml:space="preserve">ses membres sont </w:t>
      </w:r>
      <w:r>
        <w:t>des entreprises commerciales</w:t>
      </w:r>
      <w:r w:rsidR="00DF078A" w:rsidRPr="00F91D76">
        <w:t xml:space="preserve">. </w:t>
      </w:r>
      <w:r w:rsidR="00F91D76" w:rsidRPr="00F91D76">
        <w:t>De plus</w:t>
      </w:r>
      <w:r w:rsidR="00DF078A" w:rsidRPr="00F91D76">
        <w:t xml:space="preserve">, </w:t>
      </w:r>
      <w:r w:rsidR="00F91D76" w:rsidRPr="00F91D76">
        <w:t xml:space="preserve">la </w:t>
      </w:r>
      <w:r w:rsidR="00DF078A" w:rsidRPr="00F91D76">
        <w:t xml:space="preserve">TSDSI </w:t>
      </w:r>
      <w:r>
        <w:t xml:space="preserve">est davantage une </w:t>
      </w:r>
      <w:r w:rsidR="00F91D76" w:rsidRPr="00F91D76">
        <w:t xml:space="preserve">entité nationale </w:t>
      </w:r>
      <w:r>
        <w:t>statutairement qu</w:t>
      </w:r>
      <w:r w:rsidR="0020447B">
        <w:t>'</w:t>
      </w:r>
      <w:r>
        <w:t xml:space="preserve">une </w:t>
      </w:r>
      <w:r w:rsidR="00F91D76" w:rsidRPr="00F91D76">
        <w:t>organisation</w:t>
      </w:r>
      <w:r w:rsidR="00DF078A" w:rsidRPr="00F91D76">
        <w:t xml:space="preserve"> </w:t>
      </w:r>
      <w:r w:rsidR="00F91D76">
        <w:t>internationale/régionale</w:t>
      </w:r>
      <w:r w:rsidR="00DF078A" w:rsidRPr="00F91D76">
        <w:t xml:space="preserve">. </w:t>
      </w:r>
      <w:r w:rsidR="00F91D76" w:rsidRPr="00F91D76">
        <w:t xml:space="preserve">Le </w:t>
      </w:r>
      <w:r w:rsidR="00F91D76">
        <w:t>secré</w:t>
      </w:r>
      <w:r w:rsidR="00F91D76" w:rsidRPr="00F91D76">
        <w:t xml:space="preserve">tariat recommande </w:t>
      </w:r>
      <w:r>
        <w:t xml:space="preserve">de reporter </w:t>
      </w:r>
      <w:r w:rsidR="00F91D76" w:rsidRPr="00F91D76">
        <w:t>l</w:t>
      </w:r>
      <w:r w:rsidR="0020447B">
        <w:t>'</w:t>
      </w:r>
      <w:r w:rsidR="00F91D76" w:rsidRPr="00F91D76">
        <w:t xml:space="preserve">examen de cette demande </w:t>
      </w:r>
      <w:r>
        <w:t>jusqu</w:t>
      </w:r>
      <w:r w:rsidR="0020447B">
        <w:t>'</w:t>
      </w:r>
      <w:r>
        <w:t xml:space="preserve">à </w:t>
      </w:r>
      <w:r w:rsidR="00F91D76">
        <w:t>l</w:t>
      </w:r>
      <w:r w:rsidR="0020447B">
        <w:t>'</w:t>
      </w:r>
      <w:r w:rsidR="00F91D76">
        <w:t xml:space="preserve">examen de la </w:t>
      </w:r>
      <w:r w:rsidR="00F91D76" w:rsidRPr="00F91D76">
        <w:t xml:space="preserve">liste </w:t>
      </w:r>
      <w:r>
        <w:t xml:space="preserve">complète </w:t>
      </w:r>
      <w:r w:rsidR="00F91D76">
        <w:t xml:space="preserve">des entités exonérées </w:t>
      </w:r>
      <w:r w:rsidR="00177443">
        <w:t>sur la base des</w:t>
      </w:r>
      <w:r w:rsidR="00F91D76">
        <w:t xml:space="preserve"> critères révisés par le Conseil à sa session de 2017, </w:t>
      </w:r>
      <w:r>
        <w:t xml:space="preserve">afin de </w:t>
      </w:r>
      <w:r w:rsidR="00EF1E7F">
        <w:t xml:space="preserve">garantir </w:t>
      </w:r>
      <w:r>
        <w:t xml:space="preserve">la cohérence </w:t>
      </w:r>
      <w:r w:rsidR="00F91D76">
        <w:t xml:space="preserve">entre les organisations de nature </w:t>
      </w:r>
      <w:r w:rsidR="00177443">
        <w:t>similaire</w:t>
      </w:r>
      <w:r w:rsidR="00DF078A" w:rsidRPr="00F91D76">
        <w:t>.</w:t>
      </w:r>
    </w:p>
    <w:p w14:paraId="5B7CDD81" w14:textId="2F5AAD40" w:rsidR="00DF078A" w:rsidRDefault="00DF078A" w:rsidP="00986B4C">
      <w:pPr>
        <w:spacing w:after="120"/>
        <w:rPr>
          <w:lang w:val="en-GB"/>
        </w:rPr>
      </w:pPr>
      <w:r>
        <w:rPr>
          <w:lang w:val="en-GB"/>
        </w:rPr>
        <w:t>2.3</w:t>
      </w:r>
    </w:p>
    <w:tbl>
      <w:tblPr>
        <w:tblW w:w="73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44"/>
        <w:gridCol w:w="1260"/>
        <w:gridCol w:w="2730"/>
      </w:tblGrid>
      <w:tr w:rsidR="00DF078A" w:rsidRPr="00B119AE" w14:paraId="56075F0D" w14:textId="77777777" w:rsidTr="00D44FD7">
        <w:trPr>
          <w:cantSplit/>
          <w:jc w:val="center"/>
        </w:trPr>
        <w:tc>
          <w:tcPr>
            <w:tcW w:w="3344" w:type="dxa"/>
            <w:vAlign w:val="center"/>
          </w:tcPr>
          <w:p w14:paraId="071E2341" w14:textId="77777777" w:rsidR="00DF078A" w:rsidRPr="00B119AE" w:rsidRDefault="00DF078A" w:rsidP="00745D39">
            <w:pPr>
              <w:pStyle w:val="Tablehead"/>
            </w:pPr>
            <w:r w:rsidRPr="00B119AE">
              <w:t>Organisation</w:t>
            </w:r>
          </w:p>
        </w:tc>
        <w:tc>
          <w:tcPr>
            <w:tcW w:w="1260" w:type="dxa"/>
            <w:vAlign w:val="center"/>
          </w:tcPr>
          <w:p w14:paraId="2A3B1F19" w14:textId="77777777" w:rsidR="00DF078A" w:rsidRPr="00B119AE" w:rsidRDefault="00DF078A" w:rsidP="00745D39">
            <w:pPr>
              <w:pStyle w:val="Tablehead"/>
            </w:pPr>
            <w:r w:rsidRPr="00B119AE">
              <w:t>Secteur</w:t>
            </w:r>
          </w:p>
        </w:tc>
        <w:tc>
          <w:tcPr>
            <w:tcW w:w="2730" w:type="dxa"/>
            <w:vAlign w:val="center"/>
          </w:tcPr>
          <w:p w14:paraId="3924DB8C" w14:textId="1BDE6413" w:rsidR="00DF078A" w:rsidRPr="00B119AE" w:rsidRDefault="00DF078A" w:rsidP="00745D39">
            <w:pPr>
              <w:pStyle w:val="Tablehead"/>
            </w:pPr>
            <w:r w:rsidRPr="00B119AE">
              <w:t>Recommandation</w:t>
            </w:r>
          </w:p>
        </w:tc>
      </w:tr>
      <w:tr w:rsidR="00DF078A" w:rsidRPr="00986B4C" w14:paraId="0B97026B" w14:textId="77777777" w:rsidTr="00D44FD7">
        <w:trPr>
          <w:cantSplit/>
          <w:jc w:val="center"/>
        </w:trPr>
        <w:tc>
          <w:tcPr>
            <w:tcW w:w="3344" w:type="dxa"/>
          </w:tcPr>
          <w:p w14:paraId="73D663B7" w14:textId="153479E7" w:rsidR="00DF078A" w:rsidRPr="00F055AD" w:rsidRDefault="00B85B9D" w:rsidP="00986B4C">
            <w:pPr>
              <w:pStyle w:val="TableText0"/>
              <w:rPr>
                <w:rFonts w:asciiTheme="minorHAnsi" w:hAnsiTheme="minorHAnsi"/>
                <w:b/>
                <w:sz w:val="22"/>
                <w:szCs w:val="22"/>
              </w:rPr>
            </w:pPr>
            <w:r w:rsidRPr="00F055AD">
              <w:rPr>
                <w:rFonts w:asciiTheme="minorHAnsi" w:hAnsiTheme="minorHAnsi"/>
                <w:b/>
                <w:sz w:val="22"/>
                <w:szCs w:val="22"/>
              </w:rPr>
              <w:t>IoT Lab</w:t>
            </w:r>
          </w:p>
        </w:tc>
        <w:tc>
          <w:tcPr>
            <w:tcW w:w="1260" w:type="dxa"/>
          </w:tcPr>
          <w:p w14:paraId="0E43999A" w14:textId="77777777" w:rsidR="00DF078A" w:rsidRPr="00986B4C" w:rsidRDefault="00DF078A" w:rsidP="00986B4C">
            <w:pPr>
              <w:pStyle w:val="TableText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86B4C">
              <w:rPr>
                <w:rFonts w:asciiTheme="minorHAnsi" w:hAnsiTheme="minorHAnsi"/>
                <w:sz w:val="22"/>
                <w:szCs w:val="22"/>
              </w:rPr>
              <w:t>UIT-T</w:t>
            </w:r>
          </w:p>
        </w:tc>
        <w:tc>
          <w:tcPr>
            <w:tcW w:w="2730" w:type="dxa"/>
          </w:tcPr>
          <w:p w14:paraId="52686FD4" w14:textId="45B0E9D5" w:rsidR="00DF078A" w:rsidRPr="00922D13" w:rsidRDefault="009768D1" w:rsidP="00986B4C">
            <w:pPr>
              <w:pStyle w:val="TableText0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922D13">
              <w:rPr>
                <w:rFonts w:asciiTheme="minorHAnsi" w:hAnsiTheme="minorHAnsi"/>
                <w:sz w:val="22"/>
                <w:szCs w:val="22"/>
                <w:lang w:val="fr-FR"/>
              </w:rPr>
              <w:t>Reporter l</w:t>
            </w:r>
            <w:r w:rsidR="0020447B" w:rsidRPr="00922D13">
              <w:rPr>
                <w:rFonts w:asciiTheme="minorHAnsi" w:hAnsiTheme="minorHAnsi"/>
                <w:sz w:val="22"/>
                <w:szCs w:val="22"/>
                <w:lang w:val="fr-FR"/>
              </w:rPr>
              <w:t>'</w:t>
            </w:r>
            <w:r w:rsidRPr="00922D13">
              <w:rPr>
                <w:rFonts w:asciiTheme="minorHAnsi" w:hAnsiTheme="minorHAnsi"/>
                <w:sz w:val="22"/>
                <w:szCs w:val="22"/>
                <w:lang w:val="fr-FR"/>
              </w:rPr>
              <w:t>examen à la prochaine session du Conseil</w:t>
            </w:r>
            <w:r w:rsidR="003E77CD" w:rsidRPr="00922D13">
              <w:rPr>
                <w:rFonts w:asciiTheme="minorHAnsi" w:hAnsiTheme="minorHAnsi"/>
                <w:sz w:val="22"/>
                <w:szCs w:val="22"/>
                <w:lang w:val="fr-FR"/>
              </w:rPr>
              <w:t>, où</w:t>
            </w:r>
            <w:r w:rsidRPr="00922D13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sera examinée la liste </w:t>
            </w:r>
            <w:r w:rsidR="003E77CD" w:rsidRPr="00922D13">
              <w:rPr>
                <w:rFonts w:asciiTheme="minorHAnsi" w:hAnsiTheme="minorHAnsi"/>
                <w:sz w:val="22"/>
                <w:szCs w:val="22"/>
                <w:lang w:val="fr-FR"/>
              </w:rPr>
              <w:t>complète</w:t>
            </w:r>
          </w:p>
        </w:tc>
      </w:tr>
    </w:tbl>
    <w:p w14:paraId="44B543CC" w14:textId="5551A2F6" w:rsidR="00DF078A" w:rsidRDefault="00F00900" w:rsidP="00986B4C">
      <w:pPr>
        <w:spacing w:before="240"/>
      </w:pPr>
      <w:r>
        <w:t xml:space="preserve">Située en Suisse, </w:t>
      </w:r>
      <w:r w:rsidR="00DF078A" w:rsidRPr="00B119AE">
        <w:t xml:space="preserve">IoT Lab est une plate-forme internationale </w:t>
      </w:r>
      <w:r w:rsidR="003E77CD">
        <w:t xml:space="preserve">qui regroupe </w:t>
      </w:r>
      <w:r w:rsidR="00DF078A" w:rsidRPr="00B119AE">
        <w:t>de</w:t>
      </w:r>
      <w:r w:rsidR="003E77CD">
        <w:t>s</w:t>
      </w:r>
      <w:r w:rsidR="00DF078A" w:rsidRPr="00B119AE">
        <w:t xml:space="preserve"> services et de</w:t>
      </w:r>
      <w:r w:rsidR="003E77CD">
        <w:t>s</w:t>
      </w:r>
      <w:r w:rsidR="00DF078A" w:rsidRPr="00B119AE">
        <w:t xml:space="preserve"> ressources pour l</w:t>
      </w:r>
      <w:r w:rsidR="0020447B">
        <w:t>'</w:t>
      </w:r>
      <w:r w:rsidR="00DF078A" w:rsidRPr="00B119AE">
        <w:t xml:space="preserve">Internet des objets (IoT) </w:t>
      </w:r>
      <w:r w:rsidR="003E77CD">
        <w:t xml:space="preserve">dans les domaines </w:t>
      </w:r>
      <w:proofErr w:type="gramStart"/>
      <w:r w:rsidR="003E77CD">
        <w:t>suivants:</w:t>
      </w:r>
      <w:proofErr w:type="gramEnd"/>
      <w:r w:rsidR="003E77CD">
        <w:t xml:space="preserve"> </w:t>
      </w:r>
      <w:r w:rsidR="00DF078A" w:rsidRPr="00B119AE">
        <w:t>services IoT, confidenti</w:t>
      </w:r>
      <w:r w:rsidR="008F468E">
        <w:t xml:space="preserve">alité et </w:t>
      </w:r>
      <w:r w:rsidR="00287B3B">
        <w:t xml:space="preserve">sécurité, </w:t>
      </w:r>
      <w:r w:rsidR="008F468E">
        <w:t xml:space="preserve">tests, </w:t>
      </w:r>
      <w:r w:rsidR="00DF078A" w:rsidRPr="00B119AE">
        <w:t>transfert de technologie</w:t>
      </w:r>
      <w:r w:rsidR="008F468E">
        <w:t>,</w:t>
      </w:r>
      <w:r w:rsidR="00287B3B">
        <w:t xml:space="preserve"> </w:t>
      </w:r>
      <w:r w:rsidR="00CC6ED9">
        <w:t xml:space="preserve">ODD et </w:t>
      </w:r>
      <w:r w:rsidR="008F468E">
        <w:t>réseau</w:t>
      </w:r>
      <w:r w:rsidR="003E77CD">
        <w:t xml:space="preserve"> et </w:t>
      </w:r>
      <w:r w:rsidR="00CC6ED9">
        <w:t>communauté</w:t>
      </w:r>
      <w:r w:rsidR="003E77CD">
        <w:t xml:space="preserve">. </w:t>
      </w:r>
      <w:r w:rsidR="008F468E" w:rsidRPr="00745D39">
        <w:t>L</w:t>
      </w:r>
      <w:r w:rsidR="0020447B">
        <w:t>'</w:t>
      </w:r>
      <w:r w:rsidR="008F468E" w:rsidRPr="00745D39">
        <w:t xml:space="preserve">examen de cette demande a été reporté </w:t>
      </w:r>
      <w:r w:rsidR="003E77CD" w:rsidRPr="00745D39">
        <w:t xml:space="preserve">à la </w:t>
      </w:r>
      <w:r w:rsidR="008F468E" w:rsidRPr="00745D39">
        <w:t>session de 2021</w:t>
      </w:r>
      <w:r w:rsidR="003E77CD" w:rsidRPr="00745D39">
        <w:t xml:space="preserve"> du Conseil</w:t>
      </w:r>
      <w:r w:rsidR="008F468E" w:rsidRPr="00745D39">
        <w:t>,</w:t>
      </w:r>
      <w:r w:rsidR="00DF078A" w:rsidRPr="00745D39">
        <w:t xml:space="preserve"> </w:t>
      </w:r>
      <w:r w:rsidR="003E77CD" w:rsidRPr="00745D39">
        <w:t xml:space="preserve">en attendant des </w:t>
      </w:r>
      <w:r w:rsidR="008F468E" w:rsidRPr="00745D39">
        <w:t xml:space="preserve">consultations </w:t>
      </w:r>
      <w:r w:rsidR="003E77CD" w:rsidRPr="00745D39">
        <w:t xml:space="preserve">et </w:t>
      </w:r>
      <w:proofErr w:type="gramStart"/>
      <w:r w:rsidR="003E77CD" w:rsidRPr="00745D39">
        <w:t>une étude plus approfondies</w:t>
      </w:r>
      <w:proofErr w:type="gramEnd"/>
      <w:r w:rsidR="00DF078A" w:rsidRPr="00745D39">
        <w:t xml:space="preserve">. </w:t>
      </w:r>
      <w:r w:rsidR="008F468E" w:rsidRPr="00745D39">
        <w:t>Compte tenu de la diversité de ses membres, issus du secteur privé et d</w:t>
      </w:r>
      <w:r w:rsidR="0020447B">
        <w:t>'</w:t>
      </w:r>
      <w:r w:rsidR="008F468E" w:rsidRPr="00745D39">
        <w:t>établissements universitaires</w:t>
      </w:r>
      <w:r w:rsidR="00DF078A" w:rsidRPr="00745D39">
        <w:t xml:space="preserve">, </w:t>
      </w:r>
      <w:r w:rsidR="008F468E" w:rsidRPr="0020447B">
        <w:t xml:space="preserve">le secrétariat recommande </w:t>
      </w:r>
      <w:r w:rsidR="003E77CD" w:rsidRPr="0020447B">
        <w:t xml:space="preserve">de reporter </w:t>
      </w:r>
      <w:r w:rsidR="008F468E" w:rsidRPr="0020447B">
        <w:t>l</w:t>
      </w:r>
      <w:r w:rsidR="0020447B" w:rsidRPr="0020447B">
        <w:t>'</w:t>
      </w:r>
      <w:r w:rsidR="008F468E" w:rsidRPr="0020447B">
        <w:t xml:space="preserve">examen de cette demande </w:t>
      </w:r>
      <w:r w:rsidR="003E77CD" w:rsidRPr="0020447B">
        <w:t>jusqu</w:t>
      </w:r>
      <w:r w:rsidR="0020447B" w:rsidRPr="0020447B">
        <w:t>'</w:t>
      </w:r>
      <w:r w:rsidR="003E77CD" w:rsidRPr="0020447B">
        <w:t xml:space="preserve">à </w:t>
      </w:r>
      <w:r w:rsidR="004C3204" w:rsidRPr="0020447B">
        <w:t>l</w:t>
      </w:r>
      <w:r w:rsidR="0020447B" w:rsidRPr="0020447B">
        <w:t>'</w:t>
      </w:r>
      <w:r w:rsidR="004C3204" w:rsidRPr="0020447B">
        <w:t xml:space="preserve">examen de la liste </w:t>
      </w:r>
      <w:r w:rsidR="003E77CD" w:rsidRPr="0020447B">
        <w:t xml:space="preserve">complète </w:t>
      </w:r>
      <w:r w:rsidR="004C3204" w:rsidRPr="0020447B">
        <w:t xml:space="preserve">des entités exonérées sur la base des critères révisés par le Conseil à sa session de 2017, </w:t>
      </w:r>
      <w:r w:rsidR="003E77CD" w:rsidRPr="00745D39">
        <w:t xml:space="preserve">afin de </w:t>
      </w:r>
      <w:r w:rsidR="004C3204" w:rsidRPr="00745D39">
        <w:t xml:space="preserve">garantir </w:t>
      </w:r>
      <w:r w:rsidR="003E77CD" w:rsidRPr="00745D39">
        <w:t xml:space="preserve">la cohérence </w:t>
      </w:r>
      <w:r w:rsidR="004C3204" w:rsidRPr="00745D39">
        <w:t>entre les organisations de nature similaire</w:t>
      </w:r>
      <w:r w:rsidR="00DF078A" w:rsidRPr="00745D39">
        <w:t>.</w:t>
      </w:r>
    </w:p>
    <w:p w14:paraId="37E5AC08" w14:textId="77777777" w:rsidR="001E705C" w:rsidRPr="00745D39" w:rsidRDefault="001E705C" w:rsidP="001E705C"/>
    <w:p w14:paraId="37BFFE00" w14:textId="77777777" w:rsidR="00DF078A" w:rsidRDefault="00DF078A" w:rsidP="00745D39">
      <w:pPr>
        <w:jc w:val="center"/>
      </w:pPr>
      <w:r>
        <w:t>______________</w:t>
      </w:r>
    </w:p>
    <w:sectPr w:rsidR="00DF078A" w:rsidSect="005C389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F4E1C" w14:textId="77777777" w:rsidR="00750B66" w:rsidRDefault="00750B66">
      <w:r>
        <w:separator/>
      </w:r>
    </w:p>
  </w:endnote>
  <w:endnote w:type="continuationSeparator" w:id="0">
    <w:p w14:paraId="79F81FF0" w14:textId="77777777" w:rsidR="00750B66" w:rsidRDefault="0075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20890" w14:textId="0E74355E" w:rsidR="00732045" w:rsidRDefault="00922D13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034E11">
      <w:t>P:\FRA\SG\CONSEIL\C22\000\039F.docx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09.03.22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034E11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C24E2" w14:textId="794DDAA4" w:rsidR="00732045" w:rsidRDefault="001E705C" w:rsidP="004676BE">
    <w:pPr>
      <w:pStyle w:val="Footer"/>
    </w:pPr>
    <w:r w:rsidRPr="00922D13">
      <w:rPr>
        <w:color w:val="F2F2F2" w:themeColor="background1" w:themeShade="F2"/>
      </w:rPr>
      <w:fldChar w:fldCharType="begin"/>
    </w:r>
    <w:r w:rsidRPr="00922D13">
      <w:rPr>
        <w:color w:val="F2F2F2" w:themeColor="background1" w:themeShade="F2"/>
      </w:rPr>
      <w:instrText xml:space="preserve"> FILENAME \p  \* MERGEFORMAT </w:instrText>
    </w:r>
    <w:r w:rsidRPr="00922D13">
      <w:rPr>
        <w:color w:val="F2F2F2" w:themeColor="background1" w:themeShade="F2"/>
      </w:rPr>
      <w:fldChar w:fldCharType="separate"/>
    </w:r>
    <w:r w:rsidR="00034E11" w:rsidRPr="00922D13">
      <w:rPr>
        <w:color w:val="F2F2F2" w:themeColor="background1" w:themeShade="F2"/>
      </w:rPr>
      <w:t>P:\FRA\SG\CONSEIL\C22\000\039F.docx</w:t>
    </w:r>
    <w:r w:rsidRPr="00922D13">
      <w:rPr>
        <w:color w:val="F2F2F2" w:themeColor="background1" w:themeShade="F2"/>
      </w:rPr>
      <w:fldChar w:fldCharType="end"/>
    </w:r>
    <w:r w:rsidR="004676BE" w:rsidRPr="00922D13">
      <w:rPr>
        <w:color w:val="F2F2F2" w:themeColor="background1" w:themeShade="F2"/>
      </w:rPr>
      <w:t xml:space="preserve"> (498352)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F4266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48B03" w14:textId="77777777" w:rsidR="00750B66" w:rsidRDefault="00750B66">
      <w:r>
        <w:t>____________________</w:t>
      </w:r>
    </w:p>
  </w:footnote>
  <w:footnote w:type="continuationSeparator" w:id="0">
    <w:p w14:paraId="1148CB2C" w14:textId="77777777" w:rsidR="00750B66" w:rsidRDefault="00750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0978A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12C2660C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0CE4" w14:textId="1E396789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1E705C">
      <w:rPr>
        <w:noProof/>
      </w:rPr>
      <w:t>3</w:t>
    </w:r>
    <w:r>
      <w:rPr>
        <w:noProof/>
      </w:rPr>
      <w:fldChar w:fldCharType="end"/>
    </w:r>
  </w:p>
  <w:p w14:paraId="57BF8AC7" w14:textId="43608DCB" w:rsidR="00732045" w:rsidRDefault="00732045" w:rsidP="00106B19">
    <w:pPr>
      <w:pStyle w:val="Header"/>
    </w:pPr>
    <w:r>
      <w:t>C</w:t>
    </w:r>
    <w:r w:rsidR="009C353C">
      <w:t>2</w:t>
    </w:r>
    <w:r w:rsidR="0083391C">
      <w:t>2</w:t>
    </w:r>
    <w:r>
      <w:t>/</w:t>
    </w:r>
    <w:r w:rsidR="004676BE">
      <w:t>39</w:t>
    </w:r>
    <w:r>
      <w:t>-F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F674E" w14:textId="77777777" w:rsidR="00922D13" w:rsidRDefault="00922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7FC8B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AA95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7040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B03E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E4BE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0F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A4CB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8875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C4F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E42C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B66"/>
    <w:rsid w:val="00034E11"/>
    <w:rsid w:val="00064CD3"/>
    <w:rsid w:val="00080DDD"/>
    <w:rsid w:val="000C26A8"/>
    <w:rsid w:val="000D0D0A"/>
    <w:rsid w:val="00103163"/>
    <w:rsid w:val="00106B19"/>
    <w:rsid w:val="00115D93"/>
    <w:rsid w:val="00117C38"/>
    <w:rsid w:val="001247A8"/>
    <w:rsid w:val="00136F31"/>
    <w:rsid w:val="001378C0"/>
    <w:rsid w:val="0015782B"/>
    <w:rsid w:val="00177443"/>
    <w:rsid w:val="00180A17"/>
    <w:rsid w:val="00181971"/>
    <w:rsid w:val="0018694A"/>
    <w:rsid w:val="001A3287"/>
    <w:rsid w:val="001A6508"/>
    <w:rsid w:val="001B793B"/>
    <w:rsid w:val="001D4C31"/>
    <w:rsid w:val="001E4D21"/>
    <w:rsid w:val="001E705C"/>
    <w:rsid w:val="0020447B"/>
    <w:rsid w:val="00207CD1"/>
    <w:rsid w:val="002477A2"/>
    <w:rsid w:val="00263A51"/>
    <w:rsid w:val="00267E02"/>
    <w:rsid w:val="00287B3B"/>
    <w:rsid w:val="002A5D44"/>
    <w:rsid w:val="002B787D"/>
    <w:rsid w:val="002C4F1C"/>
    <w:rsid w:val="002E0BC4"/>
    <w:rsid w:val="002F1B76"/>
    <w:rsid w:val="0033455C"/>
    <w:rsid w:val="0033568E"/>
    <w:rsid w:val="00355FF5"/>
    <w:rsid w:val="00361350"/>
    <w:rsid w:val="00362268"/>
    <w:rsid w:val="00384555"/>
    <w:rsid w:val="003B5482"/>
    <w:rsid w:val="003C3FAE"/>
    <w:rsid w:val="003D5EA9"/>
    <w:rsid w:val="003E77CD"/>
    <w:rsid w:val="004038CB"/>
    <w:rsid w:val="0040546F"/>
    <w:rsid w:val="00412B91"/>
    <w:rsid w:val="0042404A"/>
    <w:rsid w:val="0044618F"/>
    <w:rsid w:val="00456751"/>
    <w:rsid w:val="0046769A"/>
    <w:rsid w:val="004676BE"/>
    <w:rsid w:val="00467DF4"/>
    <w:rsid w:val="00475FB3"/>
    <w:rsid w:val="004B4E29"/>
    <w:rsid w:val="004C3204"/>
    <w:rsid w:val="004C37A9"/>
    <w:rsid w:val="004D1D50"/>
    <w:rsid w:val="004E23B6"/>
    <w:rsid w:val="004F259E"/>
    <w:rsid w:val="00511F1D"/>
    <w:rsid w:val="00520F36"/>
    <w:rsid w:val="00540615"/>
    <w:rsid w:val="00540A6D"/>
    <w:rsid w:val="005425E5"/>
    <w:rsid w:val="00562CCE"/>
    <w:rsid w:val="00571EEA"/>
    <w:rsid w:val="00575417"/>
    <w:rsid w:val="005768E1"/>
    <w:rsid w:val="005B1938"/>
    <w:rsid w:val="005C3890"/>
    <w:rsid w:val="005D0DD8"/>
    <w:rsid w:val="005F7BFE"/>
    <w:rsid w:val="00600017"/>
    <w:rsid w:val="006235CA"/>
    <w:rsid w:val="00627BA5"/>
    <w:rsid w:val="006643AB"/>
    <w:rsid w:val="00666921"/>
    <w:rsid w:val="006706EC"/>
    <w:rsid w:val="00671FDD"/>
    <w:rsid w:val="006A48FB"/>
    <w:rsid w:val="006A7CEB"/>
    <w:rsid w:val="007122BC"/>
    <w:rsid w:val="007210CD"/>
    <w:rsid w:val="00731D2B"/>
    <w:rsid w:val="00732045"/>
    <w:rsid w:val="007369DB"/>
    <w:rsid w:val="00745D39"/>
    <w:rsid w:val="00750B66"/>
    <w:rsid w:val="00765D8B"/>
    <w:rsid w:val="007956C2"/>
    <w:rsid w:val="007A187E"/>
    <w:rsid w:val="007C72C2"/>
    <w:rsid w:val="007D4436"/>
    <w:rsid w:val="007F257A"/>
    <w:rsid w:val="007F3665"/>
    <w:rsid w:val="00800037"/>
    <w:rsid w:val="0083391C"/>
    <w:rsid w:val="00861D73"/>
    <w:rsid w:val="00897553"/>
    <w:rsid w:val="008A4E87"/>
    <w:rsid w:val="008C261B"/>
    <w:rsid w:val="008D76E6"/>
    <w:rsid w:val="008F468E"/>
    <w:rsid w:val="00922D13"/>
    <w:rsid w:val="0092392D"/>
    <w:rsid w:val="0093234A"/>
    <w:rsid w:val="009400F1"/>
    <w:rsid w:val="009438C7"/>
    <w:rsid w:val="009567D7"/>
    <w:rsid w:val="0097363B"/>
    <w:rsid w:val="009768D1"/>
    <w:rsid w:val="00980F34"/>
    <w:rsid w:val="00986B4C"/>
    <w:rsid w:val="009C307F"/>
    <w:rsid w:val="009C353C"/>
    <w:rsid w:val="00A2113E"/>
    <w:rsid w:val="00A23A51"/>
    <w:rsid w:val="00A24607"/>
    <w:rsid w:val="00A25CD3"/>
    <w:rsid w:val="00A709FE"/>
    <w:rsid w:val="00A73F78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85B9D"/>
    <w:rsid w:val="00BB4545"/>
    <w:rsid w:val="00BD5873"/>
    <w:rsid w:val="00C04BE3"/>
    <w:rsid w:val="00C25D29"/>
    <w:rsid w:val="00C27A7C"/>
    <w:rsid w:val="00C95D7A"/>
    <w:rsid w:val="00CA08ED"/>
    <w:rsid w:val="00CA74D3"/>
    <w:rsid w:val="00CC6ED9"/>
    <w:rsid w:val="00CF183B"/>
    <w:rsid w:val="00D375CD"/>
    <w:rsid w:val="00D553A2"/>
    <w:rsid w:val="00D73A20"/>
    <w:rsid w:val="00D774D3"/>
    <w:rsid w:val="00D904E8"/>
    <w:rsid w:val="00DA08C3"/>
    <w:rsid w:val="00DB5A3E"/>
    <w:rsid w:val="00DB728F"/>
    <w:rsid w:val="00DC22AA"/>
    <w:rsid w:val="00DF078A"/>
    <w:rsid w:val="00DF74DD"/>
    <w:rsid w:val="00E07E8B"/>
    <w:rsid w:val="00E25AD0"/>
    <w:rsid w:val="00E3170F"/>
    <w:rsid w:val="00E44737"/>
    <w:rsid w:val="00E8314A"/>
    <w:rsid w:val="00EB6350"/>
    <w:rsid w:val="00EF1E7F"/>
    <w:rsid w:val="00F00900"/>
    <w:rsid w:val="00F055AD"/>
    <w:rsid w:val="00F15B57"/>
    <w:rsid w:val="00F25B94"/>
    <w:rsid w:val="00F40207"/>
    <w:rsid w:val="00F427DB"/>
    <w:rsid w:val="00F618F1"/>
    <w:rsid w:val="00F91D76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CDF9B6"/>
  <w15:docId w15:val="{F791BE44-2DCB-4F6B-9E0E-E4C00215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uiPriority w:val="99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Heading10">
    <w:name w:val="Heading  1"/>
    <w:basedOn w:val="Normal"/>
    <w:rsid w:val="004676BE"/>
    <w:rPr>
      <w:rFonts w:eastAsia="Calibri"/>
      <w:szCs w:val="24"/>
    </w:rPr>
  </w:style>
  <w:style w:type="paragraph" w:customStyle="1" w:styleId="TableHead0">
    <w:name w:val="Table_Head"/>
    <w:basedOn w:val="Normal"/>
    <w:rsid w:val="004676BE"/>
    <w:pPr>
      <w:keepNext/>
      <w:tabs>
        <w:tab w:val="left" w:pos="284"/>
        <w:tab w:val="left" w:pos="794"/>
        <w:tab w:val="left" w:pos="851"/>
        <w:tab w:val="left" w:pos="1191"/>
        <w:tab w:val="left" w:pos="1418"/>
        <w:tab w:val="left" w:pos="158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="Times New Roman" w:hAnsi="Times New Roman"/>
      <w:b/>
      <w:lang w:val="en-GB"/>
    </w:rPr>
  </w:style>
  <w:style w:type="paragraph" w:customStyle="1" w:styleId="TableText0">
    <w:name w:val="Table_Text"/>
    <w:basedOn w:val="Normal"/>
    <w:rsid w:val="004676BE"/>
    <w:pPr>
      <w:tabs>
        <w:tab w:val="left" w:pos="284"/>
        <w:tab w:val="left" w:pos="794"/>
        <w:tab w:val="left" w:pos="851"/>
        <w:tab w:val="left" w:pos="1191"/>
        <w:tab w:val="left" w:pos="1418"/>
        <w:tab w:val="left" w:pos="158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hAnsi="Times New Roman"/>
      <w:lang w:val="en-GB"/>
    </w:rPr>
  </w:style>
  <w:style w:type="paragraph" w:customStyle="1" w:styleId="Table0">
    <w:name w:val="Table_"/>
    <w:basedOn w:val="Normal"/>
    <w:rsid w:val="004676BE"/>
    <w:rPr>
      <w:rFonts w:asciiTheme="minorHAnsi" w:hAnsiTheme="minorHAnsi" w:cs="Calibri"/>
      <w:b/>
      <w:bCs/>
      <w:iCs/>
    </w:rPr>
  </w:style>
  <w:style w:type="paragraph" w:styleId="Revision">
    <w:name w:val="Revision"/>
    <w:hidden/>
    <w:uiPriority w:val="99"/>
    <w:semiHidden/>
    <w:rsid w:val="002B787D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hub/membership/our-members/exempted-entities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CL-C-0141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doc/gs/council/c00/docs/28rev1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hub/membership/our-members/exempted-entities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141/en" TargetMode="External"/><Relationship Id="rId14" Type="http://schemas.openxmlformats.org/officeDocument/2006/relationships/hyperlink" Target="https://www.itu.int/hub/membership/itu-family/organizations/exempted-entities/exemption-criteria/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B70CD-64B3-4ED6-B1D9-C28A0AA5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PF_C22.dotx</Template>
  <TotalTime>0</TotalTime>
  <Pages>3</Pages>
  <Words>989</Words>
  <Characters>6246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7221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Exonération du paiement de droits pour les organisations ayant un caractère international</dc:title>
  <dc:subject>Conseil 2022</dc:subject>
  <dc:creator>French</dc:creator>
  <cp:keywords>C22, C2022, Council-22</cp:keywords>
  <dc:description/>
  <cp:lastModifiedBy>Xue, Kun</cp:lastModifiedBy>
  <cp:revision>2</cp:revision>
  <cp:lastPrinted>2000-07-18T08:55:00Z</cp:lastPrinted>
  <dcterms:created xsi:type="dcterms:W3CDTF">2022-03-11T08:57:00Z</dcterms:created>
  <dcterms:modified xsi:type="dcterms:W3CDTF">2022-03-11T08:57:00Z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