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76" w:tblpY="-675"/>
        <w:tblW w:w="10314" w:type="dxa"/>
        <w:tblLayout w:type="fixed"/>
        <w:tblLook w:val="04A0" w:firstRow="1" w:lastRow="0" w:firstColumn="1" w:lastColumn="0" w:noHBand="0" w:noVBand="1"/>
      </w:tblPr>
      <w:tblGrid>
        <w:gridCol w:w="6629"/>
        <w:gridCol w:w="3685"/>
      </w:tblGrid>
      <w:tr w:rsidR="00B437EF" w:rsidRPr="00812B8E" w14:paraId="1A5FA835" w14:textId="77777777" w:rsidTr="00B437EF">
        <w:trPr>
          <w:cantSplit/>
        </w:trPr>
        <w:tc>
          <w:tcPr>
            <w:tcW w:w="6629" w:type="dxa"/>
            <w:hideMark/>
          </w:tcPr>
          <w:p w14:paraId="1F150DA2" w14:textId="7356C365" w:rsidR="00B437EF" w:rsidRPr="00812B8E" w:rsidRDefault="00B437EF" w:rsidP="00B437EF">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E378C5">
              <w:rPr>
                <w:b/>
                <w:bCs/>
                <w:position w:val="6"/>
                <w:sz w:val="30"/>
                <w:szCs w:val="30"/>
              </w:rPr>
              <w:t>Council 20</w:t>
            </w:r>
            <w:r>
              <w:rPr>
                <w:b/>
                <w:bCs/>
                <w:position w:val="6"/>
                <w:sz w:val="30"/>
                <w:szCs w:val="30"/>
              </w:rPr>
              <w:t>22</w:t>
            </w:r>
            <w:r w:rsidRPr="00E378C5">
              <w:rPr>
                <w:rFonts w:cs="Times"/>
                <w:b/>
                <w:position w:val="6"/>
                <w:sz w:val="26"/>
                <w:szCs w:val="26"/>
                <w:lang w:val="en-US"/>
              </w:rPr>
              <w:br/>
            </w:r>
            <w:r w:rsidRPr="00E378C5">
              <w:rPr>
                <w:b/>
                <w:bCs/>
                <w:position w:val="6"/>
                <w:szCs w:val="24"/>
              </w:rPr>
              <w:t xml:space="preserve">Geneva, </w:t>
            </w:r>
            <w:r>
              <w:rPr>
                <w:b/>
                <w:bCs/>
                <w:position w:val="6"/>
                <w:szCs w:val="24"/>
              </w:rPr>
              <w:t>21 – 31 March 2022</w:t>
            </w:r>
          </w:p>
        </w:tc>
        <w:tc>
          <w:tcPr>
            <w:tcW w:w="3685" w:type="dxa"/>
            <w:hideMark/>
          </w:tcPr>
          <w:p w14:paraId="05B8B761" w14:textId="379B8534" w:rsidR="00B437EF" w:rsidRPr="00812B8E" w:rsidRDefault="00B437EF" w:rsidP="00B437EF">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Pr>
                <w:noProof/>
                <w:lang w:eastAsia="zh-CN"/>
              </w:rPr>
              <w:drawing>
                <wp:inline distT="0" distB="0" distL="0" distR="0" wp14:anchorId="6451ECD0" wp14:editId="35F6C7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12B8E" w:rsidRPr="00812B8E" w14:paraId="76B2F033" w14:textId="77777777" w:rsidTr="00B437EF">
        <w:trPr>
          <w:cantSplit/>
        </w:trPr>
        <w:tc>
          <w:tcPr>
            <w:tcW w:w="6629" w:type="dxa"/>
            <w:tcBorders>
              <w:top w:val="nil"/>
              <w:left w:val="nil"/>
              <w:bottom w:val="single" w:sz="12" w:space="0" w:color="auto"/>
              <w:right w:val="nil"/>
            </w:tcBorders>
          </w:tcPr>
          <w:p w14:paraId="62C4B3EC" w14:textId="77777777" w:rsidR="00812B8E" w:rsidRPr="00812B8E" w:rsidRDefault="00812B8E" w:rsidP="00B74EF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B74EF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0B437EF">
        <w:trPr>
          <w:cantSplit/>
        </w:trPr>
        <w:tc>
          <w:tcPr>
            <w:tcW w:w="6629" w:type="dxa"/>
            <w:tcBorders>
              <w:top w:val="single" w:sz="12" w:space="0" w:color="auto"/>
              <w:left w:val="nil"/>
              <w:bottom w:val="nil"/>
              <w:right w:val="nil"/>
            </w:tcBorders>
          </w:tcPr>
          <w:p w14:paraId="49B5C6B8" w14:textId="77777777" w:rsidR="00812B8E" w:rsidRPr="00812B8E" w:rsidRDefault="00812B8E" w:rsidP="00B74EF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B74EF1">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0B437EF">
        <w:trPr>
          <w:cantSplit/>
          <w:trHeight w:val="23"/>
        </w:trPr>
        <w:tc>
          <w:tcPr>
            <w:tcW w:w="6629" w:type="dxa"/>
            <w:vMerge w:val="restart"/>
          </w:tcPr>
          <w:p w14:paraId="064EE557" w14:textId="2E55A48A" w:rsidR="00812B8E" w:rsidRPr="00812B8E" w:rsidRDefault="0096201F" w:rsidP="00B74EF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rPr>
            </w:pPr>
            <w:r w:rsidRPr="0096201F">
              <w:rPr>
                <w:rFonts w:cs="Calibri"/>
                <w:b/>
                <w:szCs w:val="24"/>
                <w:lang w:eastAsia="en-GB"/>
              </w:rPr>
              <w:t xml:space="preserve">Agenda item: ADM </w:t>
            </w:r>
            <w:r w:rsidR="00867B51" w:rsidRPr="00867B51">
              <w:rPr>
                <w:rFonts w:cs="Calibri" w:hint="eastAsia"/>
                <w:b/>
                <w:szCs w:val="24"/>
                <w:lang w:eastAsia="en-GB"/>
              </w:rPr>
              <w:t>8</w:t>
            </w:r>
          </w:p>
        </w:tc>
        <w:tc>
          <w:tcPr>
            <w:tcW w:w="3685" w:type="dxa"/>
            <w:hideMark/>
          </w:tcPr>
          <w:p w14:paraId="1BC0E65E" w14:textId="0EA519EB" w:rsidR="00812B8E" w:rsidRPr="00812B8E" w:rsidRDefault="00812B8E" w:rsidP="00B74EF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 xml:space="preserve">Document </w:t>
            </w:r>
            <w:r w:rsidR="00AB3586" w:rsidRPr="00DA47C8">
              <w:rPr>
                <w:b/>
                <w:szCs w:val="24"/>
                <w:lang w:val="en-US"/>
              </w:rPr>
              <w:t>C22/</w:t>
            </w:r>
            <w:r w:rsidR="00867B51" w:rsidRPr="00DA47C8">
              <w:rPr>
                <w:rFonts w:hint="eastAsia"/>
                <w:b/>
                <w:szCs w:val="24"/>
                <w:lang w:val="en-US"/>
              </w:rPr>
              <w:t>39</w:t>
            </w:r>
          </w:p>
        </w:tc>
      </w:tr>
      <w:tr w:rsidR="00812B8E" w:rsidRPr="00812B8E" w14:paraId="030A79D7" w14:textId="77777777" w:rsidTr="00B437EF">
        <w:trPr>
          <w:cantSplit/>
          <w:trHeight w:val="23"/>
        </w:trPr>
        <w:tc>
          <w:tcPr>
            <w:tcW w:w="6629" w:type="dxa"/>
            <w:vMerge/>
            <w:vAlign w:val="center"/>
            <w:hideMark/>
          </w:tcPr>
          <w:p w14:paraId="3C6B61A0" w14:textId="77777777" w:rsidR="00812B8E" w:rsidRPr="00812B8E" w:rsidRDefault="00812B8E" w:rsidP="00B74EF1">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7110005C" w:rsidR="00812B8E" w:rsidRPr="00DA47C8" w:rsidRDefault="00B74EF1" w:rsidP="00B74EF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Pr>
                <w:b/>
                <w:szCs w:val="24"/>
                <w:lang w:val="en-US"/>
              </w:rPr>
              <w:t>1</w:t>
            </w:r>
            <w:r w:rsidR="00140593">
              <w:rPr>
                <w:b/>
                <w:szCs w:val="24"/>
                <w:lang w:val="en-US"/>
              </w:rPr>
              <w:t>8</w:t>
            </w:r>
            <w:r w:rsidRPr="00DA47C8">
              <w:rPr>
                <w:b/>
                <w:szCs w:val="24"/>
                <w:lang w:val="en-US"/>
              </w:rPr>
              <w:t xml:space="preserve"> </w:t>
            </w:r>
            <w:r w:rsidR="00445570" w:rsidRPr="00DA47C8">
              <w:rPr>
                <w:b/>
                <w:szCs w:val="24"/>
                <w:lang w:val="en-US"/>
              </w:rPr>
              <w:t>February 2022</w:t>
            </w:r>
          </w:p>
        </w:tc>
      </w:tr>
      <w:tr w:rsidR="00812B8E" w:rsidRPr="00812B8E" w14:paraId="5E6DB40D" w14:textId="77777777" w:rsidTr="00B437EF">
        <w:trPr>
          <w:cantSplit/>
          <w:trHeight w:val="80"/>
        </w:trPr>
        <w:tc>
          <w:tcPr>
            <w:tcW w:w="6629" w:type="dxa"/>
            <w:vMerge/>
            <w:vAlign w:val="center"/>
            <w:hideMark/>
          </w:tcPr>
          <w:p w14:paraId="43F0DF15" w14:textId="77777777" w:rsidR="00812B8E" w:rsidRPr="00812B8E" w:rsidRDefault="00812B8E" w:rsidP="00B74EF1">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5D18DB35" w:rsidR="00812B8E" w:rsidRPr="00DA47C8" w:rsidRDefault="00445570" w:rsidP="00B74EF1">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DA47C8">
              <w:rPr>
                <w:b/>
                <w:szCs w:val="24"/>
                <w:lang w:val="en-US"/>
              </w:rPr>
              <w:t>Original: English</w:t>
            </w:r>
          </w:p>
        </w:tc>
      </w:tr>
    </w:tbl>
    <w:p w14:paraId="56F010A0" w14:textId="41DBF189" w:rsidR="00FE50E4" w:rsidRPr="00FE50E4" w:rsidRDefault="00C86CB6" w:rsidP="00C86CB6">
      <w:pPr>
        <w:pStyle w:val="Source"/>
      </w:pPr>
      <w:r>
        <w:t>Report</w:t>
      </w:r>
      <w:r w:rsidR="00FE50E4" w:rsidRPr="00FE50E4">
        <w:t xml:space="preserve"> by the </w:t>
      </w:r>
      <w:r w:rsidR="001003E8" w:rsidRPr="001003E8">
        <w:t>Secretary-General</w:t>
      </w:r>
    </w:p>
    <w:p w14:paraId="759983AA" w14:textId="211DB71B" w:rsidR="00812B8E" w:rsidRDefault="00FE50E4" w:rsidP="00B74EF1">
      <w:pPr>
        <w:spacing w:before="240"/>
        <w:jc w:val="center"/>
      </w:pPr>
      <w:r w:rsidRPr="00FE50E4">
        <w:rPr>
          <w:rFonts w:eastAsia="Calibri" w:cs="Calibri"/>
          <w:sz w:val="28"/>
          <w:szCs w:val="28"/>
        </w:rPr>
        <w:t xml:space="preserve">EXEMPTIONS FROM FEES FOR </w:t>
      </w:r>
      <w:r w:rsidR="00E10268" w:rsidRPr="00E10268">
        <w:rPr>
          <w:rFonts w:eastAsia="Calibri" w:cs="Calibri"/>
          <w:sz w:val="28"/>
          <w:szCs w:val="28"/>
        </w:rPr>
        <w:t>ORGANI</w:t>
      </w:r>
      <w:r w:rsidR="00E10268">
        <w:rPr>
          <w:rFonts w:eastAsia="Calibri" w:cs="Calibri"/>
          <w:sz w:val="28"/>
          <w:szCs w:val="28"/>
        </w:rPr>
        <w:t>Z</w:t>
      </w:r>
      <w:r w:rsidR="00E10268" w:rsidRPr="00E10268">
        <w:rPr>
          <w:rFonts w:eastAsia="Calibri" w:cs="Calibri"/>
          <w:sz w:val="28"/>
          <w:szCs w:val="28"/>
        </w:rPr>
        <w:t xml:space="preserve">ATIONS </w:t>
      </w:r>
      <w:r w:rsidR="00E10268">
        <w:rPr>
          <w:rFonts w:eastAsia="Calibri" w:cs="Calibri"/>
          <w:sz w:val="28"/>
          <w:szCs w:val="28"/>
        </w:rPr>
        <w:br/>
      </w:r>
      <w:r w:rsidR="00E10268" w:rsidRPr="00E10268">
        <w:rPr>
          <w:rFonts w:eastAsia="Calibri" w:cs="Calibri"/>
          <w:sz w:val="28"/>
          <w:szCs w:val="28"/>
        </w:rPr>
        <w:t>OF AN INTERNATIONAL CHARACTER</w:t>
      </w:r>
    </w:p>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14:paraId="74B04583" w14:textId="77777777" w:rsidTr="004A05E2">
        <w:trPr>
          <w:trHeight w:val="3372"/>
        </w:trPr>
        <w:tc>
          <w:tcPr>
            <w:tcW w:w="8445" w:type="dxa"/>
            <w:tcBorders>
              <w:top w:val="single" w:sz="12" w:space="0" w:color="auto"/>
              <w:left w:val="single" w:sz="12" w:space="0" w:color="auto"/>
              <w:bottom w:val="single" w:sz="12" w:space="0" w:color="auto"/>
              <w:right w:val="single" w:sz="12" w:space="0" w:color="auto"/>
            </w:tcBorders>
          </w:tcPr>
          <w:p w14:paraId="5809512D" w14:textId="77777777" w:rsidR="008D5B25" w:rsidRPr="008D5B25" w:rsidRDefault="008D5B25" w:rsidP="00B74EF1">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jc w:val="both"/>
              <w:textAlignment w:val="auto"/>
              <w:rPr>
                <w:rFonts w:asciiTheme="minorHAnsi" w:eastAsiaTheme="minorEastAsia" w:hAnsiTheme="minorHAnsi" w:cstheme="minorBidi"/>
                <w:b/>
                <w:lang w:eastAsia="zh-CN"/>
              </w:rPr>
            </w:pPr>
            <w:bookmarkStart w:id="4" w:name="_Toc305764050"/>
            <w:bookmarkEnd w:id="1"/>
            <w:bookmarkEnd w:id="2"/>
            <w:r w:rsidRPr="008D5B25">
              <w:rPr>
                <w:rFonts w:asciiTheme="minorHAnsi" w:eastAsiaTheme="minorEastAsia" w:hAnsiTheme="minorHAnsi" w:cstheme="minorBidi"/>
                <w:b/>
                <w:lang w:eastAsia="zh-CN"/>
              </w:rPr>
              <w:t>Summary</w:t>
            </w:r>
            <w:bookmarkEnd w:id="4"/>
          </w:p>
          <w:p w14:paraId="6EF5FEC0" w14:textId="2C1D349F" w:rsidR="00E5770A" w:rsidRDefault="00AB3586" w:rsidP="00B74EF1">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rPr>
            </w:pPr>
            <w:r w:rsidRPr="75B8D686">
              <w:rPr>
                <w:rFonts w:eastAsia="Calibri" w:cs="Calibri"/>
              </w:rPr>
              <w:t xml:space="preserve">Each year, ITU receives requests from </w:t>
            </w:r>
            <w:bookmarkStart w:id="5" w:name="_Hlk95832083"/>
            <w:r w:rsidR="00E10268">
              <w:t>organizations of an international character</w:t>
            </w:r>
            <w:r w:rsidR="00E10268" w:rsidRPr="75B8D686">
              <w:rPr>
                <w:rFonts w:eastAsia="Calibri" w:cs="Calibri"/>
              </w:rPr>
              <w:t xml:space="preserve"> </w:t>
            </w:r>
            <w:bookmarkEnd w:id="5"/>
            <w:r w:rsidRPr="75B8D686">
              <w:rPr>
                <w:rFonts w:eastAsia="Calibri" w:cs="Calibri"/>
              </w:rPr>
              <w:t>seeking exemption from membership fees and other financial contributions to the Union</w:t>
            </w:r>
            <w:r w:rsidR="000A24D6">
              <w:rPr>
                <w:rFonts w:eastAsia="Calibri" w:cs="Calibri"/>
              </w:rPr>
              <w:t xml:space="preserve"> based on reciprocity.</w:t>
            </w:r>
            <w:r w:rsidR="000C24E0">
              <w:rPr>
                <w:rFonts w:eastAsia="Calibri" w:cs="Calibri"/>
              </w:rPr>
              <w:t xml:space="preserve"> These </w:t>
            </w:r>
            <w:r w:rsidR="00E5770A">
              <w:rPr>
                <w:rFonts w:eastAsia="Calibri" w:cs="Calibri"/>
              </w:rPr>
              <w:t xml:space="preserve">new </w:t>
            </w:r>
            <w:r w:rsidR="000C24E0">
              <w:rPr>
                <w:rFonts w:eastAsia="Calibri" w:cs="Calibri"/>
              </w:rPr>
              <w:t xml:space="preserve">requests are reviewed by the </w:t>
            </w:r>
            <w:r w:rsidR="00B74EF1">
              <w:rPr>
                <w:rFonts w:eastAsia="Calibri" w:cs="Calibri"/>
              </w:rPr>
              <w:t>s</w:t>
            </w:r>
            <w:r w:rsidR="000C24E0">
              <w:rPr>
                <w:rFonts w:eastAsia="Calibri" w:cs="Calibri"/>
              </w:rPr>
              <w:t>ecretariat according to criteria established by Council.</w:t>
            </w:r>
          </w:p>
          <w:p w14:paraId="11E04910" w14:textId="4C0216C7" w:rsidR="00061793" w:rsidRPr="008D5B25" w:rsidRDefault="0058380F" w:rsidP="00B74EF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szCs w:val="24"/>
                <w:lang w:eastAsia="zh-CN"/>
              </w:rPr>
            </w:pPr>
            <w:r>
              <w:rPr>
                <w:rFonts w:eastAsia="Calibri" w:cs="Calibri"/>
              </w:rPr>
              <w:t>The</w:t>
            </w:r>
            <w:r w:rsidR="00E5770A">
              <w:rPr>
                <w:rFonts w:eastAsia="Calibri" w:cs="Calibri"/>
              </w:rPr>
              <w:t xml:space="preserve"> </w:t>
            </w:r>
            <w:r w:rsidR="00B74EF1">
              <w:rPr>
                <w:rFonts w:eastAsia="Calibri" w:cs="Calibri"/>
              </w:rPr>
              <w:t>s</w:t>
            </w:r>
            <w:r w:rsidR="00E5770A">
              <w:rPr>
                <w:rFonts w:eastAsia="Calibri" w:cs="Calibri"/>
              </w:rPr>
              <w:t>ecretariat is</w:t>
            </w:r>
            <w:r>
              <w:rPr>
                <w:rFonts w:eastAsia="Calibri" w:cs="Calibri"/>
              </w:rPr>
              <w:t xml:space="preserve"> also</w:t>
            </w:r>
            <w:r w:rsidR="00E5770A">
              <w:rPr>
                <w:rFonts w:eastAsia="Calibri" w:cs="Calibri"/>
              </w:rPr>
              <w:t xml:space="preserve"> reviewing the full list of exempted entities to assess whether they fully meet the criteria revised by Council in 2017. A full report is being prepared for the consideration of the </w:t>
            </w:r>
            <w:r w:rsidR="00D440D8">
              <w:rPr>
                <w:rFonts w:eastAsia="Calibri" w:cs="Calibri"/>
              </w:rPr>
              <w:t xml:space="preserve">next meeting </w:t>
            </w:r>
            <w:r w:rsidR="00E5770A">
              <w:rPr>
                <w:rFonts w:eastAsia="Calibri" w:cs="Calibri"/>
              </w:rPr>
              <w:t>of Council</w:t>
            </w:r>
            <w:r w:rsidR="00D440D8">
              <w:rPr>
                <w:rFonts w:eastAsia="Calibri" w:cs="Calibri"/>
              </w:rPr>
              <w:t xml:space="preserve"> in September 2022</w:t>
            </w:r>
            <w:r w:rsidR="00E5770A">
              <w:rPr>
                <w:rFonts w:eastAsia="Calibri" w:cs="Calibri"/>
              </w:rPr>
              <w:t>.</w:t>
            </w:r>
          </w:p>
          <w:p w14:paraId="4AFF1BAB" w14:textId="1A70D574" w:rsidR="008D5B25" w:rsidRPr="008D5B25" w:rsidRDefault="008D5B25" w:rsidP="00B74EF1">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jc w:val="both"/>
              <w:textAlignment w:val="auto"/>
              <w:rPr>
                <w:rFonts w:asciiTheme="minorHAnsi" w:eastAsiaTheme="minorEastAsia" w:hAnsiTheme="minorHAnsi" w:cstheme="minorBidi"/>
                <w:b/>
                <w:lang w:eastAsia="zh-CN"/>
              </w:rPr>
            </w:pPr>
            <w:bookmarkStart w:id="6" w:name="_Toc305764051"/>
            <w:r w:rsidRPr="008D5B25">
              <w:rPr>
                <w:rFonts w:asciiTheme="minorHAnsi" w:eastAsiaTheme="minorEastAsia" w:hAnsiTheme="minorHAnsi" w:cstheme="minorBidi"/>
                <w:b/>
                <w:lang w:eastAsia="zh-CN"/>
              </w:rPr>
              <w:t>Action required</w:t>
            </w:r>
            <w:bookmarkEnd w:id="6"/>
          </w:p>
          <w:p w14:paraId="0287D592" w14:textId="45C36BFF" w:rsidR="001C1B21" w:rsidRDefault="004A2726" w:rsidP="00B74EF1">
            <w:pPr>
              <w:tabs>
                <w:tab w:val="left" w:pos="0"/>
              </w:tabs>
              <w:spacing w:after="120"/>
              <w:jc w:val="both"/>
              <w:rPr>
                <w:rFonts w:asciiTheme="minorHAnsi" w:eastAsiaTheme="minorEastAsia" w:hAnsiTheme="minorHAnsi" w:cstheme="minorBidi"/>
                <w:szCs w:val="24"/>
                <w:lang w:eastAsia="zh-CN"/>
              </w:rPr>
            </w:pPr>
            <w:r w:rsidRPr="007D03DC">
              <w:rPr>
                <w:rFonts w:asciiTheme="minorHAnsi" w:eastAsiaTheme="minorEastAsia" w:hAnsiTheme="minorHAnsi" w:cstheme="minorBidi"/>
                <w:szCs w:val="24"/>
                <w:lang w:eastAsia="zh-CN"/>
              </w:rPr>
              <w:t xml:space="preserve">The </w:t>
            </w:r>
            <w:r w:rsidR="00AB3586">
              <w:rPr>
                <w:rFonts w:asciiTheme="minorHAnsi" w:eastAsiaTheme="minorEastAsia" w:hAnsiTheme="minorHAnsi" w:cstheme="minorBidi"/>
                <w:szCs w:val="24"/>
                <w:lang w:eastAsia="zh-CN"/>
              </w:rPr>
              <w:t>Council</w:t>
            </w:r>
            <w:r w:rsidRPr="007D03DC">
              <w:rPr>
                <w:rFonts w:asciiTheme="minorHAnsi" w:eastAsiaTheme="minorEastAsia" w:hAnsiTheme="minorHAnsi" w:cstheme="minorBidi"/>
                <w:szCs w:val="24"/>
                <w:lang w:eastAsia="zh-CN"/>
              </w:rPr>
              <w:t xml:space="preserve"> is</w:t>
            </w:r>
            <w:r w:rsidR="008D5B25" w:rsidRPr="007D03DC">
              <w:rPr>
                <w:rFonts w:asciiTheme="minorHAnsi" w:eastAsiaTheme="minorEastAsia" w:hAnsiTheme="minorHAnsi" w:cstheme="minorBidi"/>
                <w:szCs w:val="24"/>
                <w:lang w:eastAsia="zh-CN"/>
              </w:rPr>
              <w:t xml:space="preserve"> invited </w:t>
            </w:r>
            <w:r w:rsidR="008D5B25" w:rsidRPr="00B74EF1">
              <w:rPr>
                <w:rFonts w:asciiTheme="minorHAnsi" w:eastAsiaTheme="minorEastAsia" w:hAnsiTheme="minorHAnsi" w:cstheme="minorBidi"/>
                <w:b/>
                <w:bCs/>
                <w:szCs w:val="24"/>
                <w:lang w:eastAsia="zh-CN"/>
              </w:rPr>
              <w:t>to</w:t>
            </w:r>
            <w:r w:rsidR="00FE4868" w:rsidRPr="00B74EF1">
              <w:rPr>
                <w:rFonts w:asciiTheme="minorHAnsi" w:eastAsiaTheme="minorEastAsia" w:hAnsiTheme="minorHAnsi" w:cstheme="minorBidi"/>
                <w:b/>
                <w:bCs/>
                <w:szCs w:val="24"/>
                <w:lang w:eastAsia="zh-CN"/>
              </w:rPr>
              <w:t xml:space="preserve"> consider</w:t>
            </w:r>
            <w:r w:rsidR="00FE4868" w:rsidRPr="007D03DC">
              <w:rPr>
                <w:rFonts w:asciiTheme="minorHAnsi" w:eastAsiaTheme="minorEastAsia" w:hAnsiTheme="minorHAnsi" w:cstheme="minorBidi"/>
                <w:szCs w:val="24"/>
                <w:lang w:eastAsia="zh-CN"/>
              </w:rPr>
              <w:t xml:space="preserve"> the recommendation</w:t>
            </w:r>
            <w:r w:rsidR="00805996">
              <w:rPr>
                <w:rFonts w:asciiTheme="minorHAnsi" w:eastAsiaTheme="minorEastAsia" w:hAnsiTheme="minorHAnsi" w:cstheme="minorBidi"/>
                <w:szCs w:val="24"/>
                <w:lang w:eastAsia="zh-CN"/>
              </w:rPr>
              <w:t>s</w:t>
            </w:r>
            <w:r w:rsidR="00FE4868" w:rsidRPr="007D03DC">
              <w:rPr>
                <w:rFonts w:asciiTheme="minorHAnsi" w:eastAsiaTheme="minorEastAsia" w:hAnsiTheme="minorHAnsi" w:cstheme="minorBidi"/>
                <w:szCs w:val="24"/>
                <w:lang w:eastAsia="zh-CN"/>
              </w:rPr>
              <w:t xml:space="preserve"> of the Secretary-General</w:t>
            </w:r>
            <w:r w:rsidR="00082CEC">
              <w:rPr>
                <w:rFonts w:asciiTheme="minorHAnsi" w:eastAsiaTheme="minorEastAsia" w:hAnsiTheme="minorHAnsi" w:cstheme="minorBidi"/>
                <w:szCs w:val="24"/>
                <w:lang w:eastAsia="zh-CN"/>
              </w:rPr>
              <w:t xml:space="preserve"> regarding new requests for exemption</w:t>
            </w:r>
            <w:r w:rsidR="00805996">
              <w:rPr>
                <w:rFonts w:asciiTheme="minorHAnsi" w:eastAsiaTheme="minorEastAsia" w:hAnsiTheme="minorHAnsi" w:cstheme="minorBidi"/>
                <w:szCs w:val="24"/>
                <w:lang w:eastAsia="zh-CN"/>
              </w:rPr>
              <w:t>.</w:t>
            </w:r>
            <w:r w:rsidR="00FE4868" w:rsidRPr="007D03DC">
              <w:rPr>
                <w:rFonts w:asciiTheme="minorHAnsi" w:eastAsiaTheme="minorEastAsia" w:hAnsiTheme="minorHAnsi" w:cstheme="minorBidi"/>
                <w:szCs w:val="24"/>
                <w:lang w:eastAsia="zh-CN"/>
              </w:rPr>
              <w:t xml:space="preserve"> </w:t>
            </w:r>
          </w:p>
          <w:p w14:paraId="59BD73D9" w14:textId="1E6CC052" w:rsidR="001C1B21" w:rsidRPr="001C1B21" w:rsidRDefault="001C1B21" w:rsidP="00B74EF1">
            <w:pPr>
              <w:tabs>
                <w:tab w:val="left" w:pos="0"/>
              </w:tabs>
              <w:spacing w:after="120"/>
              <w:jc w:val="both"/>
              <w:rPr>
                <w:rFonts w:asciiTheme="minorHAnsi" w:eastAsiaTheme="minorEastAsia" w:hAnsiTheme="minorHAnsi" w:cstheme="minorBidi"/>
                <w:b/>
                <w:bCs/>
                <w:szCs w:val="24"/>
                <w:lang w:eastAsia="zh-CN"/>
              </w:rPr>
            </w:pPr>
            <w:r w:rsidRPr="001C1B21">
              <w:rPr>
                <w:rFonts w:asciiTheme="minorHAnsi" w:eastAsiaTheme="minorEastAsia" w:hAnsiTheme="minorHAnsi" w:cstheme="minorBidi"/>
                <w:b/>
                <w:bCs/>
                <w:szCs w:val="24"/>
                <w:lang w:eastAsia="zh-CN"/>
              </w:rPr>
              <w:t>References</w:t>
            </w:r>
          </w:p>
          <w:p w14:paraId="0A90EBBC" w14:textId="7D1CB252" w:rsidR="008D5B25" w:rsidRPr="008D5B25" w:rsidRDefault="00140593" w:rsidP="00B74EF1">
            <w:pPr>
              <w:tabs>
                <w:tab w:val="left" w:pos="0"/>
              </w:tabs>
              <w:spacing w:after="120"/>
              <w:jc w:val="both"/>
              <w:rPr>
                <w:rFonts w:asciiTheme="minorHAnsi" w:hAnsiTheme="minorHAnsi"/>
                <w:szCs w:val="24"/>
                <w:lang w:eastAsia="zh-CN"/>
              </w:rPr>
            </w:pPr>
            <w:hyperlink r:id="rId11" w:history="1">
              <w:r w:rsidR="001C1B21" w:rsidRPr="75B8D686">
                <w:rPr>
                  <w:rStyle w:val="Hyperlink"/>
                  <w:rFonts w:eastAsia="Calibri" w:cs="Calibri"/>
                  <w:i/>
                  <w:iCs/>
                </w:rPr>
                <w:t>C2000/28(Rev.1)</w:t>
              </w:r>
            </w:hyperlink>
            <w:r w:rsidR="001C1B21" w:rsidRPr="001C1B21">
              <w:rPr>
                <w:rStyle w:val="Hyperlink"/>
                <w:rFonts w:eastAsia="Calibri" w:cs="Calibri"/>
                <w:u w:val="none"/>
              </w:rPr>
              <w:t>,</w:t>
            </w:r>
            <w:r w:rsidR="001C1B21">
              <w:rPr>
                <w:rStyle w:val="Hyperlink"/>
                <w:rFonts w:eastAsia="Calibri" w:cs="Calibri"/>
                <w:i/>
                <w:iCs/>
              </w:rPr>
              <w:t xml:space="preserve"> </w:t>
            </w:r>
            <w:hyperlink r:id="rId12" w:history="1">
              <w:r w:rsidR="001C1B21" w:rsidRPr="001C1B21">
                <w:rPr>
                  <w:rStyle w:val="Hyperlink"/>
                  <w:rFonts w:eastAsia="Calibri" w:cs="Calibri"/>
                  <w:i/>
                  <w:iCs/>
                </w:rPr>
                <w:t>Council Resolution 925</w:t>
              </w:r>
            </w:hyperlink>
            <w:r w:rsidR="001C1B21" w:rsidRPr="001C1B21">
              <w:rPr>
                <w:rStyle w:val="Hyperlink"/>
                <w:rFonts w:eastAsia="Calibri" w:cs="Calibri"/>
                <w:i/>
                <w:iCs/>
              </w:rPr>
              <w:t>,</w:t>
            </w:r>
            <w:r w:rsidR="001C1B21" w:rsidRPr="001C1B21">
              <w:rPr>
                <w:rStyle w:val="Hyperlink"/>
                <w:rFonts w:eastAsia="Calibri" w:cs="Calibri"/>
                <w:i/>
                <w:iCs/>
                <w:u w:val="none"/>
              </w:rPr>
              <w:t xml:space="preserve"> </w:t>
            </w:r>
            <w:hyperlink r:id="rId13" w:history="1">
              <w:r w:rsidR="001C1B21" w:rsidRPr="001C1B21">
                <w:rPr>
                  <w:rStyle w:val="Hyperlink"/>
                  <w:rFonts w:eastAsia="Calibri" w:cs="Calibri"/>
                  <w:i/>
                  <w:iCs/>
                </w:rPr>
                <w:t>Council Criteria for Exemptions (Rev 2017)</w:t>
              </w:r>
            </w:hyperlink>
          </w:p>
        </w:tc>
      </w:tr>
    </w:tbl>
    <w:p w14:paraId="2967B7F7" w14:textId="77777777" w:rsidR="008D5B25" w:rsidRPr="0042407C" w:rsidRDefault="008D5B25" w:rsidP="00E10268">
      <w:pPr>
        <w:pStyle w:val="Heading1"/>
        <w:jc w:val="both"/>
        <w:rPr>
          <w:rFonts w:eastAsia="Calibri"/>
          <w:sz w:val="24"/>
          <w:szCs w:val="24"/>
        </w:rPr>
      </w:pPr>
      <w:r w:rsidRPr="0042407C">
        <w:rPr>
          <w:rFonts w:eastAsia="Calibri"/>
          <w:sz w:val="24"/>
          <w:szCs w:val="24"/>
        </w:rPr>
        <w:t>1</w:t>
      </w:r>
      <w:r w:rsidRPr="0042407C">
        <w:rPr>
          <w:rFonts w:eastAsia="Calibri"/>
          <w:sz w:val="24"/>
          <w:szCs w:val="24"/>
        </w:rPr>
        <w:tab/>
        <w:t>Background</w:t>
      </w:r>
    </w:p>
    <w:p w14:paraId="0B093E7F" w14:textId="35C4E34D" w:rsidR="008D5B25" w:rsidRPr="007057DB" w:rsidRDefault="008D5B25" w:rsidP="00E10268">
      <w:pPr>
        <w:spacing w:after="120"/>
        <w:jc w:val="both"/>
        <w:rPr>
          <w:rFonts w:eastAsia="Calibri" w:cs="Calibri"/>
        </w:rPr>
      </w:pPr>
      <w:r w:rsidRPr="75B8D686">
        <w:rPr>
          <w:rFonts w:eastAsia="Calibri" w:cs="Calibri"/>
        </w:rPr>
        <w:t>1.1</w:t>
      </w:r>
      <w:r w:rsidRPr="007057DB">
        <w:tab/>
      </w:r>
      <w:r w:rsidRPr="75B8D686">
        <w:rPr>
          <w:rFonts w:eastAsia="Calibri" w:cs="Calibri"/>
        </w:rPr>
        <w:t xml:space="preserve">Each year, ITU receives requests from </w:t>
      </w:r>
      <w:r w:rsidR="00E10268" w:rsidRPr="00E10268">
        <w:rPr>
          <w:rFonts w:eastAsia="Calibri" w:cs="Calibri"/>
        </w:rPr>
        <w:t xml:space="preserve">organizations of an international character </w:t>
      </w:r>
      <w:r w:rsidRPr="75B8D686">
        <w:rPr>
          <w:rFonts w:eastAsia="Calibri" w:cs="Calibri"/>
        </w:rPr>
        <w:t xml:space="preserve">seeking exemption from membership fees and other financial contributions to the Union. These requests are considered as per the procedure established by Council at its 2000 session </w:t>
      </w:r>
      <w:r w:rsidRPr="001C1B21">
        <w:rPr>
          <w:rFonts w:eastAsia="Calibri" w:cs="Calibri"/>
        </w:rPr>
        <w:t>(</w:t>
      </w:r>
      <w:hyperlink r:id="rId14" w:history="1">
        <w:r w:rsidRPr="001C1B21">
          <w:rPr>
            <w:rStyle w:val="Hyperlink"/>
            <w:rFonts w:eastAsia="Calibri" w:cs="Calibri"/>
          </w:rPr>
          <w:t>C2000/28(Rev.1)</w:t>
        </w:r>
      </w:hyperlink>
      <w:r w:rsidRPr="001C1B21">
        <w:rPr>
          <w:rFonts w:eastAsia="Calibri" w:cs="Calibri"/>
        </w:rPr>
        <w:t>)</w:t>
      </w:r>
      <w:r w:rsidRPr="75B8D686">
        <w:rPr>
          <w:rFonts w:eastAsia="Calibri" w:cs="Calibri"/>
        </w:rPr>
        <w:t xml:space="preserve"> and in accordance with No. 476 of the Convention and</w:t>
      </w:r>
      <w:r w:rsidR="002D60DB">
        <w:rPr>
          <w:rFonts w:eastAsia="Calibri" w:cs="Calibri"/>
        </w:rPr>
        <w:t xml:space="preserve"> </w:t>
      </w:r>
      <w:hyperlink r:id="rId15" w:history="1">
        <w:r w:rsidRPr="002D60DB">
          <w:rPr>
            <w:rStyle w:val="Hyperlink"/>
            <w:rFonts w:eastAsia="Calibri" w:cs="Calibri"/>
          </w:rPr>
          <w:t>Council Resolution 925</w:t>
        </w:r>
      </w:hyperlink>
      <w:r w:rsidRPr="002D60DB">
        <w:rPr>
          <w:rFonts w:eastAsia="Calibri" w:cs="Calibri"/>
        </w:rPr>
        <w:t>.</w:t>
      </w:r>
      <w:r w:rsidRPr="75B8D686">
        <w:rPr>
          <w:rFonts w:eastAsia="Calibri" w:cs="Calibri"/>
        </w:rPr>
        <w:t xml:space="preserve"> </w:t>
      </w:r>
    </w:p>
    <w:p w14:paraId="7CAF57B7" w14:textId="63DDCACA" w:rsidR="008D5B25" w:rsidRPr="007057DB" w:rsidRDefault="008D5B25" w:rsidP="00E10268">
      <w:pPr>
        <w:spacing w:after="120"/>
        <w:jc w:val="both"/>
        <w:rPr>
          <w:rFonts w:eastAsia="Calibri" w:cs="Calibri"/>
        </w:rPr>
      </w:pPr>
      <w:r w:rsidRPr="75B8D686">
        <w:rPr>
          <w:rFonts w:eastAsia="Calibri" w:cs="Calibri"/>
        </w:rPr>
        <w:t>1.2</w:t>
      </w:r>
      <w:r w:rsidRPr="007057DB">
        <w:tab/>
      </w:r>
      <w:r w:rsidRPr="75B8D686">
        <w:rPr>
          <w:rFonts w:eastAsia="Calibri" w:cs="Calibri"/>
        </w:rPr>
        <w:t>Exemption from fees is granted by the Council following an analysis of the relevant Sectors and a recommendation by the Secretary-General. If approved, they become Sector Members or Associates under the terms of No. 231 of the Convention.</w:t>
      </w:r>
      <w:r w:rsidR="00556016">
        <w:rPr>
          <w:rFonts w:eastAsia="Calibri" w:cs="Calibri"/>
        </w:rPr>
        <w:t xml:space="preserve"> </w:t>
      </w:r>
    </w:p>
    <w:p w14:paraId="6DC4EF8E" w14:textId="0FF1116F" w:rsidR="008D5B25" w:rsidRDefault="008D5B25" w:rsidP="00E10268">
      <w:pPr>
        <w:spacing w:after="120"/>
        <w:jc w:val="both"/>
        <w:rPr>
          <w:rFonts w:eastAsia="Calibri" w:cs="Calibri"/>
        </w:rPr>
      </w:pPr>
      <w:r w:rsidRPr="75B8D686">
        <w:rPr>
          <w:rFonts w:eastAsia="Calibri" w:cs="Calibri"/>
        </w:rPr>
        <w:t>1.3</w:t>
      </w:r>
      <w:r>
        <w:tab/>
      </w:r>
      <w:r w:rsidRPr="75B8D686">
        <w:rPr>
          <w:rFonts w:eastAsia="Calibri" w:cs="Calibri"/>
        </w:rPr>
        <w:t>Currently, there are</w:t>
      </w:r>
      <w:r w:rsidR="000E5EFF">
        <w:rPr>
          <w:rFonts w:eastAsia="Calibri" w:cs="Calibri"/>
        </w:rPr>
        <w:t xml:space="preserve"> about 130 </w:t>
      </w:r>
      <w:r w:rsidRPr="75B8D686">
        <w:rPr>
          <w:rFonts w:eastAsia="Calibri" w:cs="Calibri"/>
        </w:rPr>
        <w:t xml:space="preserve">exempted </w:t>
      </w:r>
      <w:r w:rsidR="00E10268" w:rsidRPr="00E10268">
        <w:rPr>
          <w:rFonts w:eastAsia="Calibri" w:cs="Calibri"/>
        </w:rPr>
        <w:t>organizations of an international character</w:t>
      </w:r>
      <w:r w:rsidRPr="75B8D686">
        <w:rPr>
          <w:rFonts w:eastAsia="Calibri" w:cs="Calibri"/>
        </w:rPr>
        <w:t xml:space="preserve">. A full list is available </w:t>
      </w:r>
      <w:hyperlink r:id="rId16" w:history="1">
        <w:r w:rsidRPr="75B8D686">
          <w:rPr>
            <w:rStyle w:val="Hyperlink"/>
            <w:rFonts w:eastAsia="Calibri" w:cs="Calibri"/>
          </w:rPr>
          <w:t>here</w:t>
        </w:r>
      </w:hyperlink>
      <w:r w:rsidRPr="75B8D686">
        <w:rPr>
          <w:rFonts w:asciiTheme="minorHAnsi" w:eastAsiaTheme="minorEastAsia" w:hAnsiTheme="minorHAnsi" w:cstheme="minorBidi"/>
        </w:rPr>
        <w:t>.</w:t>
      </w:r>
    </w:p>
    <w:p w14:paraId="3726FFF7" w14:textId="443C0025" w:rsidR="008D5B25" w:rsidRDefault="007D03DC" w:rsidP="00E10268">
      <w:pPr>
        <w:spacing w:after="120"/>
        <w:jc w:val="both"/>
        <w:rPr>
          <w:rFonts w:eastAsia="Calibri" w:cs="Calibri"/>
        </w:rPr>
      </w:pPr>
      <w:r>
        <w:rPr>
          <w:rFonts w:eastAsia="Calibri" w:cs="Calibri"/>
        </w:rPr>
        <w:t>1.4</w:t>
      </w:r>
      <w:r w:rsidR="008D5B25" w:rsidRPr="007057DB">
        <w:tab/>
      </w:r>
      <w:r w:rsidR="008D5B25" w:rsidRPr="75B8D686">
        <w:rPr>
          <w:rFonts w:eastAsia="Calibri" w:cs="Calibri"/>
        </w:rPr>
        <w:t>In Res</w:t>
      </w:r>
      <w:r w:rsidR="008D5B25">
        <w:rPr>
          <w:rFonts w:eastAsia="Calibri" w:cs="Calibri"/>
        </w:rPr>
        <w:t>olution</w:t>
      </w:r>
      <w:r w:rsidR="008D5B25" w:rsidRPr="75B8D686">
        <w:rPr>
          <w:rFonts w:eastAsia="Calibri" w:cs="Calibri"/>
        </w:rPr>
        <w:t xml:space="preserve"> 187 (Busan, 2014), the 2014 Plenipotentiary Conference instructed 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6D20FA37" w14:textId="2FFFB585" w:rsidR="002D60DB" w:rsidRDefault="007D03DC" w:rsidP="00E10268">
      <w:pPr>
        <w:spacing w:after="120"/>
        <w:jc w:val="both"/>
        <w:rPr>
          <w:rFonts w:eastAsia="Calibri" w:cs="Calibri"/>
        </w:rPr>
      </w:pPr>
      <w:r>
        <w:rPr>
          <w:rFonts w:eastAsia="Calibri" w:cs="Calibri"/>
        </w:rPr>
        <w:lastRenderedPageBreak/>
        <w:t>1.5</w:t>
      </w:r>
      <w:r w:rsidR="008D5B25">
        <w:tab/>
      </w:r>
      <w:r w:rsidR="00AB3586">
        <w:rPr>
          <w:rFonts w:eastAsia="Calibri" w:cs="Calibri"/>
        </w:rPr>
        <w:t xml:space="preserve">Council 17 approved revised </w:t>
      </w:r>
      <w:r w:rsidR="001F3A7E">
        <w:rPr>
          <w:rFonts w:eastAsia="Calibri" w:cs="Calibri"/>
        </w:rPr>
        <w:t>criteria</w:t>
      </w:r>
      <w:r w:rsidR="00D4324A">
        <w:rPr>
          <w:rFonts w:eastAsia="Calibri" w:cs="Calibri"/>
        </w:rPr>
        <w:t xml:space="preserve">, available </w:t>
      </w:r>
      <w:hyperlink r:id="rId17" w:history="1">
        <w:r w:rsidR="00D4324A" w:rsidRPr="0027143B">
          <w:rPr>
            <w:rStyle w:val="Hyperlink"/>
            <w:rFonts w:eastAsia="Calibri" w:cs="Calibri"/>
          </w:rPr>
          <w:t>here</w:t>
        </w:r>
      </w:hyperlink>
      <w:r w:rsidR="00AB3586" w:rsidRPr="0027143B">
        <w:rPr>
          <w:rFonts w:eastAsia="Calibri" w:cs="Calibri"/>
        </w:rPr>
        <w:t>.</w:t>
      </w:r>
      <w:r w:rsidR="00AB3586">
        <w:rPr>
          <w:rFonts w:eastAsia="Calibri" w:cs="Calibri"/>
        </w:rPr>
        <w:t xml:space="preserve"> Since then, each Council has reviewed new applications according to </w:t>
      </w:r>
      <w:r w:rsidR="00FD77A2">
        <w:rPr>
          <w:rFonts w:eastAsia="Calibri" w:cs="Calibri"/>
        </w:rPr>
        <w:t>these criteria</w:t>
      </w:r>
      <w:r w:rsidR="00AB3586">
        <w:rPr>
          <w:rFonts w:eastAsia="Calibri" w:cs="Calibri"/>
        </w:rPr>
        <w:t xml:space="preserve">. </w:t>
      </w:r>
    </w:p>
    <w:p w14:paraId="01462803" w14:textId="23C481FA" w:rsidR="00AB3586" w:rsidRPr="006F35A5" w:rsidRDefault="003C34E3" w:rsidP="00E10268">
      <w:pPr>
        <w:spacing w:after="120"/>
        <w:jc w:val="both"/>
        <w:rPr>
          <w:rFonts w:asciiTheme="minorHAnsi" w:eastAsiaTheme="minorEastAsia" w:hAnsiTheme="minorHAnsi" w:cstheme="minorBidi"/>
          <w:szCs w:val="24"/>
          <w:lang w:eastAsia="zh-CN"/>
        </w:rPr>
      </w:pPr>
      <w:r>
        <w:rPr>
          <w:rFonts w:eastAsia="Calibri" w:cs="Calibri"/>
        </w:rPr>
        <w:t>1.6</w:t>
      </w:r>
      <w:r>
        <w:rPr>
          <w:rFonts w:eastAsia="Calibri" w:cs="Calibri"/>
        </w:rPr>
        <w:tab/>
        <w:t xml:space="preserve">At its 2019 session, Council decided to apply the revised criteria to new applications and </w:t>
      </w:r>
      <w:r w:rsidR="00E5770A">
        <w:rPr>
          <w:rFonts w:eastAsia="Calibri" w:cs="Calibri"/>
        </w:rPr>
        <w:t>maintain (</w:t>
      </w:r>
      <w:proofErr w:type="gramStart"/>
      <w:r w:rsidR="00E5770A">
        <w:rPr>
          <w:rFonts w:eastAsia="Calibri" w:cs="Calibri"/>
        </w:rPr>
        <w:t>i.e.</w:t>
      </w:r>
      <w:proofErr w:type="gramEnd"/>
      <w:r w:rsidR="00E5770A">
        <w:rPr>
          <w:rFonts w:eastAsia="Calibri" w:cs="Calibri"/>
        </w:rPr>
        <w:t xml:space="preserve"> “</w:t>
      </w:r>
      <w:r>
        <w:rPr>
          <w:rFonts w:eastAsia="Calibri" w:cs="Calibri"/>
        </w:rPr>
        <w:t>grandfather</w:t>
      </w:r>
      <w:r w:rsidR="00E5770A">
        <w:rPr>
          <w:rFonts w:eastAsia="Calibri" w:cs="Calibri"/>
        </w:rPr>
        <w:t>”)</w:t>
      </w:r>
      <w:r>
        <w:rPr>
          <w:rFonts w:eastAsia="Calibri" w:cs="Calibri"/>
        </w:rPr>
        <w:t xml:space="preserve"> the existing list for another four years as a transitionary measure. </w:t>
      </w:r>
      <w:r w:rsidR="00E5770A">
        <w:rPr>
          <w:rFonts w:eastAsia="Calibri" w:cs="Calibri"/>
        </w:rPr>
        <w:t>In recent months, t</w:t>
      </w:r>
      <w:r>
        <w:rPr>
          <w:rFonts w:eastAsia="Calibri" w:cs="Calibri"/>
        </w:rPr>
        <w:t xml:space="preserve">he </w:t>
      </w:r>
      <w:r w:rsidR="00B74EF1">
        <w:rPr>
          <w:rFonts w:eastAsia="Calibri" w:cs="Calibri"/>
        </w:rPr>
        <w:t>s</w:t>
      </w:r>
      <w:r>
        <w:rPr>
          <w:rFonts w:eastAsia="Calibri" w:cs="Calibri"/>
        </w:rPr>
        <w:t xml:space="preserve">ecretariat has been contacting all entities that currently benefit from exemption to </w:t>
      </w:r>
      <w:r w:rsidR="00E5770A">
        <w:rPr>
          <w:rFonts w:eastAsia="Calibri" w:cs="Calibri"/>
        </w:rPr>
        <w:t xml:space="preserve">update their documentation and </w:t>
      </w:r>
      <w:r>
        <w:rPr>
          <w:rFonts w:eastAsia="Calibri" w:cs="Calibri"/>
        </w:rPr>
        <w:t xml:space="preserve">confirm if they wish </w:t>
      </w:r>
      <w:r w:rsidR="00E5770A">
        <w:rPr>
          <w:rFonts w:eastAsia="Calibri" w:cs="Calibri"/>
        </w:rPr>
        <w:t>t</w:t>
      </w:r>
      <w:r>
        <w:rPr>
          <w:rFonts w:eastAsia="Calibri" w:cs="Calibri"/>
        </w:rPr>
        <w:t>o continue their status subject to reciprocity</w:t>
      </w:r>
      <w:r w:rsidR="00E5770A">
        <w:rPr>
          <w:rFonts w:eastAsia="Calibri" w:cs="Calibri"/>
        </w:rPr>
        <w:t xml:space="preserve">. On this basis, the </w:t>
      </w:r>
      <w:r w:rsidR="00B74EF1">
        <w:rPr>
          <w:rFonts w:eastAsia="Calibri" w:cs="Calibri"/>
        </w:rPr>
        <w:t>s</w:t>
      </w:r>
      <w:r w:rsidR="00E5770A">
        <w:rPr>
          <w:rFonts w:eastAsia="Calibri" w:cs="Calibri"/>
        </w:rPr>
        <w:t xml:space="preserve">ecretariat </w:t>
      </w:r>
      <w:r>
        <w:rPr>
          <w:rFonts w:eastAsia="Calibri" w:cs="Calibri"/>
        </w:rPr>
        <w:t xml:space="preserve">is reviewing the entire list of exempted entities to assess </w:t>
      </w:r>
      <w:r w:rsidR="00E5770A">
        <w:rPr>
          <w:rFonts w:eastAsia="Calibri" w:cs="Calibri"/>
        </w:rPr>
        <w:t>whether</w:t>
      </w:r>
      <w:r>
        <w:rPr>
          <w:rFonts w:eastAsia="Calibri" w:cs="Calibri"/>
        </w:rPr>
        <w:t xml:space="preserve"> they meet the revised criteria</w:t>
      </w:r>
      <w:r w:rsidR="00E5770A">
        <w:rPr>
          <w:rFonts w:eastAsia="Calibri" w:cs="Calibri"/>
        </w:rPr>
        <w:t xml:space="preserve"> with the intention of providing a full report to the next session of Council for consideration.</w:t>
      </w:r>
    </w:p>
    <w:p w14:paraId="549A6AA7" w14:textId="3277BFB3" w:rsidR="00D02B3E" w:rsidRDefault="00D07E24" w:rsidP="00D07255">
      <w:pPr>
        <w:pStyle w:val="Heading1"/>
        <w:spacing w:before="240" w:after="120"/>
        <w:rPr>
          <w:rFonts w:eastAsia="Calibri"/>
          <w:sz w:val="24"/>
          <w:szCs w:val="24"/>
        </w:rPr>
      </w:pPr>
      <w:r>
        <w:rPr>
          <w:rFonts w:eastAsia="Calibri"/>
          <w:sz w:val="24"/>
          <w:szCs w:val="24"/>
        </w:rPr>
        <w:t>2</w:t>
      </w:r>
      <w:r w:rsidR="008D5B25" w:rsidRPr="00812B8E">
        <w:rPr>
          <w:rFonts w:eastAsia="Calibri"/>
          <w:sz w:val="24"/>
          <w:szCs w:val="24"/>
        </w:rPr>
        <w:tab/>
      </w:r>
      <w:r w:rsidR="001232AA">
        <w:rPr>
          <w:rFonts w:eastAsia="Calibri"/>
          <w:sz w:val="24"/>
          <w:szCs w:val="24"/>
        </w:rPr>
        <w:t xml:space="preserve">New </w:t>
      </w:r>
      <w:r w:rsidR="00D4324A">
        <w:rPr>
          <w:rFonts w:eastAsia="Calibri"/>
          <w:sz w:val="24"/>
          <w:szCs w:val="24"/>
        </w:rPr>
        <w:t>Requests and Recommendations</w:t>
      </w:r>
    </w:p>
    <w:p w14:paraId="2F7D9B16" w14:textId="7985519F" w:rsidR="00223226" w:rsidRPr="003101DB" w:rsidRDefault="00223226" w:rsidP="00D07255">
      <w:pPr>
        <w:spacing w:after="120"/>
        <w:rPr>
          <w:rFonts w:asciiTheme="minorHAnsi" w:hAnsiTheme="minorHAnsi" w:cs="Calibri"/>
          <w:lang w:val="en-US"/>
        </w:rPr>
      </w:pPr>
      <w:r>
        <w:rPr>
          <w:rFonts w:asciiTheme="minorHAnsi" w:hAnsiTheme="minorHAnsi" w:cs="Calibri"/>
          <w:lang w:val="en-US"/>
        </w:rPr>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223226" w:rsidRPr="003101DB" w14:paraId="71EF32AA" w14:textId="77777777" w:rsidTr="00695CD5">
        <w:trPr>
          <w:cantSplit/>
          <w:jc w:val="center"/>
        </w:trPr>
        <w:tc>
          <w:tcPr>
            <w:tcW w:w="3906" w:type="dxa"/>
          </w:tcPr>
          <w:p w14:paraId="00B35524" w14:textId="77777777" w:rsidR="00223226" w:rsidRPr="003101DB" w:rsidRDefault="00223226" w:rsidP="00695CD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7AD5F7C1" w14:textId="77777777" w:rsidR="00223226" w:rsidRPr="003101DB" w:rsidRDefault="00223226" w:rsidP="00695CD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3325" w:type="dxa"/>
          </w:tcPr>
          <w:p w14:paraId="7D8E915C" w14:textId="4F6E61BF" w:rsidR="00223226" w:rsidRDefault="00223226" w:rsidP="00695CD5">
            <w:pPr>
              <w:pStyle w:val="TableHead0"/>
              <w:keepLines/>
              <w:spacing w:before="60" w:after="60"/>
              <w:rPr>
                <w:rFonts w:asciiTheme="minorHAnsi" w:hAnsiTheme="minorHAnsi" w:cstheme="minorHAnsi"/>
                <w:szCs w:val="24"/>
                <w:lang w:val="en-US"/>
              </w:rPr>
            </w:pPr>
            <w:r>
              <w:rPr>
                <w:rFonts w:asciiTheme="minorHAnsi" w:hAnsiTheme="minorHAnsi" w:cstheme="minorHAnsi"/>
                <w:szCs w:val="24"/>
                <w:lang w:val="en-US"/>
              </w:rPr>
              <w:t xml:space="preserve">Recommendation: </w:t>
            </w:r>
          </w:p>
          <w:p w14:paraId="616B7187" w14:textId="0CE5B8D4" w:rsidR="00223226" w:rsidRPr="003101DB" w:rsidRDefault="00223226" w:rsidP="00695CD5">
            <w:pPr>
              <w:pStyle w:val="TableHead0"/>
              <w:keepLines/>
              <w:spacing w:before="60" w:after="60"/>
              <w:rPr>
                <w:rFonts w:asciiTheme="minorHAnsi" w:hAnsiTheme="minorHAnsi" w:cs="Calibri"/>
                <w:szCs w:val="24"/>
                <w:lang w:val="en-US"/>
              </w:rPr>
            </w:pPr>
          </w:p>
        </w:tc>
      </w:tr>
      <w:tr w:rsidR="00223226" w:rsidRPr="003101DB" w14:paraId="61BA3823" w14:textId="77777777" w:rsidTr="00695CD5">
        <w:trPr>
          <w:cantSplit/>
          <w:trHeight w:val="1059"/>
          <w:jc w:val="center"/>
        </w:trPr>
        <w:tc>
          <w:tcPr>
            <w:tcW w:w="3906" w:type="dxa"/>
            <w:vAlign w:val="center"/>
          </w:tcPr>
          <w:p w14:paraId="00778FCF" w14:textId="77777777" w:rsidR="00223226" w:rsidRPr="00243D94" w:rsidRDefault="00223226" w:rsidP="00695CD5">
            <w:pPr>
              <w:rPr>
                <w:rFonts w:asciiTheme="minorHAnsi" w:hAnsiTheme="minorHAnsi" w:cs="Calibri"/>
                <w:b/>
                <w:bCs/>
                <w:iCs/>
                <w:lang w:val="fr-FR"/>
              </w:rPr>
            </w:pPr>
            <w:r>
              <w:rPr>
                <w:rFonts w:asciiTheme="minorHAnsi" w:hAnsiTheme="minorHAnsi" w:cs="Calibri"/>
                <w:b/>
                <w:bCs/>
                <w:iCs/>
                <w:lang w:val="fr-FR"/>
              </w:rPr>
              <w:t xml:space="preserve">Digital </w:t>
            </w:r>
            <w:proofErr w:type="spellStart"/>
            <w:r>
              <w:rPr>
                <w:rFonts w:asciiTheme="minorHAnsi" w:hAnsiTheme="minorHAnsi" w:cs="Calibri"/>
                <w:b/>
                <w:bCs/>
                <w:iCs/>
                <w:lang w:val="fr-FR"/>
              </w:rPr>
              <w:t>Cooperation</w:t>
            </w:r>
            <w:proofErr w:type="spellEnd"/>
            <w:r>
              <w:rPr>
                <w:rFonts w:asciiTheme="minorHAnsi" w:hAnsiTheme="minorHAnsi" w:cs="Calibri"/>
                <w:b/>
                <w:bCs/>
                <w:iCs/>
                <w:lang w:val="fr-FR"/>
              </w:rPr>
              <w:t xml:space="preserve"> </w:t>
            </w:r>
            <w:proofErr w:type="spellStart"/>
            <w:r>
              <w:rPr>
                <w:rFonts w:asciiTheme="minorHAnsi" w:hAnsiTheme="minorHAnsi" w:cs="Calibri"/>
                <w:b/>
                <w:bCs/>
                <w:iCs/>
                <w:lang w:val="fr-FR"/>
              </w:rPr>
              <w:t>Organization</w:t>
            </w:r>
            <w:proofErr w:type="spellEnd"/>
            <w:r>
              <w:rPr>
                <w:rFonts w:asciiTheme="minorHAnsi" w:hAnsiTheme="minorHAnsi" w:cs="Calibri"/>
                <w:b/>
                <w:bCs/>
                <w:iCs/>
                <w:lang w:val="fr-FR"/>
              </w:rPr>
              <w:t xml:space="preserve"> (DCO)</w:t>
            </w:r>
          </w:p>
        </w:tc>
        <w:tc>
          <w:tcPr>
            <w:tcW w:w="1559" w:type="dxa"/>
            <w:vAlign w:val="center"/>
          </w:tcPr>
          <w:p w14:paraId="05D4A8FB" w14:textId="77777777" w:rsidR="00223226" w:rsidRPr="003101DB" w:rsidRDefault="00223226" w:rsidP="00695CD5">
            <w:pPr>
              <w:pStyle w:val="TableText0"/>
              <w:keepNext/>
              <w:keepLines/>
              <w:spacing w:before="120" w:after="60"/>
              <w:jc w:val="center"/>
              <w:rPr>
                <w:rFonts w:asciiTheme="minorHAnsi" w:hAnsiTheme="minorHAnsi" w:cs="Calibri"/>
                <w:szCs w:val="24"/>
                <w:lang w:val="fr-CH"/>
              </w:rPr>
            </w:pPr>
            <w:r>
              <w:rPr>
                <w:rFonts w:asciiTheme="minorHAnsi" w:hAnsiTheme="minorHAnsi" w:cs="Calibri"/>
                <w:szCs w:val="24"/>
                <w:lang w:val="fr-CH"/>
              </w:rPr>
              <w:t>ITU-D</w:t>
            </w:r>
            <w:r w:rsidRPr="003101DB">
              <w:rPr>
                <w:rFonts w:asciiTheme="minorHAnsi" w:hAnsiTheme="minorHAnsi" w:cs="Calibri"/>
                <w:szCs w:val="24"/>
                <w:lang w:val="fr-CH"/>
              </w:rPr>
              <w:br/>
            </w:r>
          </w:p>
        </w:tc>
        <w:tc>
          <w:tcPr>
            <w:tcW w:w="3325" w:type="dxa"/>
            <w:vAlign w:val="center"/>
          </w:tcPr>
          <w:p w14:paraId="4A63622D" w14:textId="77777777" w:rsidR="00223226" w:rsidRPr="00180820" w:rsidRDefault="00223226" w:rsidP="00695CD5">
            <w:pPr>
              <w:pStyle w:val="TableText0"/>
              <w:keepNext/>
              <w:keepLines/>
              <w:spacing w:before="120" w:after="60"/>
              <w:jc w:val="center"/>
              <w:rPr>
                <w:rFonts w:asciiTheme="minorHAnsi" w:hAnsiTheme="minorHAnsi" w:cs="Calibri"/>
                <w:szCs w:val="24"/>
                <w:highlight w:val="yellow"/>
                <w:lang w:val="fr-CH"/>
              </w:rPr>
            </w:pPr>
            <w:r w:rsidRPr="001C1B21">
              <w:rPr>
                <w:rFonts w:asciiTheme="minorHAnsi" w:hAnsiTheme="minorHAnsi" w:cs="Calibri"/>
                <w:szCs w:val="24"/>
                <w:lang w:val="fr-CH"/>
              </w:rPr>
              <w:t>YES</w:t>
            </w:r>
            <w:r w:rsidRPr="001C1B21">
              <w:rPr>
                <w:rFonts w:asciiTheme="minorHAnsi" w:hAnsiTheme="minorHAnsi" w:cs="Calibri"/>
                <w:szCs w:val="24"/>
                <w:lang w:val="fr-CH"/>
              </w:rPr>
              <w:br/>
            </w:r>
          </w:p>
        </w:tc>
      </w:tr>
    </w:tbl>
    <w:p w14:paraId="400884DC" w14:textId="6EB42646" w:rsidR="00223226" w:rsidRPr="001C1B21" w:rsidRDefault="00223226" w:rsidP="00D07255">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2952F8">
        <w:rPr>
          <w:rFonts w:asciiTheme="minorHAnsi" w:hAnsiTheme="minorHAnsi" w:cstheme="minorHAnsi"/>
          <w:color w:val="17212A"/>
          <w:szCs w:val="24"/>
          <w:shd w:val="clear" w:color="auto" w:fill="F7F9FA"/>
          <w:lang w:eastAsia="en-GB"/>
        </w:rPr>
        <w:t xml:space="preserve">Headquartered in Saudi Arabia, </w:t>
      </w:r>
      <w:r w:rsidRPr="002952F8">
        <w:rPr>
          <w:rFonts w:asciiTheme="minorHAnsi" w:hAnsiTheme="minorHAnsi" w:cstheme="minorHAnsi"/>
        </w:rPr>
        <w:t xml:space="preserve">DCO was established in 2020 by seven Member States to drive greater collaboration and cooperation across entrepreneurship, innovation, business growth and employment in a shared digital economy. Its seven founding member nations are Bahrain, Jordan, Kuwait, Nigeria Oman, </w:t>
      </w:r>
      <w:r w:rsidR="00501EFD" w:rsidRPr="002952F8">
        <w:rPr>
          <w:rFonts w:asciiTheme="minorHAnsi" w:hAnsiTheme="minorHAnsi" w:cstheme="minorHAnsi"/>
        </w:rPr>
        <w:t>Pakistan,</w:t>
      </w:r>
      <w:r w:rsidRPr="002952F8">
        <w:rPr>
          <w:rFonts w:asciiTheme="minorHAnsi" w:hAnsiTheme="minorHAnsi" w:cstheme="minorHAnsi"/>
        </w:rPr>
        <w:t xml:space="preserve"> and Saudi Arabia. The</w:t>
      </w:r>
      <w:r w:rsidRPr="002952F8" w:rsidDel="00D54DA8">
        <w:rPr>
          <w:rFonts w:asciiTheme="minorHAnsi" w:hAnsiTheme="minorHAnsi" w:cstheme="minorHAnsi"/>
          <w:lang w:val="en-US"/>
        </w:rPr>
        <w:t xml:space="preserve"> </w:t>
      </w:r>
      <w:r w:rsidR="00B74EF1">
        <w:rPr>
          <w:rFonts w:asciiTheme="minorHAnsi" w:hAnsiTheme="minorHAnsi" w:cstheme="minorHAnsi"/>
          <w:lang w:val="en-US"/>
        </w:rPr>
        <w:t>s</w:t>
      </w:r>
      <w:proofErr w:type="spellStart"/>
      <w:r w:rsidRPr="002952F8">
        <w:rPr>
          <w:rFonts w:asciiTheme="minorHAnsi" w:hAnsiTheme="minorHAnsi" w:cstheme="minorHAnsi"/>
        </w:rPr>
        <w:t>ecretariat</w:t>
      </w:r>
      <w:proofErr w:type="spellEnd"/>
      <w:r w:rsidRPr="002952F8">
        <w:rPr>
          <w:rFonts w:asciiTheme="minorHAnsi" w:hAnsiTheme="minorHAnsi" w:cstheme="minorHAnsi"/>
        </w:rPr>
        <w:t xml:space="preserve"> is of the view that this entity meets the criteria</w:t>
      </w:r>
      <w:r w:rsidRPr="001C1B21">
        <w:rPr>
          <w:rFonts w:asciiTheme="minorHAnsi" w:hAnsiTheme="minorHAnsi" w:cstheme="minorHAnsi"/>
        </w:rPr>
        <w:t xml:space="preserve"> for exemption for ITU-D. </w:t>
      </w:r>
    </w:p>
    <w:p w14:paraId="6A83DD9D" w14:textId="676EDCDF" w:rsidR="00C610B7" w:rsidRPr="003101DB" w:rsidRDefault="00C610B7" w:rsidP="00E10268">
      <w:pPr>
        <w:spacing w:before="240" w:after="120"/>
        <w:rPr>
          <w:rFonts w:asciiTheme="minorHAnsi" w:hAnsiTheme="minorHAnsi" w:cs="Calibri"/>
          <w:lang w:val="en-US"/>
        </w:rPr>
      </w:pPr>
      <w:r>
        <w:rPr>
          <w:rFonts w:asciiTheme="minorHAnsi" w:hAnsiTheme="minorHAnsi" w:cs="Calibri"/>
          <w:lang w:val="en-US"/>
        </w:rPr>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C610B7" w:rsidRPr="003101DB" w14:paraId="4D27C991" w14:textId="77777777" w:rsidTr="00695CD5">
        <w:trPr>
          <w:cantSplit/>
          <w:jc w:val="center"/>
        </w:trPr>
        <w:tc>
          <w:tcPr>
            <w:tcW w:w="3906" w:type="dxa"/>
          </w:tcPr>
          <w:p w14:paraId="5FD9B02B" w14:textId="77777777" w:rsidR="00C610B7" w:rsidRPr="003101DB" w:rsidRDefault="00C610B7" w:rsidP="00695CD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14:paraId="3D483D2F" w14:textId="77777777" w:rsidR="00C610B7" w:rsidRPr="003101DB" w:rsidRDefault="00C610B7" w:rsidP="00695CD5">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3750" w:type="dxa"/>
          </w:tcPr>
          <w:p w14:paraId="17600C91" w14:textId="132CC486" w:rsidR="00C610B7" w:rsidRDefault="00C610B7" w:rsidP="00C97AD1">
            <w:pPr>
              <w:pStyle w:val="TableHead0"/>
              <w:keepLines/>
              <w:spacing w:before="60" w:after="60"/>
              <w:rPr>
                <w:rFonts w:asciiTheme="minorHAnsi" w:hAnsiTheme="minorHAnsi" w:cstheme="minorHAnsi"/>
                <w:szCs w:val="24"/>
                <w:lang w:val="en-US"/>
              </w:rPr>
            </w:pPr>
            <w:r>
              <w:rPr>
                <w:rFonts w:asciiTheme="minorHAnsi" w:hAnsiTheme="minorHAnsi" w:cstheme="minorHAnsi"/>
                <w:szCs w:val="24"/>
                <w:lang w:val="en-US"/>
              </w:rPr>
              <w:t>Recommendation:</w:t>
            </w:r>
          </w:p>
          <w:p w14:paraId="5ACEDE02" w14:textId="1E570EF6" w:rsidR="00C610B7" w:rsidRPr="003101DB" w:rsidRDefault="00C610B7" w:rsidP="00695CD5">
            <w:pPr>
              <w:pStyle w:val="TableHead0"/>
              <w:keepLines/>
              <w:spacing w:before="60" w:after="60"/>
              <w:rPr>
                <w:rFonts w:asciiTheme="minorHAnsi" w:hAnsiTheme="minorHAnsi" w:cs="Calibri"/>
                <w:szCs w:val="24"/>
                <w:lang w:val="en-US"/>
              </w:rPr>
            </w:pPr>
          </w:p>
        </w:tc>
      </w:tr>
      <w:tr w:rsidR="00C610B7" w:rsidRPr="00E60B71" w14:paraId="61A65C75" w14:textId="77777777" w:rsidTr="00695CD5">
        <w:trPr>
          <w:cantSplit/>
          <w:jc w:val="center"/>
        </w:trPr>
        <w:tc>
          <w:tcPr>
            <w:tcW w:w="3906" w:type="dxa"/>
            <w:vAlign w:val="center"/>
          </w:tcPr>
          <w:p w14:paraId="0A6CAD86" w14:textId="77777777" w:rsidR="00C610B7" w:rsidRPr="00E60B71" w:rsidRDefault="00C610B7" w:rsidP="00695C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eastAsia="en-GB"/>
              </w:rPr>
            </w:pPr>
            <w:r w:rsidRPr="00E60B71">
              <w:rPr>
                <w:rFonts w:asciiTheme="minorHAnsi" w:hAnsiTheme="minorHAnsi" w:cstheme="minorHAnsi"/>
                <w:b/>
                <w:bCs/>
                <w:color w:val="000000" w:themeColor="text1"/>
                <w:szCs w:val="24"/>
                <w:shd w:val="clear" w:color="auto" w:fill="FFFFFF"/>
              </w:rPr>
              <w:t>Telecommunications Standards Development Society, </w:t>
            </w:r>
            <w:r w:rsidRPr="00E60B71">
              <w:rPr>
                <w:rStyle w:val="Emphasis"/>
                <w:rFonts w:asciiTheme="minorHAnsi" w:hAnsiTheme="minorHAnsi" w:cstheme="minorHAnsi"/>
                <w:b/>
                <w:bCs/>
                <w:i w:val="0"/>
                <w:iCs w:val="0"/>
                <w:color w:val="000000" w:themeColor="text1"/>
                <w:szCs w:val="24"/>
                <w:shd w:val="clear" w:color="auto" w:fill="FFFFFF"/>
              </w:rPr>
              <w:t>India (TSDSI)</w:t>
            </w:r>
          </w:p>
          <w:p w14:paraId="0649AC19" w14:textId="77777777" w:rsidR="00C610B7" w:rsidRPr="00E60B71" w:rsidRDefault="00C610B7" w:rsidP="00695CD5">
            <w:pPr>
              <w:rPr>
                <w:rFonts w:asciiTheme="minorHAnsi" w:hAnsiTheme="minorHAnsi" w:cs="Calibri"/>
                <w:b/>
                <w:bCs/>
                <w:iCs/>
              </w:rPr>
            </w:pPr>
          </w:p>
        </w:tc>
        <w:tc>
          <w:tcPr>
            <w:tcW w:w="1559" w:type="dxa"/>
            <w:vAlign w:val="center"/>
          </w:tcPr>
          <w:p w14:paraId="535BFA52" w14:textId="77777777" w:rsidR="00C610B7" w:rsidRPr="00E60B71" w:rsidRDefault="00C610B7" w:rsidP="00695CD5">
            <w:pPr>
              <w:pStyle w:val="TableText0"/>
              <w:keepNext/>
              <w:keepLines/>
              <w:spacing w:before="120" w:after="60"/>
              <w:jc w:val="center"/>
              <w:rPr>
                <w:rFonts w:asciiTheme="minorHAnsi" w:hAnsiTheme="minorHAnsi" w:cs="Calibri"/>
                <w:szCs w:val="24"/>
                <w:lang w:val="fr-CH"/>
              </w:rPr>
            </w:pPr>
            <w:r w:rsidRPr="00E60B71">
              <w:rPr>
                <w:rFonts w:asciiTheme="minorHAnsi" w:hAnsiTheme="minorHAnsi" w:cs="Calibri"/>
                <w:szCs w:val="24"/>
                <w:lang w:val="fr-CH"/>
              </w:rPr>
              <w:t>ITU-R</w:t>
            </w:r>
          </w:p>
          <w:p w14:paraId="0A9F0152" w14:textId="77777777" w:rsidR="00C610B7" w:rsidRPr="00E60B71" w:rsidRDefault="00C610B7" w:rsidP="00695CD5">
            <w:pPr>
              <w:pStyle w:val="TableText0"/>
              <w:keepNext/>
              <w:keepLines/>
              <w:spacing w:before="120" w:after="60"/>
              <w:jc w:val="center"/>
              <w:rPr>
                <w:rFonts w:asciiTheme="minorHAnsi" w:hAnsiTheme="minorHAnsi" w:cs="Calibri"/>
                <w:szCs w:val="24"/>
                <w:lang w:val="fr-CH"/>
              </w:rPr>
            </w:pPr>
            <w:r w:rsidRPr="00E60B71">
              <w:rPr>
                <w:rFonts w:asciiTheme="minorHAnsi" w:hAnsiTheme="minorHAnsi" w:cs="Calibri"/>
                <w:szCs w:val="24"/>
                <w:lang w:val="fr-CH"/>
              </w:rPr>
              <w:t>ITU-T</w:t>
            </w:r>
          </w:p>
          <w:p w14:paraId="11025EFD" w14:textId="77777777" w:rsidR="00C610B7" w:rsidRPr="00E60B71" w:rsidRDefault="00C610B7" w:rsidP="00695CD5">
            <w:pPr>
              <w:pStyle w:val="TableText0"/>
              <w:keepNext/>
              <w:keepLines/>
              <w:spacing w:before="120" w:after="60"/>
              <w:jc w:val="center"/>
              <w:rPr>
                <w:rFonts w:asciiTheme="minorHAnsi" w:hAnsiTheme="minorHAnsi" w:cs="Calibri"/>
                <w:szCs w:val="24"/>
                <w:lang w:val="fr-CH"/>
              </w:rPr>
            </w:pPr>
            <w:r w:rsidRPr="00E60B71">
              <w:rPr>
                <w:rFonts w:asciiTheme="minorHAnsi" w:hAnsiTheme="minorHAnsi" w:cs="Calibri"/>
                <w:szCs w:val="24"/>
                <w:lang w:val="fr-CH"/>
              </w:rPr>
              <w:br/>
            </w:r>
          </w:p>
        </w:tc>
        <w:tc>
          <w:tcPr>
            <w:tcW w:w="3750" w:type="dxa"/>
            <w:vAlign w:val="center"/>
          </w:tcPr>
          <w:p w14:paraId="2302CC3B" w14:textId="24C90AC8" w:rsidR="00C610B7" w:rsidRPr="00E60B71" w:rsidRDefault="00C610B7" w:rsidP="00695CD5">
            <w:pPr>
              <w:pStyle w:val="TableText0"/>
              <w:keepNext/>
              <w:keepLines/>
              <w:spacing w:before="120" w:after="60"/>
              <w:jc w:val="center"/>
              <w:rPr>
                <w:rFonts w:asciiTheme="minorHAnsi" w:hAnsiTheme="minorHAnsi" w:cs="Calibri"/>
                <w:szCs w:val="24"/>
              </w:rPr>
            </w:pPr>
            <w:r w:rsidRPr="00E60B71">
              <w:rPr>
                <w:rFonts w:asciiTheme="minorHAnsi" w:hAnsiTheme="minorHAnsi" w:cs="Calibri"/>
                <w:szCs w:val="24"/>
              </w:rPr>
              <w:t xml:space="preserve">Defer to </w:t>
            </w:r>
            <w:r w:rsidR="00D76528" w:rsidRPr="00E60B71">
              <w:rPr>
                <w:rFonts w:asciiTheme="minorHAnsi" w:hAnsiTheme="minorHAnsi" w:cs="Calibri"/>
                <w:szCs w:val="24"/>
              </w:rPr>
              <w:t xml:space="preserve">next session of Council as part of </w:t>
            </w:r>
            <w:r w:rsidRPr="00E60B71">
              <w:rPr>
                <w:rFonts w:asciiTheme="minorHAnsi" w:hAnsiTheme="minorHAnsi" w:cs="Calibri"/>
                <w:szCs w:val="24"/>
              </w:rPr>
              <w:t>review of full list</w:t>
            </w:r>
          </w:p>
          <w:p w14:paraId="6791DBB3" w14:textId="77777777" w:rsidR="00C610B7" w:rsidRPr="00E60B71" w:rsidRDefault="00C610B7" w:rsidP="00D76528">
            <w:pPr>
              <w:pStyle w:val="TableText0"/>
              <w:keepNext/>
              <w:keepLines/>
              <w:spacing w:before="120" w:after="60"/>
              <w:jc w:val="center"/>
              <w:rPr>
                <w:rFonts w:asciiTheme="minorHAnsi" w:hAnsiTheme="minorHAnsi" w:cs="Calibri"/>
                <w:szCs w:val="24"/>
              </w:rPr>
            </w:pPr>
          </w:p>
        </w:tc>
      </w:tr>
    </w:tbl>
    <w:p w14:paraId="0E3C421A" w14:textId="0922393B" w:rsidR="00C610B7" w:rsidRPr="00E60B71" w:rsidRDefault="00C610B7" w:rsidP="00E1026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eastAsia="en-GB"/>
        </w:rPr>
      </w:pPr>
      <w:r w:rsidRPr="00E60B71">
        <w:rPr>
          <w:rFonts w:asciiTheme="minorHAnsi" w:hAnsiTheme="minorHAnsi" w:cstheme="minorHAnsi"/>
          <w:szCs w:val="24"/>
          <w:lang w:eastAsia="en-GB"/>
        </w:rPr>
        <w:t xml:space="preserve">TSDSI was established as an autonomous body by Indian industry, academia, research entities and the Government of India as a not-for-profit entity, to drive telecom standardization activities in India and project Indian interests in global forums. TSDSI membership includes international companies and academic/ research institutions from numerous countries. TSDSI, has signed partnership agreements with several global SDOs and ICT forums and taken membership in ITU to contribute to international standards development. TSDSI is currently a fee-paying Associate Member of ITU-R and ITU-T. </w:t>
      </w:r>
    </w:p>
    <w:p w14:paraId="4635ED10" w14:textId="338D8541" w:rsidR="00C610B7" w:rsidRDefault="00C610B7" w:rsidP="00E1026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eastAsia="en-GB"/>
        </w:rPr>
      </w:pPr>
      <w:r w:rsidRPr="00E60B71">
        <w:rPr>
          <w:rFonts w:asciiTheme="minorHAnsi" w:hAnsiTheme="minorHAnsi" w:cstheme="minorHAnsi"/>
          <w:color w:val="000000"/>
        </w:rPr>
        <w:t xml:space="preserve">While TSDSI is active internationally, including in ITU, and it has international members, their members are mainly for-profit companies. Furthermore, TSDSI it is established as a national entity rather than as an international-regional organization. </w:t>
      </w:r>
      <w:r w:rsidR="00501EFD" w:rsidRPr="00E60B71">
        <w:rPr>
          <w:rFonts w:asciiTheme="minorHAnsi" w:hAnsiTheme="minorHAnsi" w:cstheme="minorHAnsi"/>
        </w:rPr>
        <w:t>The</w:t>
      </w:r>
      <w:r w:rsidRPr="00E60B71" w:rsidDel="00D54DA8">
        <w:rPr>
          <w:rFonts w:asciiTheme="minorHAnsi" w:hAnsiTheme="minorHAnsi" w:cstheme="minorHAnsi"/>
          <w:lang w:val="en-US"/>
        </w:rPr>
        <w:t xml:space="preserve"> </w:t>
      </w:r>
      <w:r w:rsidR="00B74EF1">
        <w:rPr>
          <w:rFonts w:asciiTheme="minorHAnsi" w:hAnsiTheme="minorHAnsi" w:cstheme="minorHAnsi"/>
          <w:lang w:val="en-US"/>
        </w:rPr>
        <w:t>s</w:t>
      </w:r>
      <w:proofErr w:type="spellStart"/>
      <w:r w:rsidRPr="00E60B71">
        <w:rPr>
          <w:rFonts w:asciiTheme="minorHAnsi" w:hAnsiTheme="minorHAnsi" w:cstheme="minorHAnsi"/>
          <w:color w:val="000000"/>
        </w:rPr>
        <w:t>ecretariat</w:t>
      </w:r>
      <w:proofErr w:type="spellEnd"/>
      <w:r w:rsidRPr="00E60B71">
        <w:rPr>
          <w:rFonts w:asciiTheme="minorHAnsi" w:hAnsiTheme="minorHAnsi" w:cstheme="minorHAnsi"/>
          <w:color w:val="000000"/>
        </w:rPr>
        <w:t xml:space="preserve"> recommends that this application be deferred until the full list </w:t>
      </w:r>
      <w:r w:rsidR="00501EFD" w:rsidRPr="00E60B71">
        <w:rPr>
          <w:rFonts w:asciiTheme="minorHAnsi" w:hAnsiTheme="minorHAnsi" w:cstheme="minorHAnsi"/>
          <w:color w:val="000000"/>
        </w:rPr>
        <w:t xml:space="preserve">of exempted entities </w:t>
      </w:r>
      <w:r w:rsidRPr="00E60B71">
        <w:rPr>
          <w:rFonts w:asciiTheme="minorHAnsi" w:hAnsiTheme="minorHAnsi" w:cstheme="minorHAnsi"/>
          <w:color w:val="000000"/>
        </w:rPr>
        <w:t xml:space="preserve">is reviewed against the criteria revised in 2017 by Council to ensure alignment among organizations of a similar nature. </w:t>
      </w:r>
    </w:p>
    <w:p w14:paraId="5B3960BA" w14:textId="77777777" w:rsidR="00C610B7" w:rsidRPr="009B2B06" w:rsidRDefault="00C610B7" w:rsidP="00D07255">
      <w:pPr>
        <w:spacing w:after="120"/>
        <w:rPr>
          <w:rFonts w:asciiTheme="minorHAnsi" w:hAnsiTheme="minorHAnsi" w:cs="Calibri"/>
          <w:lang w:val="en-US"/>
        </w:rPr>
      </w:pPr>
      <w:r>
        <w:rPr>
          <w:rFonts w:asciiTheme="minorHAnsi" w:hAnsiTheme="minorHAnsi" w:cstheme="minorHAnsi"/>
          <w:bCs/>
          <w:lang w:val="en-US"/>
        </w:rPr>
        <w:lastRenderedPageBreak/>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C610B7" w:rsidRPr="00B34A19" w14:paraId="6D130E38" w14:textId="77777777" w:rsidTr="00695CD5">
        <w:trPr>
          <w:cantSplit/>
          <w:jc w:val="center"/>
        </w:trPr>
        <w:tc>
          <w:tcPr>
            <w:tcW w:w="4331" w:type="dxa"/>
          </w:tcPr>
          <w:p w14:paraId="4340A865" w14:textId="77777777" w:rsidR="00C610B7" w:rsidRPr="00B34A19" w:rsidRDefault="00C610B7" w:rsidP="00695CD5">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Organization</w:t>
            </w:r>
          </w:p>
        </w:tc>
        <w:tc>
          <w:tcPr>
            <w:tcW w:w="1559" w:type="dxa"/>
          </w:tcPr>
          <w:p w14:paraId="228908F4" w14:textId="77777777" w:rsidR="00C610B7" w:rsidRPr="00B34A19" w:rsidRDefault="00C610B7" w:rsidP="00695CD5">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Sector</w:t>
            </w:r>
          </w:p>
        </w:tc>
        <w:tc>
          <w:tcPr>
            <w:tcW w:w="3325" w:type="dxa"/>
          </w:tcPr>
          <w:p w14:paraId="7E293F72" w14:textId="2F88B4B7" w:rsidR="00C610B7" w:rsidRDefault="00C610B7" w:rsidP="00695CD5">
            <w:pPr>
              <w:pStyle w:val="TableHead0"/>
              <w:keepLines/>
              <w:spacing w:before="60" w:after="60"/>
              <w:rPr>
                <w:rFonts w:asciiTheme="minorHAnsi" w:hAnsiTheme="minorHAnsi" w:cstheme="minorHAnsi"/>
                <w:szCs w:val="24"/>
                <w:lang w:val="en-US"/>
              </w:rPr>
            </w:pPr>
            <w:r>
              <w:rPr>
                <w:rFonts w:asciiTheme="minorHAnsi" w:hAnsiTheme="minorHAnsi" w:cstheme="minorHAnsi"/>
                <w:szCs w:val="24"/>
                <w:lang w:val="en-US"/>
              </w:rPr>
              <w:t xml:space="preserve">Recommendation: </w:t>
            </w:r>
          </w:p>
          <w:p w14:paraId="0F73EB35" w14:textId="63F05F1A" w:rsidR="00C610B7" w:rsidRPr="00B34A19" w:rsidRDefault="00C610B7" w:rsidP="00695CD5">
            <w:pPr>
              <w:pStyle w:val="TableHead0"/>
              <w:keepLines/>
              <w:spacing w:before="60" w:after="60"/>
              <w:rPr>
                <w:rFonts w:asciiTheme="minorHAnsi" w:hAnsiTheme="minorHAnsi" w:cstheme="minorHAnsi"/>
                <w:szCs w:val="24"/>
                <w:lang w:val="en-US"/>
              </w:rPr>
            </w:pPr>
          </w:p>
        </w:tc>
      </w:tr>
      <w:tr w:rsidR="00C610B7" w:rsidRPr="00E60B71" w14:paraId="2CBD32CF" w14:textId="77777777" w:rsidTr="00695CD5">
        <w:trPr>
          <w:cantSplit/>
          <w:jc w:val="center"/>
        </w:trPr>
        <w:tc>
          <w:tcPr>
            <w:tcW w:w="4331" w:type="dxa"/>
            <w:vAlign w:val="center"/>
          </w:tcPr>
          <w:p w14:paraId="0F155C81" w14:textId="77777777" w:rsidR="00C610B7" w:rsidRPr="00E60B71" w:rsidRDefault="00C610B7" w:rsidP="00695CD5">
            <w:pPr>
              <w:pStyle w:val="TableText0"/>
              <w:keepNext/>
              <w:keepLines/>
              <w:spacing w:before="120" w:after="60"/>
              <w:rPr>
                <w:rFonts w:asciiTheme="minorHAnsi" w:hAnsiTheme="minorHAnsi" w:cstheme="minorHAnsi"/>
                <w:b/>
                <w:iCs/>
                <w:szCs w:val="24"/>
                <w:lang w:val="es-ES_tradnl"/>
              </w:rPr>
            </w:pPr>
            <w:proofErr w:type="spellStart"/>
            <w:r w:rsidRPr="00E60B71">
              <w:rPr>
                <w:rFonts w:asciiTheme="minorHAnsi" w:hAnsiTheme="minorHAnsi" w:cstheme="minorHAnsi"/>
                <w:b/>
                <w:iCs/>
                <w:szCs w:val="24"/>
                <w:lang w:val="es-ES_tradnl"/>
              </w:rPr>
              <w:t>IoT</w:t>
            </w:r>
            <w:proofErr w:type="spellEnd"/>
            <w:r w:rsidRPr="00E60B71">
              <w:rPr>
                <w:rFonts w:asciiTheme="minorHAnsi" w:hAnsiTheme="minorHAnsi" w:cstheme="minorHAnsi"/>
                <w:b/>
                <w:iCs/>
                <w:szCs w:val="24"/>
                <w:lang w:val="es-ES_tradnl"/>
              </w:rPr>
              <w:t xml:space="preserve"> </w:t>
            </w:r>
            <w:proofErr w:type="spellStart"/>
            <w:r w:rsidRPr="00E60B71">
              <w:rPr>
                <w:rFonts w:asciiTheme="minorHAnsi" w:hAnsiTheme="minorHAnsi" w:cstheme="minorHAnsi"/>
                <w:b/>
                <w:iCs/>
                <w:szCs w:val="24"/>
                <w:lang w:val="es-ES_tradnl"/>
              </w:rPr>
              <w:t>Lab</w:t>
            </w:r>
            <w:proofErr w:type="spellEnd"/>
          </w:p>
        </w:tc>
        <w:tc>
          <w:tcPr>
            <w:tcW w:w="1559" w:type="dxa"/>
            <w:vAlign w:val="center"/>
          </w:tcPr>
          <w:p w14:paraId="418A728A" w14:textId="77777777" w:rsidR="00C610B7" w:rsidRPr="00E60B71" w:rsidRDefault="00C610B7" w:rsidP="00695CD5">
            <w:pPr>
              <w:pStyle w:val="TableText0"/>
              <w:keepNext/>
              <w:keepLines/>
              <w:spacing w:before="0" w:after="60"/>
              <w:jc w:val="center"/>
              <w:rPr>
                <w:rFonts w:asciiTheme="minorHAnsi" w:hAnsiTheme="minorHAnsi" w:cstheme="minorHAnsi"/>
                <w:szCs w:val="24"/>
                <w:lang w:val="fr-CH"/>
              </w:rPr>
            </w:pPr>
            <w:r w:rsidRPr="00E60B71">
              <w:rPr>
                <w:rFonts w:asciiTheme="minorHAnsi" w:hAnsiTheme="minorHAnsi" w:cstheme="minorHAnsi"/>
                <w:szCs w:val="24"/>
                <w:lang w:val="fr-CH"/>
              </w:rPr>
              <w:br/>
              <w:t>ITU-T</w:t>
            </w:r>
            <w:r w:rsidRPr="00E60B71">
              <w:rPr>
                <w:rFonts w:asciiTheme="minorHAnsi" w:hAnsiTheme="minorHAnsi" w:cstheme="minorHAnsi"/>
                <w:szCs w:val="24"/>
                <w:lang w:val="fr-CH"/>
              </w:rPr>
              <w:br/>
            </w:r>
          </w:p>
        </w:tc>
        <w:tc>
          <w:tcPr>
            <w:tcW w:w="3325" w:type="dxa"/>
            <w:vAlign w:val="center"/>
          </w:tcPr>
          <w:p w14:paraId="24965EED" w14:textId="77777777" w:rsidR="00D76528" w:rsidRPr="00E60B71" w:rsidRDefault="00C610B7" w:rsidP="00D76528">
            <w:pPr>
              <w:pStyle w:val="TableText0"/>
              <w:keepNext/>
              <w:keepLines/>
              <w:spacing w:before="120" w:after="60"/>
              <w:jc w:val="center"/>
              <w:rPr>
                <w:rFonts w:asciiTheme="minorHAnsi" w:hAnsiTheme="minorHAnsi" w:cs="Calibri"/>
                <w:szCs w:val="24"/>
              </w:rPr>
            </w:pPr>
            <w:r w:rsidRPr="00E60B71">
              <w:rPr>
                <w:rFonts w:asciiTheme="minorHAnsi" w:hAnsiTheme="minorHAnsi" w:cstheme="minorHAnsi"/>
                <w:color w:val="000000" w:themeColor="text1"/>
                <w:szCs w:val="24"/>
                <w:lang w:val="en-US"/>
              </w:rPr>
              <w:br/>
            </w:r>
            <w:r w:rsidR="00D76528" w:rsidRPr="00E60B71">
              <w:rPr>
                <w:rFonts w:asciiTheme="minorHAnsi" w:hAnsiTheme="minorHAnsi" w:cs="Calibri"/>
                <w:szCs w:val="24"/>
              </w:rPr>
              <w:t>Defer to next session of Council as part of review of full list</w:t>
            </w:r>
          </w:p>
          <w:p w14:paraId="77590261" w14:textId="37C46764" w:rsidR="00C610B7" w:rsidRPr="00E60B71" w:rsidRDefault="00C610B7" w:rsidP="00695CD5">
            <w:pPr>
              <w:pStyle w:val="TableText0"/>
              <w:keepNext/>
              <w:keepLines/>
              <w:spacing w:before="0" w:after="60"/>
              <w:jc w:val="center"/>
              <w:rPr>
                <w:rFonts w:asciiTheme="minorHAnsi" w:hAnsiTheme="minorHAnsi" w:cstheme="minorHAnsi"/>
                <w:color w:val="000000" w:themeColor="text1"/>
                <w:szCs w:val="24"/>
                <w:lang w:val="en-US"/>
              </w:rPr>
            </w:pPr>
            <w:r w:rsidRPr="00E60B71">
              <w:rPr>
                <w:rFonts w:asciiTheme="minorHAnsi" w:hAnsiTheme="minorHAnsi" w:cstheme="minorHAnsi"/>
                <w:color w:val="000000" w:themeColor="text1"/>
                <w:szCs w:val="24"/>
                <w:lang w:val="en-US"/>
              </w:rPr>
              <w:br/>
            </w:r>
          </w:p>
        </w:tc>
      </w:tr>
    </w:tbl>
    <w:p w14:paraId="7152F481" w14:textId="529D869E" w:rsidR="00C610B7" w:rsidRDefault="005968CF" w:rsidP="00E1026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000000"/>
        </w:rPr>
      </w:pPr>
      <w:r>
        <w:rPr>
          <w:rFonts w:asciiTheme="minorHAnsi" w:hAnsiTheme="minorHAnsi" w:cstheme="minorHAnsi"/>
          <w:lang w:val="en-US"/>
        </w:rPr>
        <w:t xml:space="preserve">Located in Switzerland, </w:t>
      </w:r>
      <w:r w:rsidR="00C610B7" w:rsidRPr="00E60B71">
        <w:rPr>
          <w:rFonts w:asciiTheme="minorHAnsi" w:hAnsiTheme="minorHAnsi" w:cstheme="minorHAnsi"/>
          <w:lang w:val="en-US"/>
        </w:rPr>
        <w:t>IoT Lab is an international platform of services and resources for the Internet of Things (IoT), bringing together: Io</w:t>
      </w:r>
      <w:r w:rsidR="00E342B3">
        <w:rPr>
          <w:rFonts w:asciiTheme="minorHAnsi" w:hAnsiTheme="minorHAnsi" w:cstheme="minorHAnsi"/>
          <w:lang w:val="en-US"/>
        </w:rPr>
        <w:t>T</w:t>
      </w:r>
      <w:r w:rsidR="00C610B7" w:rsidRPr="00E60B71">
        <w:rPr>
          <w:rFonts w:asciiTheme="minorHAnsi" w:hAnsiTheme="minorHAnsi" w:cstheme="minorHAnsi"/>
          <w:lang w:val="en-US"/>
        </w:rPr>
        <w:t xml:space="preserve"> Services, Privacy &amp; Security, </w:t>
      </w:r>
      <w:proofErr w:type="spellStart"/>
      <w:r w:rsidR="00C610B7" w:rsidRPr="00E60B71">
        <w:rPr>
          <w:rFonts w:asciiTheme="minorHAnsi" w:hAnsiTheme="minorHAnsi" w:cstheme="minorHAnsi"/>
          <w:lang w:val="en-US"/>
        </w:rPr>
        <w:t>Testlab</w:t>
      </w:r>
      <w:proofErr w:type="spellEnd"/>
      <w:r w:rsidR="00C610B7" w:rsidRPr="00E60B71">
        <w:rPr>
          <w:rFonts w:asciiTheme="minorHAnsi" w:hAnsiTheme="minorHAnsi" w:cstheme="minorHAnsi"/>
          <w:lang w:val="en-US"/>
        </w:rPr>
        <w:t xml:space="preserve">, Tech Transfer, </w:t>
      </w:r>
      <w:proofErr w:type="gramStart"/>
      <w:r w:rsidR="00C610B7" w:rsidRPr="00E60B71">
        <w:rPr>
          <w:rFonts w:asciiTheme="minorHAnsi" w:hAnsiTheme="minorHAnsi" w:cstheme="minorHAnsi"/>
          <w:lang w:val="en-US"/>
        </w:rPr>
        <w:t>SDGs</w:t>
      </w:r>
      <w:proofErr w:type="gramEnd"/>
      <w:r w:rsidR="00C610B7" w:rsidRPr="00E60B71">
        <w:rPr>
          <w:rFonts w:asciiTheme="minorHAnsi" w:hAnsiTheme="minorHAnsi" w:cstheme="minorHAnsi"/>
          <w:lang w:val="en-US"/>
        </w:rPr>
        <w:t xml:space="preserve"> and Network &amp; Community. This request was deferred by Council 2021, pending further consultation and study. Given its mixed membership of industry and academia, t</w:t>
      </w:r>
      <w:r w:rsidR="00C610B7" w:rsidRPr="00E60B71">
        <w:rPr>
          <w:rFonts w:asciiTheme="minorHAnsi" w:hAnsiTheme="minorHAnsi" w:cstheme="minorHAnsi"/>
        </w:rPr>
        <w:t>he</w:t>
      </w:r>
      <w:r w:rsidR="00C610B7" w:rsidRPr="00E60B71" w:rsidDel="00D54DA8">
        <w:rPr>
          <w:rFonts w:asciiTheme="minorHAnsi" w:hAnsiTheme="minorHAnsi" w:cstheme="minorHAnsi"/>
          <w:lang w:val="en-US"/>
        </w:rPr>
        <w:t xml:space="preserve"> </w:t>
      </w:r>
      <w:r w:rsidR="00B74EF1">
        <w:rPr>
          <w:rFonts w:asciiTheme="minorHAnsi" w:hAnsiTheme="minorHAnsi" w:cstheme="minorHAnsi"/>
          <w:lang w:val="en-US"/>
        </w:rPr>
        <w:t>s</w:t>
      </w:r>
      <w:proofErr w:type="spellStart"/>
      <w:r w:rsidR="00C610B7" w:rsidRPr="00E60B71">
        <w:rPr>
          <w:rFonts w:asciiTheme="minorHAnsi" w:hAnsiTheme="minorHAnsi" w:cstheme="minorHAnsi"/>
          <w:color w:val="000000"/>
        </w:rPr>
        <w:t>ecretariat</w:t>
      </w:r>
      <w:proofErr w:type="spellEnd"/>
      <w:r w:rsidR="00C610B7" w:rsidRPr="00E60B71">
        <w:rPr>
          <w:rFonts w:asciiTheme="minorHAnsi" w:hAnsiTheme="minorHAnsi" w:cstheme="minorHAnsi"/>
          <w:color w:val="000000"/>
        </w:rPr>
        <w:t xml:space="preserve"> recommends that this application be deferred until the full list </w:t>
      </w:r>
      <w:r w:rsidR="00501EFD" w:rsidRPr="00E60B71">
        <w:rPr>
          <w:rFonts w:asciiTheme="minorHAnsi" w:hAnsiTheme="minorHAnsi" w:cstheme="minorHAnsi"/>
          <w:color w:val="000000"/>
        </w:rPr>
        <w:t xml:space="preserve">of exempted entities </w:t>
      </w:r>
      <w:r w:rsidR="00C610B7" w:rsidRPr="00E60B71">
        <w:rPr>
          <w:rFonts w:asciiTheme="minorHAnsi" w:hAnsiTheme="minorHAnsi" w:cstheme="minorHAnsi"/>
          <w:color w:val="000000"/>
        </w:rPr>
        <w:t>is reviewed against the criteria revised in 2017 by Council to ensure alignment among organizations of a similar nature.</w:t>
      </w:r>
    </w:p>
    <w:p w14:paraId="52093C70" w14:textId="77777777" w:rsidR="00D07255" w:rsidRDefault="00D07255" w:rsidP="00D07255">
      <w:pPr>
        <w:spacing w:before="840"/>
        <w:jc w:val="center"/>
      </w:pPr>
      <w:r>
        <w:t>______________</w:t>
      </w:r>
    </w:p>
    <w:sectPr w:rsidR="00D07255">
      <w:headerReference w:type="default" r:id="rId18"/>
      <w:footerReference w:type="first" r:id="rId19"/>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3470" w14:textId="77777777" w:rsidR="00F66C89" w:rsidRDefault="00F66C89">
      <w:r>
        <w:separator/>
      </w:r>
    </w:p>
  </w:endnote>
  <w:endnote w:type="continuationSeparator" w:id="0">
    <w:p w14:paraId="0EB42CB2" w14:textId="77777777" w:rsidR="00F66C89" w:rsidRDefault="00F6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F4D0" w14:textId="77777777" w:rsidR="00783A37" w:rsidRPr="00D5584B" w:rsidRDefault="00783A37" w:rsidP="00783A3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F196" w14:textId="77777777" w:rsidR="00F66C89" w:rsidRDefault="00F66C89">
      <w:r>
        <w:t>____________________</w:t>
      </w:r>
    </w:p>
  </w:footnote>
  <w:footnote w:type="continuationSeparator" w:id="0">
    <w:p w14:paraId="72AFD984" w14:textId="77777777" w:rsidR="00F66C89" w:rsidRDefault="00F6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A63" w14:textId="77777777" w:rsidR="00B8533B" w:rsidRPr="00B8533B" w:rsidRDefault="00B8533B" w:rsidP="00B8533B">
    <w:pPr>
      <w:tabs>
        <w:tab w:val="clear" w:pos="567"/>
        <w:tab w:val="clear" w:pos="1134"/>
        <w:tab w:val="clear" w:pos="1701"/>
        <w:tab w:val="clear" w:pos="2268"/>
        <w:tab w:val="clear" w:pos="2835"/>
      </w:tabs>
      <w:spacing w:before="0"/>
      <w:jc w:val="center"/>
      <w:rPr>
        <w:rFonts w:eastAsia="Times New Roman"/>
        <w:sz w:val="18"/>
      </w:rPr>
    </w:pPr>
    <w:r w:rsidRPr="00B8533B">
      <w:rPr>
        <w:rFonts w:eastAsia="Times New Roman"/>
        <w:sz w:val="18"/>
      </w:rPr>
      <w:fldChar w:fldCharType="begin"/>
    </w:r>
    <w:r w:rsidRPr="00B8533B">
      <w:rPr>
        <w:rFonts w:eastAsia="Times New Roman"/>
        <w:sz w:val="18"/>
      </w:rPr>
      <w:instrText>PAGE</w:instrText>
    </w:r>
    <w:r w:rsidRPr="00B8533B">
      <w:rPr>
        <w:rFonts w:eastAsia="Times New Roman"/>
        <w:sz w:val="18"/>
      </w:rPr>
      <w:fldChar w:fldCharType="separate"/>
    </w:r>
    <w:r w:rsidRPr="00B8533B">
      <w:rPr>
        <w:rFonts w:eastAsia="Times New Roman"/>
        <w:sz w:val="18"/>
      </w:rPr>
      <w:t>2</w:t>
    </w:r>
    <w:r w:rsidRPr="00B8533B">
      <w:rPr>
        <w:rFonts w:eastAsia="Times New Roman"/>
        <w:noProof/>
        <w:sz w:val="18"/>
      </w:rPr>
      <w:fldChar w:fldCharType="end"/>
    </w:r>
  </w:p>
  <w:p w14:paraId="76598097" w14:textId="3F54DA9E" w:rsidR="00B8533B" w:rsidRPr="00B8533B" w:rsidRDefault="00B8533B" w:rsidP="00B8533B">
    <w:pPr>
      <w:tabs>
        <w:tab w:val="clear" w:pos="567"/>
        <w:tab w:val="clear" w:pos="1134"/>
        <w:tab w:val="clear" w:pos="1701"/>
        <w:tab w:val="clear" w:pos="2268"/>
        <w:tab w:val="clear" w:pos="2835"/>
      </w:tabs>
      <w:spacing w:before="0"/>
      <w:jc w:val="center"/>
      <w:rPr>
        <w:rFonts w:eastAsia="Times New Roman"/>
        <w:sz w:val="18"/>
      </w:rPr>
    </w:pPr>
    <w:r w:rsidRPr="00B8533B">
      <w:rPr>
        <w:rFonts w:eastAsia="Times New Roman"/>
        <w:sz w:val="18"/>
      </w:rPr>
      <w:t>C22/</w:t>
    </w:r>
    <w:r>
      <w:rPr>
        <w:rFonts w:asciiTheme="minorEastAsia" w:eastAsiaTheme="minorEastAsia" w:hAnsiTheme="minorEastAsia" w:hint="eastAsia"/>
        <w:sz w:val="18"/>
        <w:lang w:eastAsia="zh-CN"/>
      </w:rPr>
      <w:t>39</w:t>
    </w:r>
    <w:r w:rsidRPr="00B8533B">
      <w:rPr>
        <w:rFonts w:eastAsia="Times New Roman"/>
        <w:sz w:val="18"/>
      </w:rPr>
      <w:t>-E</w:t>
    </w:r>
  </w:p>
  <w:p w14:paraId="32B9751A" w14:textId="565FB700" w:rsidR="000507C1" w:rsidRPr="00B8533B" w:rsidRDefault="000507C1" w:rsidP="00B85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89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C1106B"/>
    <w:multiLevelType w:val="multilevel"/>
    <w:tmpl w:val="3AF6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A3B44"/>
    <w:multiLevelType w:val="multilevel"/>
    <w:tmpl w:val="E21C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6"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4"/>
  </w:num>
  <w:num w:numId="16">
    <w:abstractNumId w:val="18"/>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41924"/>
    <w:rsid w:val="00041F73"/>
    <w:rsid w:val="00044B0A"/>
    <w:rsid w:val="000507C1"/>
    <w:rsid w:val="00053B97"/>
    <w:rsid w:val="00061793"/>
    <w:rsid w:val="00082CEC"/>
    <w:rsid w:val="00082D70"/>
    <w:rsid w:val="00082EB9"/>
    <w:rsid w:val="0008540E"/>
    <w:rsid w:val="00094B4F"/>
    <w:rsid w:val="000A1015"/>
    <w:rsid w:val="000A24D6"/>
    <w:rsid w:val="000B03F9"/>
    <w:rsid w:val="000B0A77"/>
    <w:rsid w:val="000B0D6C"/>
    <w:rsid w:val="000B5BB9"/>
    <w:rsid w:val="000B7152"/>
    <w:rsid w:val="000C24E0"/>
    <w:rsid w:val="000C4701"/>
    <w:rsid w:val="000D01F4"/>
    <w:rsid w:val="000D5A99"/>
    <w:rsid w:val="000E4C7A"/>
    <w:rsid w:val="000E5E15"/>
    <w:rsid w:val="000E5EFF"/>
    <w:rsid w:val="000F5A9A"/>
    <w:rsid w:val="000F73D1"/>
    <w:rsid w:val="001001C5"/>
    <w:rsid w:val="001003E8"/>
    <w:rsid w:val="00105EFE"/>
    <w:rsid w:val="00106777"/>
    <w:rsid w:val="00114242"/>
    <w:rsid w:val="0011489E"/>
    <w:rsid w:val="00114BA3"/>
    <w:rsid w:val="00115DEC"/>
    <w:rsid w:val="00116397"/>
    <w:rsid w:val="00116E7B"/>
    <w:rsid w:val="00122B9F"/>
    <w:rsid w:val="001232AA"/>
    <w:rsid w:val="00123F09"/>
    <w:rsid w:val="00136175"/>
    <w:rsid w:val="00140593"/>
    <w:rsid w:val="00140FF0"/>
    <w:rsid w:val="00142F28"/>
    <w:rsid w:val="00146057"/>
    <w:rsid w:val="0016633C"/>
    <w:rsid w:val="00166FA9"/>
    <w:rsid w:val="00171990"/>
    <w:rsid w:val="00180820"/>
    <w:rsid w:val="00186CF4"/>
    <w:rsid w:val="00187295"/>
    <w:rsid w:val="00195B70"/>
    <w:rsid w:val="001A0EEB"/>
    <w:rsid w:val="001A16ED"/>
    <w:rsid w:val="001A4D61"/>
    <w:rsid w:val="001B18AB"/>
    <w:rsid w:val="001B70D1"/>
    <w:rsid w:val="001C1B21"/>
    <w:rsid w:val="001C3804"/>
    <w:rsid w:val="001D3322"/>
    <w:rsid w:val="001E01A5"/>
    <w:rsid w:val="001E18AB"/>
    <w:rsid w:val="001E1C8F"/>
    <w:rsid w:val="001F36A0"/>
    <w:rsid w:val="001F3A7E"/>
    <w:rsid w:val="002115E0"/>
    <w:rsid w:val="00215F12"/>
    <w:rsid w:val="00223226"/>
    <w:rsid w:val="00232B31"/>
    <w:rsid w:val="00235A3B"/>
    <w:rsid w:val="00243BE4"/>
    <w:rsid w:val="00257188"/>
    <w:rsid w:val="002578B4"/>
    <w:rsid w:val="00262EB7"/>
    <w:rsid w:val="00267D12"/>
    <w:rsid w:val="0027143B"/>
    <w:rsid w:val="002721B1"/>
    <w:rsid w:val="00275B4A"/>
    <w:rsid w:val="00281792"/>
    <w:rsid w:val="0028799E"/>
    <w:rsid w:val="002952F8"/>
    <w:rsid w:val="002962A8"/>
    <w:rsid w:val="002A3459"/>
    <w:rsid w:val="002A56C0"/>
    <w:rsid w:val="002D313D"/>
    <w:rsid w:val="002D60DB"/>
    <w:rsid w:val="002E77F4"/>
    <w:rsid w:val="002F36B9"/>
    <w:rsid w:val="002F5FA2"/>
    <w:rsid w:val="00304035"/>
    <w:rsid w:val="00310265"/>
    <w:rsid w:val="003126B0"/>
    <w:rsid w:val="00314127"/>
    <w:rsid w:val="00314C12"/>
    <w:rsid w:val="003261C3"/>
    <w:rsid w:val="0033114D"/>
    <w:rsid w:val="00335103"/>
    <w:rsid w:val="003453DA"/>
    <w:rsid w:val="003458C1"/>
    <w:rsid w:val="0035280B"/>
    <w:rsid w:val="00357754"/>
    <w:rsid w:val="003578E4"/>
    <w:rsid w:val="00361097"/>
    <w:rsid w:val="003671F1"/>
    <w:rsid w:val="00373A0D"/>
    <w:rsid w:val="003740BC"/>
    <w:rsid w:val="00375076"/>
    <w:rsid w:val="00375BBA"/>
    <w:rsid w:val="003826EA"/>
    <w:rsid w:val="003901CC"/>
    <w:rsid w:val="003934FC"/>
    <w:rsid w:val="00395CE4"/>
    <w:rsid w:val="00397BE3"/>
    <w:rsid w:val="003A32AD"/>
    <w:rsid w:val="003A3763"/>
    <w:rsid w:val="003A3938"/>
    <w:rsid w:val="003A4E67"/>
    <w:rsid w:val="003A5FFB"/>
    <w:rsid w:val="003A7FB6"/>
    <w:rsid w:val="003B3751"/>
    <w:rsid w:val="003B73B9"/>
    <w:rsid w:val="003C34E3"/>
    <w:rsid w:val="003C66F6"/>
    <w:rsid w:val="003E26BD"/>
    <w:rsid w:val="003F0763"/>
    <w:rsid w:val="003F2FCF"/>
    <w:rsid w:val="003F5771"/>
    <w:rsid w:val="004014B0"/>
    <w:rsid w:val="004059B0"/>
    <w:rsid w:val="00414F43"/>
    <w:rsid w:val="0042407C"/>
    <w:rsid w:val="00425EAE"/>
    <w:rsid w:val="00426AC1"/>
    <w:rsid w:val="004321DC"/>
    <w:rsid w:val="00435AA4"/>
    <w:rsid w:val="00435EA8"/>
    <w:rsid w:val="004360BB"/>
    <w:rsid w:val="00445570"/>
    <w:rsid w:val="0045533C"/>
    <w:rsid w:val="004606DA"/>
    <w:rsid w:val="00463092"/>
    <w:rsid w:val="00463444"/>
    <w:rsid w:val="004676C0"/>
    <w:rsid w:val="00474E00"/>
    <w:rsid w:val="004835DB"/>
    <w:rsid w:val="00491D2D"/>
    <w:rsid w:val="00494797"/>
    <w:rsid w:val="004A0C47"/>
    <w:rsid w:val="004A2726"/>
    <w:rsid w:val="004A2976"/>
    <w:rsid w:val="004B0C10"/>
    <w:rsid w:val="004C19D7"/>
    <w:rsid w:val="004C297B"/>
    <w:rsid w:val="004C73C9"/>
    <w:rsid w:val="004D74E2"/>
    <w:rsid w:val="004E01FA"/>
    <w:rsid w:val="004E6764"/>
    <w:rsid w:val="004F041D"/>
    <w:rsid w:val="004F1C55"/>
    <w:rsid w:val="004F2680"/>
    <w:rsid w:val="004F7925"/>
    <w:rsid w:val="004F7931"/>
    <w:rsid w:val="00501EFD"/>
    <w:rsid w:val="00504FE5"/>
    <w:rsid w:val="00507348"/>
    <w:rsid w:val="00522C97"/>
    <w:rsid w:val="005356FD"/>
    <w:rsid w:val="00537EB5"/>
    <w:rsid w:val="00547D75"/>
    <w:rsid w:val="00550F0A"/>
    <w:rsid w:val="00551C8B"/>
    <w:rsid w:val="00554E24"/>
    <w:rsid w:val="00555A0F"/>
    <w:rsid w:val="00556016"/>
    <w:rsid w:val="00567130"/>
    <w:rsid w:val="0057034B"/>
    <w:rsid w:val="00572452"/>
    <w:rsid w:val="00581C67"/>
    <w:rsid w:val="00581E8F"/>
    <w:rsid w:val="0058380F"/>
    <w:rsid w:val="00586A98"/>
    <w:rsid w:val="005927A4"/>
    <w:rsid w:val="005968CF"/>
    <w:rsid w:val="00596B48"/>
    <w:rsid w:val="005A5C8A"/>
    <w:rsid w:val="005B10E8"/>
    <w:rsid w:val="005B5026"/>
    <w:rsid w:val="005B661F"/>
    <w:rsid w:val="005C3315"/>
    <w:rsid w:val="005C717E"/>
    <w:rsid w:val="005D1E60"/>
    <w:rsid w:val="005D42FD"/>
    <w:rsid w:val="005D6425"/>
    <w:rsid w:val="005E1CC3"/>
    <w:rsid w:val="005F05C8"/>
    <w:rsid w:val="00604079"/>
    <w:rsid w:val="00617BE4"/>
    <w:rsid w:val="00620233"/>
    <w:rsid w:val="00625494"/>
    <w:rsid w:val="006404B0"/>
    <w:rsid w:val="00641A8D"/>
    <w:rsid w:val="0066499C"/>
    <w:rsid w:val="006747FC"/>
    <w:rsid w:val="00676E68"/>
    <w:rsid w:val="00687E4C"/>
    <w:rsid w:val="00693901"/>
    <w:rsid w:val="00696126"/>
    <w:rsid w:val="006A26DC"/>
    <w:rsid w:val="006A7108"/>
    <w:rsid w:val="006B1081"/>
    <w:rsid w:val="006B2035"/>
    <w:rsid w:val="006B40DA"/>
    <w:rsid w:val="006B56E5"/>
    <w:rsid w:val="006C28FB"/>
    <w:rsid w:val="006C5D5D"/>
    <w:rsid w:val="006D3AEF"/>
    <w:rsid w:val="006E215D"/>
    <w:rsid w:val="006E57C8"/>
    <w:rsid w:val="006E70E1"/>
    <w:rsid w:val="006F35A5"/>
    <w:rsid w:val="006F565E"/>
    <w:rsid w:val="006F6880"/>
    <w:rsid w:val="00701ABB"/>
    <w:rsid w:val="00711035"/>
    <w:rsid w:val="007130ED"/>
    <w:rsid w:val="007140CF"/>
    <w:rsid w:val="0071582A"/>
    <w:rsid w:val="00722595"/>
    <w:rsid w:val="00732970"/>
    <w:rsid w:val="00732F7D"/>
    <w:rsid w:val="0073319E"/>
    <w:rsid w:val="00733C8A"/>
    <w:rsid w:val="00737F2E"/>
    <w:rsid w:val="00745A37"/>
    <w:rsid w:val="007471F7"/>
    <w:rsid w:val="00750829"/>
    <w:rsid w:val="007538C9"/>
    <w:rsid w:val="00753F63"/>
    <w:rsid w:val="007542C4"/>
    <w:rsid w:val="00754C0B"/>
    <w:rsid w:val="00755067"/>
    <w:rsid w:val="007561B6"/>
    <w:rsid w:val="007648ED"/>
    <w:rsid w:val="007649DA"/>
    <w:rsid w:val="00765553"/>
    <w:rsid w:val="00777B8B"/>
    <w:rsid w:val="00783A37"/>
    <w:rsid w:val="00794795"/>
    <w:rsid w:val="007949EA"/>
    <w:rsid w:val="00796849"/>
    <w:rsid w:val="00796DAE"/>
    <w:rsid w:val="007A59C3"/>
    <w:rsid w:val="007A6314"/>
    <w:rsid w:val="007B0E06"/>
    <w:rsid w:val="007B30FC"/>
    <w:rsid w:val="007C3643"/>
    <w:rsid w:val="007C43E5"/>
    <w:rsid w:val="007C45A3"/>
    <w:rsid w:val="007D03DC"/>
    <w:rsid w:val="007E00D2"/>
    <w:rsid w:val="007E2AD4"/>
    <w:rsid w:val="007E3469"/>
    <w:rsid w:val="007E5D9A"/>
    <w:rsid w:val="007E7B63"/>
    <w:rsid w:val="00805996"/>
    <w:rsid w:val="00810AD6"/>
    <w:rsid w:val="00812B8E"/>
    <w:rsid w:val="0082088B"/>
    <w:rsid w:val="0082780C"/>
    <w:rsid w:val="008333C7"/>
    <w:rsid w:val="00833E0F"/>
    <w:rsid w:val="008404FD"/>
    <w:rsid w:val="00841AB4"/>
    <w:rsid w:val="00845977"/>
    <w:rsid w:val="0084659D"/>
    <w:rsid w:val="00846DBA"/>
    <w:rsid w:val="00850AEF"/>
    <w:rsid w:val="00855DAB"/>
    <w:rsid w:val="00860C6A"/>
    <w:rsid w:val="00862891"/>
    <w:rsid w:val="00867B51"/>
    <w:rsid w:val="00875048"/>
    <w:rsid w:val="008755D5"/>
    <w:rsid w:val="00875BE1"/>
    <w:rsid w:val="0087651C"/>
    <w:rsid w:val="00877715"/>
    <w:rsid w:val="008864E5"/>
    <w:rsid w:val="00895CE3"/>
    <w:rsid w:val="0089603F"/>
    <w:rsid w:val="00897970"/>
    <w:rsid w:val="008A2D65"/>
    <w:rsid w:val="008B5A71"/>
    <w:rsid w:val="008B5E3C"/>
    <w:rsid w:val="008C6BFE"/>
    <w:rsid w:val="008D09FE"/>
    <w:rsid w:val="008D3BE2"/>
    <w:rsid w:val="008D4D98"/>
    <w:rsid w:val="008D5B25"/>
    <w:rsid w:val="008E2A7B"/>
    <w:rsid w:val="008E6E9B"/>
    <w:rsid w:val="008F2C56"/>
    <w:rsid w:val="008F3C99"/>
    <w:rsid w:val="00900D5B"/>
    <w:rsid w:val="009236FE"/>
    <w:rsid w:val="00923AC5"/>
    <w:rsid w:val="00940E00"/>
    <w:rsid w:val="00944291"/>
    <w:rsid w:val="00945D4B"/>
    <w:rsid w:val="00950E0F"/>
    <w:rsid w:val="00953276"/>
    <w:rsid w:val="00954FC6"/>
    <w:rsid w:val="0096150D"/>
    <w:rsid w:val="0096201F"/>
    <w:rsid w:val="009630FA"/>
    <w:rsid w:val="009642AC"/>
    <w:rsid w:val="00967103"/>
    <w:rsid w:val="009672C8"/>
    <w:rsid w:val="00967670"/>
    <w:rsid w:val="00970996"/>
    <w:rsid w:val="009800CC"/>
    <w:rsid w:val="00996897"/>
    <w:rsid w:val="0099722A"/>
    <w:rsid w:val="009A078E"/>
    <w:rsid w:val="009A2B30"/>
    <w:rsid w:val="009A4211"/>
    <w:rsid w:val="009A47A2"/>
    <w:rsid w:val="009D0C74"/>
    <w:rsid w:val="009E425E"/>
    <w:rsid w:val="009E4322"/>
    <w:rsid w:val="009F4384"/>
    <w:rsid w:val="009F442D"/>
    <w:rsid w:val="009F50DA"/>
    <w:rsid w:val="009F6BA8"/>
    <w:rsid w:val="00A06D56"/>
    <w:rsid w:val="00A10CD6"/>
    <w:rsid w:val="00A314A2"/>
    <w:rsid w:val="00A350DB"/>
    <w:rsid w:val="00A35695"/>
    <w:rsid w:val="00A4038B"/>
    <w:rsid w:val="00A516BB"/>
    <w:rsid w:val="00A619C5"/>
    <w:rsid w:val="00A808E1"/>
    <w:rsid w:val="00A824A6"/>
    <w:rsid w:val="00A8262F"/>
    <w:rsid w:val="00A84B32"/>
    <w:rsid w:val="00A84B3A"/>
    <w:rsid w:val="00A85B96"/>
    <w:rsid w:val="00A93B71"/>
    <w:rsid w:val="00AB03AA"/>
    <w:rsid w:val="00AB0B32"/>
    <w:rsid w:val="00AB2D04"/>
    <w:rsid w:val="00AB3586"/>
    <w:rsid w:val="00AB3D51"/>
    <w:rsid w:val="00AB5C39"/>
    <w:rsid w:val="00AB75A9"/>
    <w:rsid w:val="00AD1C5C"/>
    <w:rsid w:val="00AD566F"/>
    <w:rsid w:val="00AD66C2"/>
    <w:rsid w:val="00AF1650"/>
    <w:rsid w:val="00B03408"/>
    <w:rsid w:val="00B156F9"/>
    <w:rsid w:val="00B1733E"/>
    <w:rsid w:val="00B25A86"/>
    <w:rsid w:val="00B304B9"/>
    <w:rsid w:val="00B308C9"/>
    <w:rsid w:val="00B437EF"/>
    <w:rsid w:val="00B45C34"/>
    <w:rsid w:val="00B555FD"/>
    <w:rsid w:val="00B55E1A"/>
    <w:rsid w:val="00B57988"/>
    <w:rsid w:val="00B57B84"/>
    <w:rsid w:val="00B61E4E"/>
    <w:rsid w:val="00B62032"/>
    <w:rsid w:val="00B65F8C"/>
    <w:rsid w:val="00B7263B"/>
    <w:rsid w:val="00B73CF8"/>
    <w:rsid w:val="00B73F47"/>
    <w:rsid w:val="00B7407F"/>
    <w:rsid w:val="00B741A0"/>
    <w:rsid w:val="00B74EF1"/>
    <w:rsid w:val="00B7638A"/>
    <w:rsid w:val="00B80DF9"/>
    <w:rsid w:val="00B840D8"/>
    <w:rsid w:val="00B8533B"/>
    <w:rsid w:val="00B96467"/>
    <w:rsid w:val="00BA154E"/>
    <w:rsid w:val="00BA37CE"/>
    <w:rsid w:val="00BA4692"/>
    <w:rsid w:val="00BA7C11"/>
    <w:rsid w:val="00BB378B"/>
    <w:rsid w:val="00BC6FDB"/>
    <w:rsid w:val="00BC7DE8"/>
    <w:rsid w:val="00BD3FD5"/>
    <w:rsid w:val="00BD4293"/>
    <w:rsid w:val="00BE0966"/>
    <w:rsid w:val="00BF43BA"/>
    <w:rsid w:val="00BF5722"/>
    <w:rsid w:val="00BF6268"/>
    <w:rsid w:val="00BF720B"/>
    <w:rsid w:val="00C00E1F"/>
    <w:rsid w:val="00C04511"/>
    <w:rsid w:val="00C112A3"/>
    <w:rsid w:val="00C16846"/>
    <w:rsid w:val="00C316DB"/>
    <w:rsid w:val="00C3241E"/>
    <w:rsid w:val="00C34851"/>
    <w:rsid w:val="00C41CD7"/>
    <w:rsid w:val="00C42A5B"/>
    <w:rsid w:val="00C56038"/>
    <w:rsid w:val="00C60500"/>
    <w:rsid w:val="00C610B7"/>
    <w:rsid w:val="00C6729F"/>
    <w:rsid w:val="00C72664"/>
    <w:rsid w:val="00C82794"/>
    <w:rsid w:val="00C841A1"/>
    <w:rsid w:val="00C86CB6"/>
    <w:rsid w:val="00C86F24"/>
    <w:rsid w:val="00C86FDE"/>
    <w:rsid w:val="00C9272C"/>
    <w:rsid w:val="00C97AD1"/>
    <w:rsid w:val="00CA38C9"/>
    <w:rsid w:val="00CB4984"/>
    <w:rsid w:val="00CB5DD7"/>
    <w:rsid w:val="00CB7795"/>
    <w:rsid w:val="00CB77D5"/>
    <w:rsid w:val="00CC14F0"/>
    <w:rsid w:val="00CC1773"/>
    <w:rsid w:val="00CD3BE0"/>
    <w:rsid w:val="00CE06C7"/>
    <w:rsid w:val="00CE083D"/>
    <w:rsid w:val="00CE1B90"/>
    <w:rsid w:val="00CE3B0F"/>
    <w:rsid w:val="00CE40BB"/>
    <w:rsid w:val="00CF1C71"/>
    <w:rsid w:val="00CF510F"/>
    <w:rsid w:val="00D002E2"/>
    <w:rsid w:val="00D02B3E"/>
    <w:rsid w:val="00D07255"/>
    <w:rsid w:val="00D07696"/>
    <w:rsid w:val="00D07E24"/>
    <w:rsid w:val="00D11956"/>
    <w:rsid w:val="00D15A98"/>
    <w:rsid w:val="00D35931"/>
    <w:rsid w:val="00D4324A"/>
    <w:rsid w:val="00D440D8"/>
    <w:rsid w:val="00D500DC"/>
    <w:rsid w:val="00D54B39"/>
    <w:rsid w:val="00D54DA8"/>
    <w:rsid w:val="00D57FED"/>
    <w:rsid w:val="00D600F2"/>
    <w:rsid w:val="00D64FF3"/>
    <w:rsid w:val="00D657A2"/>
    <w:rsid w:val="00D702E2"/>
    <w:rsid w:val="00D760C8"/>
    <w:rsid w:val="00D76528"/>
    <w:rsid w:val="00D76FED"/>
    <w:rsid w:val="00D83FFD"/>
    <w:rsid w:val="00D8451F"/>
    <w:rsid w:val="00D8617D"/>
    <w:rsid w:val="00D91AC4"/>
    <w:rsid w:val="00D92563"/>
    <w:rsid w:val="00D95973"/>
    <w:rsid w:val="00DA47C8"/>
    <w:rsid w:val="00DC7C10"/>
    <w:rsid w:val="00DD26B1"/>
    <w:rsid w:val="00DD5177"/>
    <w:rsid w:val="00DE16B8"/>
    <w:rsid w:val="00DE20DF"/>
    <w:rsid w:val="00DE4CC2"/>
    <w:rsid w:val="00DF23FC"/>
    <w:rsid w:val="00DF39CD"/>
    <w:rsid w:val="00DF3BBE"/>
    <w:rsid w:val="00E0094D"/>
    <w:rsid w:val="00E07215"/>
    <w:rsid w:val="00E10268"/>
    <w:rsid w:val="00E10A17"/>
    <w:rsid w:val="00E13427"/>
    <w:rsid w:val="00E1374D"/>
    <w:rsid w:val="00E20134"/>
    <w:rsid w:val="00E24CB2"/>
    <w:rsid w:val="00E31D1C"/>
    <w:rsid w:val="00E32981"/>
    <w:rsid w:val="00E342B3"/>
    <w:rsid w:val="00E34312"/>
    <w:rsid w:val="00E3536D"/>
    <w:rsid w:val="00E3639B"/>
    <w:rsid w:val="00E3734E"/>
    <w:rsid w:val="00E44456"/>
    <w:rsid w:val="00E553B9"/>
    <w:rsid w:val="00E56E57"/>
    <w:rsid w:val="00E5770A"/>
    <w:rsid w:val="00E60371"/>
    <w:rsid w:val="00E60B71"/>
    <w:rsid w:val="00E60FF1"/>
    <w:rsid w:val="00E61322"/>
    <w:rsid w:val="00E6599B"/>
    <w:rsid w:val="00E726DE"/>
    <w:rsid w:val="00E73309"/>
    <w:rsid w:val="00E763B6"/>
    <w:rsid w:val="00E82BFD"/>
    <w:rsid w:val="00E844D5"/>
    <w:rsid w:val="00E86536"/>
    <w:rsid w:val="00E871C2"/>
    <w:rsid w:val="00EA1085"/>
    <w:rsid w:val="00EA1BAA"/>
    <w:rsid w:val="00EC00E4"/>
    <w:rsid w:val="00ED401C"/>
    <w:rsid w:val="00ED7A2B"/>
    <w:rsid w:val="00EE333B"/>
    <w:rsid w:val="00EE3908"/>
    <w:rsid w:val="00EF2642"/>
    <w:rsid w:val="00EF3681"/>
    <w:rsid w:val="00EF3B9F"/>
    <w:rsid w:val="00EF4C5A"/>
    <w:rsid w:val="00F10790"/>
    <w:rsid w:val="00F10E7C"/>
    <w:rsid w:val="00F13C1E"/>
    <w:rsid w:val="00F16F17"/>
    <w:rsid w:val="00F20BC2"/>
    <w:rsid w:val="00F32090"/>
    <w:rsid w:val="00F342E4"/>
    <w:rsid w:val="00F35330"/>
    <w:rsid w:val="00F41C91"/>
    <w:rsid w:val="00F433A4"/>
    <w:rsid w:val="00F4421A"/>
    <w:rsid w:val="00F44B1A"/>
    <w:rsid w:val="00F468D4"/>
    <w:rsid w:val="00F47316"/>
    <w:rsid w:val="00F55DA5"/>
    <w:rsid w:val="00F66C89"/>
    <w:rsid w:val="00F77F58"/>
    <w:rsid w:val="00F90538"/>
    <w:rsid w:val="00F94BC2"/>
    <w:rsid w:val="00F95ABE"/>
    <w:rsid w:val="00F9756D"/>
    <w:rsid w:val="00FB5F12"/>
    <w:rsid w:val="00FB7C78"/>
    <w:rsid w:val="00FC159D"/>
    <w:rsid w:val="00FD417F"/>
    <w:rsid w:val="00FD4568"/>
    <w:rsid w:val="00FD509E"/>
    <w:rsid w:val="00FD6DBC"/>
    <w:rsid w:val="00FD7255"/>
    <w:rsid w:val="00FD77A2"/>
    <w:rsid w:val="00FD7B1D"/>
    <w:rsid w:val="00FE0AFB"/>
    <w:rsid w:val="00FE1E22"/>
    <w:rsid w:val="00FE4868"/>
    <w:rsid w:val="00FE50E4"/>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C86CB6"/>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99"/>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character" w:customStyle="1" w:styleId="FooterChar">
    <w:name w:val="Footer Char"/>
    <w:basedOn w:val="DefaultParagraphFont"/>
    <w:link w:val="Footer"/>
    <w:uiPriority w:val="99"/>
    <w:rsid w:val="00D07E24"/>
    <w:rPr>
      <w:rFonts w:ascii="Calibri" w:hAnsi="Calibri"/>
      <w:caps/>
      <w:noProof/>
      <w:sz w:val="16"/>
      <w:lang w:val="en-GB" w:eastAsia="en-US"/>
    </w:rPr>
  </w:style>
  <w:style w:type="character" w:styleId="UnresolvedMention">
    <w:name w:val="Unresolved Mention"/>
    <w:basedOn w:val="DefaultParagraphFont"/>
    <w:uiPriority w:val="99"/>
    <w:semiHidden/>
    <w:unhideWhenUsed/>
    <w:rsid w:val="00061793"/>
    <w:rPr>
      <w:color w:val="605E5C"/>
      <w:shd w:val="clear" w:color="auto" w:fill="E1DFDD"/>
    </w:rPr>
  </w:style>
  <w:style w:type="paragraph" w:styleId="Revision">
    <w:name w:val="Revision"/>
    <w:hidden/>
    <w:uiPriority w:val="99"/>
    <w:semiHidden/>
    <w:rsid w:val="00E3639B"/>
    <w:rPr>
      <w:rFonts w:ascii="Calibri" w:hAnsi="Calibri"/>
      <w:sz w:val="24"/>
      <w:lang w:val="en-GB" w:eastAsia="en-US"/>
    </w:rPr>
  </w:style>
  <w:style w:type="paragraph" w:customStyle="1" w:styleId="TableHead0">
    <w:name w:val="Table_Head"/>
    <w:basedOn w:val="Normal"/>
    <w:rsid w:val="00D02B3E"/>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Normal"/>
    <w:rsid w:val="00D02B3E"/>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Emphasis">
    <w:name w:val="Emphasis"/>
    <w:basedOn w:val="DefaultParagraphFont"/>
    <w:uiPriority w:val="20"/>
    <w:qFormat/>
    <w:rsid w:val="00D54DA8"/>
    <w:rPr>
      <w:i/>
      <w:iCs/>
    </w:rPr>
  </w:style>
  <w:style w:type="paragraph" w:customStyle="1" w:styleId="text-2xl">
    <w:name w:val="text-2xl"/>
    <w:basedOn w:val="Normal"/>
    <w:rsid w:val="00D54D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nt-medium">
    <w:name w:val="font-medium"/>
    <w:basedOn w:val="Normal"/>
    <w:rsid w:val="00D54D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61704013">
      <w:bodyDiv w:val="1"/>
      <w:marLeft w:val="0"/>
      <w:marRight w:val="0"/>
      <w:marTop w:val="0"/>
      <w:marBottom w:val="0"/>
      <w:divBdr>
        <w:top w:val="none" w:sz="0" w:space="0" w:color="auto"/>
        <w:left w:val="none" w:sz="0" w:space="0" w:color="auto"/>
        <w:bottom w:val="none" w:sz="0" w:space="0" w:color="auto"/>
        <w:right w:val="none" w:sz="0" w:space="0" w:color="auto"/>
      </w:divBdr>
    </w:div>
    <w:div w:id="192309906">
      <w:bodyDiv w:val="1"/>
      <w:marLeft w:val="0"/>
      <w:marRight w:val="0"/>
      <w:marTop w:val="0"/>
      <w:marBottom w:val="0"/>
      <w:divBdr>
        <w:top w:val="none" w:sz="0" w:space="0" w:color="auto"/>
        <w:left w:val="none" w:sz="0" w:space="0" w:color="auto"/>
        <w:bottom w:val="none" w:sz="0" w:space="0" w:color="auto"/>
        <w:right w:val="none" w:sz="0" w:space="0" w:color="auto"/>
      </w:divBdr>
    </w:div>
    <w:div w:id="267587109">
      <w:bodyDiv w:val="1"/>
      <w:marLeft w:val="0"/>
      <w:marRight w:val="0"/>
      <w:marTop w:val="0"/>
      <w:marBottom w:val="0"/>
      <w:divBdr>
        <w:top w:val="none" w:sz="0" w:space="0" w:color="auto"/>
        <w:left w:val="none" w:sz="0" w:space="0" w:color="auto"/>
        <w:bottom w:val="none" w:sz="0" w:space="0" w:color="auto"/>
        <w:right w:val="none" w:sz="0" w:space="0" w:color="auto"/>
      </w:divBdr>
    </w:div>
    <w:div w:id="337390369">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414938302">
      <w:bodyDiv w:val="1"/>
      <w:marLeft w:val="0"/>
      <w:marRight w:val="0"/>
      <w:marTop w:val="0"/>
      <w:marBottom w:val="0"/>
      <w:divBdr>
        <w:top w:val="none" w:sz="0" w:space="0" w:color="auto"/>
        <w:left w:val="none" w:sz="0" w:space="0" w:color="auto"/>
        <w:bottom w:val="none" w:sz="0" w:space="0" w:color="auto"/>
        <w:right w:val="none" w:sz="0" w:space="0" w:color="auto"/>
      </w:divBdr>
    </w:div>
    <w:div w:id="1578631945">
      <w:bodyDiv w:val="1"/>
      <w:marLeft w:val="0"/>
      <w:marRight w:val="0"/>
      <w:marTop w:val="0"/>
      <w:marBottom w:val="0"/>
      <w:divBdr>
        <w:top w:val="none" w:sz="0" w:space="0" w:color="auto"/>
        <w:left w:val="none" w:sz="0" w:space="0" w:color="auto"/>
        <w:bottom w:val="none" w:sz="0" w:space="0" w:color="auto"/>
        <w:right w:val="none" w:sz="0" w:space="0" w:color="auto"/>
      </w:divBdr>
    </w:div>
    <w:div w:id="2114861763">
      <w:bodyDiv w:val="1"/>
      <w:marLeft w:val="0"/>
      <w:marRight w:val="0"/>
      <w:marTop w:val="0"/>
      <w:marBottom w:val="0"/>
      <w:divBdr>
        <w:top w:val="none" w:sz="0" w:space="0" w:color="auto"/>
        <w:left w:val="none" w:sz="0" w:space="0" w:color="auto"/>
        <w:bottom w:val="none" w:sz="0" w:space="0" w:color="auto"/>
        <w:right w:val="none" w:sz="0" w:space="0" w:color="auto"/>
      </w:divBdr>
    </w:div>
    <w:div w:id="21167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hub/membership/our-members/exempted-entitie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9-CL-C-0141/en" TargetMode="External"/><Relationship Id="rId17" Type="http://schemas.openxmlformats.org/officeDocument/2006/relationships/hyperlink" Target="https://www.itu.int/hub/membership/itu-family/organizations/exempted-entities/exemption-criteria/" TargetMode="External"/><Relationship Id="rId2" Type="http://schemas.openxmlformats.org/officeDocument/2006/relationships/customXml" Target="../customXml/item1.xml"/><Relationship Id="rId16" Type="http://schemas.openxmlformats.org/officeDocument/2006/relationships/hyperlink" Target="https://www.itu.int/hub/membership/itu-family/organizations/exempted-entiti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itudoc/gs/council/c00/docs/28rev1.html" TargetMode="External"/><Relationship Id="rId5" Type="http://schemas.openxmlformats.org/officeDocument/2006/relationships/styles" Target="styles.xml"/><Relationship Id="rId15" Type="http://schemas.openxmlformats.org/officeDocument/2006/relationships/hyperlink" Target="https://www.itu.int/md/S19-CL-C-0141/e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doc/gs/council/c00/docs/28rev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 xsi:nil="true"/>
    <DPM_x0020_File_x0020_name xmlns="a4580c6d-087e-4443-97f9-288ddbcec2aa" xsi:nil="true"/>
    <DPM_x0020_Version xmlns="a4580c6d-087e-4443-97f9-288ddbcec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996b2e75-67fd-4955-a3b0-5ab9934cb50b"/>
    <ds:schemaRef ds:uri="http://purl.org/dc/dcmitype/"/>
    <ds:schemaRef ds:uri="http://purl.org/dc/elements/1.1/"/>
    <ds:schemaRef ds:uri="a4580c6d-087e-4443-97f9-288ddbcec2a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5183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Exemptions from fees for international organizations</vt:lpstr>
    </vt:vector>
  </TitlesOfParts>
  <Manager/>
  <Company/>
  <LinksUpToDate>false</LinksUpToDate>
  <CharactersWithSpaces>5960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 from fees for international organizations</dc:title>
  <dc:subject>Council 2022</dc:subject>
  <dc:creator/>
  <cp:keywords>C2022, C22, Council-22</cp:keywords>
  <cp:lastModifiedBy/>
  <cp:revision>1</cp:revision>
  <dcterms:created xsi:type="dcterms:W3CDTF">2022-02-08T15:29:00Z</dcterms:created>
  <dcterms:modified xsi:type="dcterms:W3CDTF">2022-02-18T16:40:00Z</dcterms:modified>
  <cp:category>Conference document</cp:category>
</cp:coreProperties>
</file>