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3AB883A" w14:textId="77777777" w:rsidTr="006C7CC0">
        <w:trPr>
          <w:cantSplit/>
          <w:trHeight w:val="20"/>
        </w:trPr>
        <w:tc>
          <w:tcPr>
            <w:tcW w:w="6620" w:type="dxa"/>
          </w:tcPr>
          <w:p w14:paraId="37E8D01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9837850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80382BA" wp14:editId="29BADE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C982C8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695F9F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A2DA2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D7B83E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4F1753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E2A729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8085D22" w14:textId="77777777" w:rsidTr="009F66A8">
        <w:trPr>
          <w:cantSplit/>
        </w:trPr>
        <w:tc>
          <w:tcPr>
            <w:tcW w:w="6620" w:type="dxa"/>
            <w:vMerge w:val="restart"/>
          </w:tcPr>
          <w:p w14:paraId="56809F84" w14:textId="1675EFD6" w:rsidR="0015650C" w:rsidRPr="002D53EC" w:rsidRDefault="0015650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53E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2D53EC">
              <w:rPr>
                <w:b/>
                <w:bCs/>
                <w:lang w:bidi="ar-EG"/>
              </w:rPr>
              <w:t>ADM </w:t>
            </w:r>
            <w:r w:rsidR="002D53EC" w:rsidRPr="002D53EC">
              <w:rPr>
                <w:b/>
                <w:bCs/>
                <w:lang w:bidi="ar-EG"/>
              </w:rPr>
              <w:t>8</w:t>
            </w:r>
          </w:p>
          <w:p w14:paraId="1F74804B" w14:textId="457E90BA" w:rsidR="005805EA" w:rsidRPr="002D53EC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36A81F4" w14:textId="64EAA06A" w:rsidR="0015650C" w:rsidRPr="002D53E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D53E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53EC">
              <w:rPr>
                <w:b/>
                <w:bCs/>
                <w:lang w:bidi="ar-SY"/>
              </w:rPr>
              <w:t>C2</w:t>
            </w:r>
            <w:r w:rsidR="00E10964" w:rsidRPr="002D53EC">
              <w:rPr>
                <w:b/>
                <w:bCs/>
                <w:lang w:bidi="ar-SY"/>
              </w:rPr>
              <w:t>2</w:t>
            </w:r>
            <w:r w:rsidRPr="002D53EC">
              <w:rPr>
                <w:b/>
                <w:bCs/>
                <w:lang w:bidi="ar-SY"/>
              </w:rPr>
              <w:t>/</w:t>
            </w:r>
            <w:r w:rsidR="002D53EC" w:rsidRPr="002D53EC">
              <w:rPr>
                <w:b/>
                <w:bCs/>
                <w:lang w:bidi="ar-SY"/>
              </w:rPr>
              <w:t>39</w:t>
            </w:r>
            <w:r w:rsidRPr="002D53EC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DB6439A" w14:textId="77777777" w:rsidTr="009F66A8">
        <w:trPr>
          <w:cantSplit/>
        </w:trPr>
        <w:tc>
          <w:tcPr>
            <w:tcW w:w="6620" w:type="dxa"/>
            <w:vMerge/>
          </w:tcPr>
          <w:p w14:paraId="33E9C5FB" w14:textId="77777777" w:rsidR="0015650C" w:rsidRPr="002D53E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A5D05DA" w14:textId="4099FEC5" w:rsidR="0015650C" w:rsidRPr="002D53EC" w:rsidRDefault="002D53E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53EC">
              <w:rPr>
                <w:b/>
                <w:bCs/>
                <w:lang w:bidi="ar-SY"/>
              </w:rPr>
              <w:t>15</w:t>
            </w:r>
            <w:r w:rsidR="0015650C" w:rsidRPr="002D53E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D53EC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2D53E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320B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7809DFE4" w14:textId="77777777" w:rsidTr="009F66A8">
        <w:trPr>
          <w:cantSplit/>
        </w:trPr>
        <w:tc>
          <w:tcPr>
            <w:tcW w:w="6620" w:type="dxa"/>
            <w:vMerge/>
          </w:tcPr>
          <w:p w14:paraId="644C48C1" w14:textId="77777777" w:rsidR="0015650C" w:rsidRPr="002D53EC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D8FFDD6" w14:textId="77777777" w:rsidR="0015650C" w:rsidRPr="002D53E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D53EC">
              <w:rPr>
                <w:b/>
                <w:bCs/>
                <w:rtl/>
                <w:lang w:bidi="ar-EG"/>
              </w:rPr>
              <w:t xml:space="preserve">الأصل: </w:t>
            </w:r>
            <w:r w:rsidRPr="002D53E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731EC6D" w14:textId="77777777" w:rsidTr="009F66A8">
        <w:trPr>
          <w:cantSplit/>
        </w:trPr>
        <w:tc>
          <w:tcPr>
            <w:tcW w:w="9672" w:type="dxa"/>
            <w:gridSpan w:val="2"/>
          </w:tcPr>
          <w:p w14:paraId="2DDF3646" w14:textId="2C2FA48C" w:rsidR="00290728" w:rsidRPr="00290728" w:rsidRDefault="003320BC" w:rsidP="003320BC">
            <w:pPr>
              <w:pStyle w:val="Source"/>
              <w:rPr>
                <w:rtl/>
                <w:lang w:bidi="ar-EG"/>
              </w:rPr>
            </w:pPr>
            <w:r>
              <w:rPr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412841F4" w14:textId="77777777" w:rsidTr="009F66A8">
        <w:trPr>
          <w:cantSplit/>
        </w:trPr>
        <w:tc>
          <w:tcPr>
            <w:tcW w:w="9672" w:type="dxa"/>
            <w:gridSpan w:val="2"/>
          </w:tcPr>
          <w:p w14:paraId="0147F901" w14:textId="4A7614D8" w:rsidR="00290728" w:rsidRPr="00383829" w:rsidRDefault="003320BC" w:rsidP="003320BC">
            <w:pPr>
              <w:pStyle w:val="Title1"/>
              <w:rPr>
                <w:rtl/>
              </w:rPr>
            </w:pPr>
            <w:r w:rsidRPr="003320BC">
              <w:rPr>
                <w:rtl/>
              </w:rPr>
              <w:t>إعفاء المنظمات ذات الصفة الدولية من دفع رسوم العضوية</w:t>
            </w:r>
          </w:p>
        </w:tc>
      </w:tr>
      <w:tr w:rsidR="00DC5FB0" w:rsidRPr="00290728" w14:paraId="2EC914F4" w14:textId="77777777" w:rsidTr="009F66A8">
        <w:trPr>
          <w:cantSplit/>
        </w:trPr>
        <w:tc>
          <w:tcPr>
            <w:tcW w:w="9672" w:type="dxa"/>
            <w:gridSpan w:val="2"/>
          </w:tcPr>
          <w:p w14:paraId="4076F606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335A72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09E9280" w14:textId="77777777" w:rsidTr="00952F86">
        <w:trPr>
          <w:jc w:val="center"/>
        </w:trPr>
        <w:tc>
          <w:tcPr>
            <w:tcW w:w="8080" w:type="dxa"/>
          </w:tcPr>
          <w:p w14:paraId="6C59C307" w14:textId="009CDC5C" w:rsidR="00290728" w:rsidRDefault="00290728" w:rsidP="00706D7A">
            <w:pPr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CBE641B" w14:textId="60767CF3" w:rsidR="00A6173B" w:rsidRDefault="00A6173B" w:rsidP="00706D7A">
            <w:pPr>
              <w:rPr>
                <w:rtl/>
                <w:lang w:bidi="ar-EG"/>
              </w:rPr>
            </w:pPr>
            <w:r w:rsidRPr="00A6173B">
              <w:rPr>
                <w:rFonts w:hint="cs"/>
                <w:rtl/>
                <w:lang w:bidi="ar-EG"/>
              </w:rPr>
              <w:t>يتلق</w:t>
            </w:r>
            <w:r>
              <w:rPr>
                <w:rFonts w:hint="cs"/>
                <w:rtl/>
                <w:lang w:bidi="ar-EG"/>
              </w:rPr>
              <w:t>َّ</w:t>
            </w:r>
            <w:r w:rsidRPr="00A6173B">
              <w:rPr>
                <w:rFonts w:hint="cs"/>
                <w:rtl/>
                <w:lang w:bidi="ar-EG"/>
              </w:rPr>
              <w:t>ى الاتحاد الدول</w:t>
            </w:r>
            <w:r w:rsidR="00AA2F06">
              <w:rPr>
                <w:rFonts w:hint="cs"/>
                <w:rtl/>
                <w:lang w:bidi="ar-EG"/>
              </w:rPr>
              <w:t>ي</w:t>
            </w:r>
            <w:r w:rsidRPr="00A6173B">
              <w:rPr>
                <w:rFonts w:hint="cs"/>
                <w:rtl/>
                <w:lang w:bidi="ar-EG"/>
              </w:rPr>
              <w:t xml:space="preserve"> للاتصالات سنوياً من المنظمات ذات الصفة الدولية</w:t>
            </w:r>
            <w:r w:rsidR="00A50C69">
              <w:rPr>
                <w:rFonts w:hint="cs"/>
                <w:rtl/>
                <w:lang w:bidi="ar-EG"/>
              </w:rPr>
              <w:t xml:space="preserve"> </w:t>
            </w:r>
            <w:r w:rsidR="00A50C69" w:rsidRPr="00A6173B">
              <w:rPr>
                <w:rFonts w:hint="cs"/>
                <w:rtl/>
                <w:lang w:bidi="ar-EG"/>
              </w:rPr>
              <w:t>طلبات</w:t>
            </w:r>
            <w:r w:rsidRPr="00A6173B">
              <w:rPr>
                <w:rFonts w:hint="cs"/>
                <w:rtl/>
                <w:lang w:bidi="ar-EG"/>
              </w:rPr>
              <w:t xml:space="preserve"> </w:t>
            </w:r>
            <w:r w:rsidR="00B02106">
              <w:rPr>
                <w:rFonts w:hint="cs"/>
                <w:rtl/>
                <w:lang w:bidi="ar-EG"/>
              </w:rPr>
              <w:t xml:space="preserve">تلتمس </w:t>
            </w:r>
            <w:r w:rsidRPr="00A6173B">
              <w:rPr>
                <w:rFonts w:hint="cs"/>
                <w:rtl/>
                <w:lang w:bidi="ar-EG"/>
              </w:rPr>
              <w:t>إعفا</w:t>
            </w:r>
            <w:r w:rsidR="00B02106">
              <w:rPr>
                <w:rFonts w:hint="cs"/>
                <w:rtl/>
                <w:lang w:bidi="ar-EG"/>
              </w:rPr>
              <w:t>ء هذه المنظمات</w:t>
            </w:r>
            <w:r w:rsidRPr="00A6173B">
              <w:rPr>
                <w:rFonts w:hint="cs"/>
                <w:rtl/>
                <w:lang w:bidi="ar-EG"/>
              </w:rPr>
              <w:t xml:space="preserve"> من</w:t>
            </w:r>
            <w:r w:rsidR="00B02106">
              <w:rPr>
                <w:rFonts w:hint="cs"/>
                <w:rtl/>
                <w:lang w:bidi="ar-EG"/>
              </w:rPr>
              <w:t xml:space="preserve"> دفع</w:t>
            </w:r>
            <w:r w:rsidRPr="00A6173B">
              <w:rPr>
                <w:rFonts w:hint="cs"/>
                <w:rtl/>
                <w:lang w:bidi="ar-EG"/>
              </w:rPr>
              <w:t xml:space="preserve"> رسوم العضوية</w:t>
            </w:r>
            <w:r w:rsidR="000239B1">
              <w:rPr>
                <w:rFonts w:hint="cs"/>
                <w:rtl/>
                <w:lang w:bidi="ar-EG"/>
              </w:rPr>
              <w:t xml:space="preserve"> في الاتحاد</w:t>
            </w:r>
            <w:r w:rsidRPr="00A6173B">
              <w:rPr>
                <w:rFonts w:hint="cs"/>
                <w:rtl/>
                <w:lang w:bidi="ar-EG"/>
              </w:rPr>
              <w:t xml:space="preserve"> و</w:t>
            </w:r>
            <w:r w:rsidR="00B02106">
              <w:rPr>
                <w:rFonts w:hint="cs"/>
                <w:rtl/>
                <w:lang w:bidi="ar-EG"/>
              </w:rPr>
              <w:t xml:space="preserve">تقديم </w:t>
            </w:r>
            <w:r>
              <w:rPr>
                <w:rFonts w:hint="cs"/>
                <w:rtl/>
                <w:lang w:bidi="ar-EG"/>
              </w:rPr>
              <w:t>مساهمات</w:t>
            </w:r>
            <w:r w:rsidRPr="00A6173B">
              <w:rPr>
                <w:rFonts w:hint="cs"/>
                <w:rtl/>
                <w:lang w:bidi="ar-EG"/>
              </w:rPr>
              <w:t xml:space="preserve"> مالية </w:t>
            </w:r>
            <w:r w:rsidR="00B02106">
              <w:rPr>
                <w:rFonts w:hint="cs"/>
                <w:rtl/>
                <w:lang w:bidi="ar-EG"/>
              </w:rPr>
              <w:t xml:space="preserve">أخرى </w:t>
            </w:r>
            <w:r w:rsidR="00894116">
              <w:rPr>
                <w:rFonts w:hint="cs"/>
                <w:rtl/>
                <w:lang w:bidi="ar-EG"/>
              </w:rPr>
              <w:t>إليه</w:t>
            </w:r>
            <w:r w:rsidRPr="00A6173B">
              <w:rPr>
                <w:rFonts w:hint="cs"/>
                <w:rtl/>
                <w:lang w:bidi="ar-EG"/>
              </w:rPr>
              <w:t xml:space="preserve"> على أساس مبدأ المعاملة بالمثل.</w:t>
            </w:r>
            <w:r w:rsidR="00590132">
              <w:rPr>
                <w:rFonts w:hint="cs"/>
                <w:rtl/>
                <w:lang w:bidi="ar-EG"/>
              </w:rPr>
              <w:t xml:space="preserve"> وت</w:t>
            </w:r>
            <w:r w:rsidR="000239B1">
              <w:rPr>
                <w:rFonts w:hint="cs"/>
                <w:rtl/>
                <w:lang w:bidi="ar-EG"/>
              </w:rPr>
              <w:t>ستعرض</w:t>
            </w:r>
            <w:r w:rsidR="00590132">
              <w:rPr>
                <w:rFonts w:hint="cs"/>
                <w:rtl/>
                <w:lang w:bidi="ar-EG"/>
              </w:rPr>
              <w:t xml:space="preserve"> الأمانة هذه الطلبات الجديدة وفقاً للمعايير</w:t>
            </w:r>
            <w:r w:rsidR="000239B1">
              <w:rPr>
                <w:rFonts w:hint="cs"/>
                <w:rtl/>
                <w:lang w:bidi="ar-EG"/>
              </w:rPr>
              <w:t xml:space="preserve"> التي</w:t>
            </w:r>
            <w:r w:rsidR="00590132">
              <w:rPr>
                <w:rFonts w:hint="cs"/>
                <w:rtl/>
                <w:lang w:bidi="ar-EG"/>
              </w:rPr>
              <w:t xml:space="preserve"> </w:t>
            </w:r>
            <w:r w:rsidR="000239B1">
              <w:rPr>
                <w:rFonts w:hint="cs"/>
                <w:rtl/>
                <w:lang w:bidi="ar-EG"/>
              </w:rPr>
              <w:t>حددها</w:t>
            </w:r>
            <w:r w:rsidR="00590132">
              <w:rPr>
                <w:rFonts w:hint="cs"/>
                <w:rtl/>
                <w:lang w:bidi="ar-EG"/>
              </w:rPr>
              <w:t xml:space="preserve"> المجلس.</w:t>
            </w:r>
          </w:p>
          <w:p w14:paraId="62604041" w14:textId="797876CC" w:rsidR="00590132" w:rsidRPr="00A6173B" w:rsidRDefault="00590132" w:rsidP="00AA2F06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وتستعرض الأمانة حالياً القائمة الكاملة للكيانات</w:t>
            </w:r>
            <w:r w:rsidR="00DD664B">
              <w:rPr>
                <w:rFonts w:hint="cs"/>
                <w:rtl/>
                <w:lang w:bidi="ar-EG"/>
              </w:rPr>
              <w:t xml:space="preserve"> المعفاة</w:t>
            </w:r>
            <w:r>
              <w:rPr>
                <w:rFonts w:hint="cs"/>
                <w:rtl/>
                <w:lang w:bidi="ar-EG"/>
              </w:rPr>
              <w:t xml:space="preserve"> لتقيِّم مدى استيفاء هذه الكيانات المعايير التي </w:t>
            </w:r>
            <w:r w:rsidR="000239B1">
              <w:rPr>
                <w:rFonts w:hint="cs"/>
                <w:rtl/>
                <w:lang w:bidi="ar-EG"/>
              </w:rPr>
              <w:t>نقَّحها</w:t>
            </w:r>
            <w:r>
              <w:rPr>
                <w:rFonts w:hint="cs"/>
                <w:rtl/>
                <w:lang w:bidi="ar-EG"/>
              </w:rPr>
              <w:t xml:space="preserve"> المجلس في عام</w:t>
            </w:r>
            <w:r w:rsidR="00AA2F06">
              <w:rPr>
                <w:rFonts w:hint="eastAsia"/>
                <w:rtl/>
                <w:lang w:bidi="ar-EG"/>
              </w:rPr>
              <w:t> </w:t>
            </w:r>
            <w:r w:rsidR="00AA2F06">
              <w:rPr>
                <w:lang w:bidi="ar-EG"/>
              </w:rPr>
              <w:t>2017</w:t>
            </w:r>
            <w:r>
              <w:rPr>
                <w:rFonts w:hint="cs"/>
                <w:rtl/>
                <w:lang w:bidi="ar-EG"/>
              </w:rPr>
              <w:t>. ويجري إعداد تقرير كامل عن</w:t>
            </w:r>
            <w:r w:rsidR="00A857B7">
              <w:rPr>
                <w:rFonts w:hint="cs"/>
                <w:rtl/>
                <w:lang w:bidi="ar-EG"/>
              </w:rPr>
              <w:t xml:space="preserve">ها </w:t>
            </w:r>
            <w:r>
              <w:rPr>
                <w:rFonts w:hint="cs"/>
                <w:rtl/>
                <w:lang w:bidi="ar-EG"/>
              </w:rPr>
              <w:t xml:space="preserve">لينظر فيه المجلس في </w:t>
            </w:r>
            <w:r w:rsidR="00D05CB1">
              <w:rPr>
                <w:rFonts w:hint="cs"/>
                <w:rtl/>
                <w:lang w:bidi="ar-EG"/>
              </w:rPr>
              <w:t>اجتماعه المقبل الذي</w:t>
            </w:r>
            <w:r w:rsidR="000239B1">
              <w:rPr>
                <w:rFonts w:hint="cs"/>
                <w:rtl/>
                <w:lang w:bidi="ar-EG"/>
              </w:rPr>
              <w:t xml:space="preserve"> س</w:t>
            </w:r>
            <w:r w:rsidR="00D05CB1">
              <w:rPr>
                <w:rFonts w:hint="cs"/>
                <w:rtl/>
                <w:lang w:bidi="ar-EG"/>
              </w:rPr>
              <w:t>يُ</w:t>
            </w:r>
            <w:r w:rsidR="000239B1">
              <w:rPr>
                <w:rFonts w:hint="cs"/>
                <w:rtl/>
                <w:lang w:bidi="ar-EG"/>
              </w:rPr>
              <w:t xml:space="preserve">عقد في سبتمبر </w:t>
            </w:r>
            <w:r w:rsidR="000239B1">
              <w:rPr>
                <w:lang w:bidi="ar-EG"/>
              </w:rPr>
              <w:t>2022</w:t>
            </w:r>
            <w:r w:rsidR="000239B1">
              <w:rPr>
                <w:rFonts w:hint="cs"/>
                <w:rtl/>
                <w:lang w:bidi="ar-EG"/>
              </w:rPr>
              <w:t>.</w:t>
            </w:r>
          </w:p>
          <w:p w14:paraId="56B4083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3ABABD3" w14:textId="101C5F5A" w:rsidR="00290728" w:rsidRDefault="000239B1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0239B1">
              <w:rPr>
                <w:rFonts w:hint="cs"/>
                <w:b/>
                <w:bCs/>
                <w:rtl/>
                <w:lang w:bidi="ar-SY"/>
              </w:rPr>
              <w:t xml:space="preserve">النظر </w:t>
            </w:r>
            <w:r>
              <w:rPr>
                <w:rFonts w:hint="cs"/>
                <w:rtl/>
                <w:lang w:bidi="ar-SY"/>
              </w:rPr>
              <w:t>في توصيات الأمين العام بشأن طلبات الإعفاء الجديدة.</w:t>
            </w:r>
          </w:p>
          <w:p w14:paraId="7BEB9DEF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916C353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9501767" w14:textId="2A567410" w:rsidR="00290728" w:rsidRPr="00290728" w:rsidRDefault="000239B1" w:rsidP="005409AC">
            <w:pPr>
              <w:spacing w:after="120"/>
              <w:jc w:val="left"/>
              <w:rPr>
                <w:i/>
                <w:iCs/>
                <w:lang w:bidi="ar-EG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 xml:space="preserve">الوثيقة </w:t>
            </w:r>
            <w:hyperlink r:id="rId9" w:history="1">
              <w:r w:rsidRPr="75B8D686">
                <w:rPr>
                  <w:rStyle w:val="Hyperlink"/>
                  <w:rFonts w:eastAsia="Calibri" w:cs="Calibri"/>
                  <w:i/>
                  <w:iCs/>
                </w:rPr>
                <w:t>C2000/28(Rev.1)</w:t>
              </w:r>
            </w:hyperlink>
            <w:r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0" w:history="1">
              <w:r w:rsidRPr="00AA2F0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قرار</w:t>
              </w:r>
              <w:r w:rsidRPr="00AA2F0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المجلس </w:t>
              </w:r>
              <w:r w:rsidRPr="00AA2F06">
                <w:rPr>
                  <w:rStyle w:val="Hyperlink"/>
                  <w:i/>
                  <w:iCs/>
                  <w:lang w:bidi="ar-EG"/>
                </w:rPr>
                <w:t>925</w:t>
              </w:r>
            </w:hyperlink>
            <w:r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1" w:history="1">
              <w:r w:rsidRPr="00AA2F0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معايير </w:t>
              </w:r>
              <w:r w:rsidRPr="00AA2F0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المجلس للإعفاء من رسوم العضوية (المنقَّحة في</w:t>
              </w:r>
              <w:r w:rsidR="000332C9" w:rsidRPr="00AA2F0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عام</w:t>
              </w:r>
              <w:r w:rsidRPr="00AA2F0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Pr="00AA2F06">
                <w:rPr>
                  <w:rStyle w:val="Hyperlink"/>
                  <w:i/>
                  <w:iCs/>
                  <w:lang w:bidi="ar-EG"/>
                </w:rPr>
                <w:t>2017</w:t>
              </w:r>
              <w:r w:rsidRPr="00AA2F0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4E67084C" w14:textId="77777777" w:rsidR="004E11DC" w:rsidRPr="00F974C5" w:rsidRDefault="004E11DC" w:rsidP="0026373E">
      <w:pPr>
        <w:rPr>
          <w:rtl/>
        </w:rPr>
      </w:pPr>
    </w:p>
    <w:p w14:paraId="61B6369B" w14:textId="6EDE2DBC" w:rsidR="00290728" w:rsidRDefault="00290728" w:rsidP="00290728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55DD87E1" w14:textId="51AF6513" w:rsidR="0024583F" w:rsidRDefault="0024583F" w:rsidP="00AA2F06">
      <w:pPr>
        <w:pStyle w:val="Heading1"/>
        <w:rPr>
          <w:lang w:bidi="ar-SY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>
        <w:rPr>
          <w:rFonts w:hint="cs"/>
          <w:rtl/>
          <w:lang w:bidi="ar-SY"/>
        </w:rPr>
        <w:t>خلفية</w:t>
      </w:r>
    </w:p>
    <w:p w14:paraId="72DF80A3" w14:textId="0629D686" w:rsidR="0024583F" w:rsidRDefault="0024583F" w:rsidP="005F5DC5">
      <w:pPr>
        <w:rPr>
          <w:rtl/>
        </w:rPr>
      </w:pPr>
      <w:r>
        <w:rPr>
          <w:lang w:bidi="ar-SY"/>
        </w:rPr>
        <w:t>1.1</w:t>
      </w:r>
      <w:r>
        <w:rPr>
          <w:lang w:bidi="ar-SY"/>
        </w:rPr>
        <w:tab/>
      </w:r>
      <w:r w:rsidR="00D90681" w:rsidRPr="00A6173B">
        <w:rPr>
          <w:rFonts w:hint="cs"/>
          <w:rtl/>
          <w:lang w:bidi="ar-EG"/>
        </w:rPr>
        <w:t>يتلق</w:t>
      </w:r>
      <w:r w:rsidR="00D90681">
        <w:rPr>
          <w:rFonts w:hint="cs"/>
          <w:rtl/>
          <w:lang w:bidi="ar-EG"/>
        </w:rPr>
        <w:t>َّ</w:t>
      </w:r>
      <w:r w:rsidR="00D90681" w:rsidRPr="00A6173B">
        <w:rPr>
          <w:rFonts w:hint="cs"/>
          <w:rtl/>
          <w:lang w:bidi="ar-EG"/>
        </w:rPr>
        <w:t>ى الاتحاد الدول للاتصالات سنوياً من المنظمات ذات الصفة الدولية</w:t>
      </w:r>
      <w:r w:rsidR="005F5DC5">
        <w:rPr>
          <w:rFonts w:hint="cs"/>
          <w:rtl/>
          <w:lang w:bidi="ar-EG"/>
        </w:rPr>
        <w:t xml:space="preserve"> </w:t>
      </w:r>
      <w:r w:rsidR="00C21FEF">
        <w:rPr>
          <w:rFonts w:hint="cs"/>
          <w:rtl/>
          <w:lang w:bidi="ar-EG"/>
        </w:rPr>
        <w:t>طلبات</w:t>
      </w:r>
      <w:r w:rsidR="00894116">
        <w:rPr>
          <w:rFonts w:hint="cs"/>
          <w:rtl/>
          <w:lang w:bidi="ar-EG"/>
        </w:rPr>
        <w:t xml:space="preserve"> تلتمس</w:t>
      </w:r>
      <w:r w:rsidR="00C21FEF">
        <w:rPr>
          <w:rFonts w:hint="cs"/>
          <w:rtl/>
          <w:lang w:bidi="ar-EG"/>
        </w:rPr>
        <w:t xml:space="preserve"> </w:t>
      </w:r>
      <w:r w:rsidR="00894116" w:rsidRPr="00A6173B">
        <w:rPr>
          <w:rFonts w:hint="cs"/>
          <w:rtl/>
          <w:lang w:bidi="ar-EG"/>
        </w:rPr>
        <w:t>إعفا</w:t>
      </w:r>
      <w:r w:rsidR="00894116">
        <w:rPr>
          <w:rFonts w:hint="cs"/>
          <w:rtl/>
          <w:lang w:bidi="ar-EG"/>
        </w:rPr>
        <w:t>ء هذه المنظمات</w:t>
      </w:r>
      <w:r w:rsidR="00894116" w:rsidRPr="00A6173B">
        <w:rPr>
          <w:rFonts w:hint="cs"/>
          <w:rtl/>
          <w:lang w:bidi="ar-EG"/>
        </w:rPr>
        <w:t xml:space="preserve"> من</w:t>
      </w:r>
      <w:r w:rsidR="00894116">
        <w:rPr>
          <w:rFonts w:hint="cs"/>
          <w:rtl/>
          <w:lang w:bidi="ar-EG"/>
        </w:rPr>
        <w:t xml:space="preserve"> دفع</w:t>
      </w:r>
      <w:r w:rsidR="00894116" w:rsidRPr="00A6173B">
        <w:rPr>
          <w:rFonts w:hint="cs"/>
          <w:rtl/>
          <w:lang w:bidi="ar-EG"/>
        </w:rPr>
        <w:t xml:space="preserve"> رسوم العضوية</w:t>
      </w:r>
      <w:r w:rsidR="00894116">
        <w:rPr>
          <w:rFonts w:hint="cs"/>
          <w:rtl/>
          <w:lang w:bidi="ar-EG"/>
        </w:rPr>
        <w:t xml:space="preserve"> في الاتحاد</w:t>
      </w:r>
      <w:r w:rsidR="00894116" w:rsidRPr="00A6173B">
        <w:rPr>
          <w:rFonts w:hint="cs"/>
          <w:rtl/>
          <w:lang w:bidi="ar-EG"/>
        </w:rPr>
        <w:t xml:space="preserve"> و</w:t>
      </w:r>
      <w:r w:rsidR="00894116">
        <w:rPr>
          <w:rFonts w:hint="cs"/>
          <w:rtl/>
          <w:lang w:bidi="ar-EG"/>
        </w:rPr>
        <w:t>تقديم مساهمات</w:t>
      </w:r>
      <w:r w:rsidR="00894116" w:rsidRPr="00A6173B">
        <w:rPr>
          <w:rFonts w:hint="cs"/>
          <w:rtl/>
          <w:lang w:bidi="ar-EG"/>
        </w:rPr>
        <w:t xml:space="preserve"> مالية </w:t>
      </w:r>
      <w:r w:rsidR="00894116">
        <w:rPr>
          <w:rFonts w:hint="cs"/>
          <w:rtl/>
          <w:lang w:bidi="ar-EG"/>
        </w:rPr>
        <w:t xml:space="preserve">أخرى إليه </w:t>
      </w:r>
      <w:r w:rsidR="00D90681" w:rsidRPr="00A6173B">
        <w:rPr>
          <w:rFonts w:hint="cs"/>
          <w:rtl/>
          <w:lang w:bidi="ar-EG"/>
        </w:rPr>
        <w:t>على أساس مبدأ المعاملة بالمثل.</w:t>
      </w:r>
      <w:r w:rsidR="00D90681">
        <w:rPr>
          <w:rFonts w:hint="cs"/>
          <w:rtl/>
          <w:lang w:bidi="ar-EG"/>
        </w:rPr>
        <w:t xml:space="preserve"> ويُنظر في هذه الطلبات وفقاً للإجراء الذي حدده المجلس في دورته لعام</w:t>
      </w:r>
      <w:r w:rsidR="00AA2F06">
        <w:rPr>
          <w:rFonts w:hint="eastAsia"/>
          <w:rtl/>
          <w:lang w:bidi="ar-EG"/>
        </w:rPr>
        <w:t> </w:t>
      </w:r>
      <w:r w:rsidR="00D90681">
        <w:rPr>
          <w:lang w:bidi="ar-EG"/>
        </w:rPr>
        <w:t>2000</w:t>
      </w:r>
      <w:r w:rsidR="00D90681">
        <w:rPr>
          <w:rFonts w:hint="cs"/>
          <w:rtl/>
          <w:lang w:bidi="ar-EG"/>
        </w:rPr>
        <w:t xml:space="preserve"> (</w:t>
      </w:r>
      <w:hyperlink r:id="rId12" w:history="1">
        <w:r w:rsidR="00D90681" w:rsidRPr="001C1B21">
          <w:rPr>
            <w:rStyle w:val="Hyperlink"/>
            <w:rFonts w:eastAsia="Calibri" w:cs="Calibri"/>
          </w:rPr>
          <w:t>C2000/28(Rev.1)</w:t>
        </w:r>
      </w:hyperlink>
      <w:r w:rsidR="00D90681">
        <w:rPr>
          <w:rFonts w:hint="cs"/>
          <w:rtl/>
          <w:lang w:bidi="ar-EG"/>
        </w:rPr>
        <w:t xml:space="preserve">) ولأحكام كل من الرقم </w:t>
      </w:r>
      <w:r w:rsidR="00D90681">
        <w:rPr>
          <w:lang w:bidi="ar-EG"/>
        </w:rPr>
        <w:t>476</w:t>
      </w:r>
      <w:r w:rsidR="00D90681">
        <w:rPr>
          <w:rFonts w:hint="cs"/>
          <w:rtl/>
          <w:lang w:bidi="ar-EG"/>
        </w:rPr>
        <w:t xml:space="preserve"> من اتفاقية الاتحاد و</w:t>
      </w:r>
      <w:hyperlink r:id="rId13" w:history="1">
        <w:r w:rsidR="00D90681" w:rsidRPr="00AA2F06">
          <w:rPr>
            <w:rStyle w:val="Hyperlink"/>
            <w:rFonts w:hint="cs"/>
            <w:rtl/>
            <w:lang w:bidi="ar-EG"/>
          </w:rPr>
          <w:t>قرار المجلس</w:t>
        </w:r>
        <w:r w:rsidR="00AA2F06" w:rsidRPr="00AA2F06">
          <w:rPr>
            <w:rStyle w:val="Hyperlink"/>
            <w:rFonts w:hint="eastAsia"/>
            <w:rtl/>
            <w:lang w:bidi="ar-EG"/>
          </w:rPr>
          <w:t> </w:t>
        </w:r>
        <w:r w:rsidR="00D90681" w:rsidRPr="00AA2F06">
          <w:rPr>
            <w:rStyle w:val="Hyperlink"/>
            <w:lang w:bidi="ar-EG"/>
          </w:rPr>
          <w:t>925</w:t>
        </w:r>
      </w:hyperlink>
      <w:r w:rsidR="00D90681">
        <w:rPr>
          <w:rFonts w:hint="cs"/>
          <w:rtl/>
          <w:lang w:bidi="ar-EG"/>
        </w:rPr>
        <w:t>.</w:t>
      </w:r>
    </w:p>
    <w:p w14:paraId="6E11A8D3" w14:textId="02C8531F" w:rsidR="0024583F" w:rsidRDefault="0024583F" w:rsidP="00A728CC">
      <w:pPr>
        <w:rPr>
          <w:rtl/>
        </w:rPr>
      </w:pPr>
      <w:r>
        <w:t>2.1</w:t>
      </w:r>
      <w:r>
        <w:tab/>
      </w:r>
      <w:r w:rsidR="005F5DC5">
        <w:rPr>
          <w:rFonts w:hint="cs"/>
          <w:rtl/>
        </w:rPr>
        <w:t>و</w:t>
      </w:r>
      <w:r w:rsidRPr="0024583F">
        <w:rPr>
          <w:rFonts w:hint="cs"/>
          <w:rtl/>
        </w:rPr>
        <w:t>يمنح</w:t>
      </w:r>
      <w:r w:rsidR="005F5DC5">
        <w:rPr>
          <w:rFonts w:hint="cs"/>
          <w:rtl/>
        </w:rPr>
        <w:t xml:space="preserve"> المجلس</w:t>
      </w:r>
      <w:r w:rsidRPr="0024583F">
        <w:rPr>
          <w:rFonts w:hint="cs"/>
          <w:rtl/>
        </w:rPr>
        <w:t xml:space="preserve"> الإعفاء </w:t>
      </w:r>
      <w:r w:rsidR="005F5DC5">
        <w:rPr>
          <w:rFonts w:hint="cs"/>
          <w:rtl/>
        </w:rPr>
        <w:t xml:space="preserve">من رسوم العضوية </w:t>
      </w:r>
      <w:r w:rsidRPr="0024583F">
        <w:rPr>
          <w:rFonts w:hint="cs"/>
          <w:rtl/>
        </w:rPr>
        <w:t>بناءً على تحليل للقطاعات المعنية وتوصية من الأمين العام</w:t>
      </w:r>
      <w:r>
        <w:rPr>
          <w:rFonts w:hint="cs"/>
          <w:rtl/>
        </w:rPr>
        <w:t xml:space="preserve">. </w:t>
      </w:r>
      <w:r w:rsidRPr="0024583F">
        <w:rPr>
          <w:rFonts w:hint="cs"/>
          <w:rtl/>
        </w:rPr>
        <w:t xml:space="preserve">وإذا </w:t>
      </w:r>
      <w:r w:rsidR="00062D30">
        <w:rPr>
          <w:rFonts w:hint="cs"/>
          <w:rtl/>
        </w:rPr>
        <w:t xml:space="preserve">وُوفق </w:t>
      </w:r>
      <w:r w:rsidR="0042012C">
        <w:rPr>
          <w:rFonts w:hint="cs"/>
          <w:rtl/>
        </w:rPr>
        <w:t xml:space="preserve">على </w:t>
      </w:r>
      <w:r w:rsidR="00062D30">
        <w:rPr>
          <w:rFonts w:hint="cs"/>
          <w:rtl/>
        </w:rPr>
        <w:t>الطلبات المقدمة من المنظمات</w:t>
      </w:r>
      <w:r w:rsidRPr="0024583F">
        <w:rPr>
          <w:rFonts w:hint="cs"/>
          <w:rtl/>
        </w:rPr>
        <w:t>، تصبح</w:t>
      </w:r>
      <w:r w:rsidR="00062D30">
        <w:rPr>
          <w:rFonts w:hint="cs"/>
          <w:rtl/>
        </w:rPr>
        <w:t xml:space="preserve"> هذه المنظمات </w:t>
      </w:r>
      <w:r w:rsidR="00062D30" w:rsidRPr="0024583F">
        <w:rPr>
          <w:rFonts w:hint="cs"/>
          <w:rtl/>
        </w:rPr>
        <w:t xml:space="preserve">بموجب </w:t>
      </w:r>
      <w:r w:rsidR="00062D30">
        <w:rPr>
          <w:rFonts w:hint="cs"/>
          <w:rtl/>
        </w:rPr>
        <w:t xml:space="preserve">أحكام </w:t>
      </w:r>
      <w:r w:rsidR="00062D30" w:rsidRPr="0024583F">
        <w:rPr>
          <w:rFonts w:hint="cs"/>
          <w:rtl/>
        </w:rPr>
        <w:t>الرقم</w:t>
      </w:r>
      <w:r w:rsidR="00AA2F06">
        <w:rPr>
          <w:rFonts w:hint="eastAsia"/>
          <w:rtl/>
        </w:rPr>
        <w:t> </w:t>
      </w:r>
      <w:r w:rsidR="00062D30" w:rsidRPr="0024583F">
        <w:t>231</w:t>
      </w:r>
      <w:r w:rsidR="00062D30" w:rsidRPr="0024583F">
        <w:rPr>
          <w:rFonts w:hint="cs"/>
          <w:rtl/>
          <w:lang w:bidi="ar-SY"/>
        </w:rPr>
        <w:t xml:space="preserve"> من </w:t>
      </w:r>
      <w:r w:rsidR="00062D30">
        <w:rPr>
          <w:rFonts w:hint="cs"/>
          <w:rtl/>
          <w:lang w:bidi="ar-SY"/>
        </w:rPr>
        <w:t>اتفاقية الاتحاد</w:t>
      </w:r>
      <w:r w:rsidRPr="0024583F">
        <w:rPr>
          <w:rFonts w:hint="cs"/>
          <w:rtl/>
        </w:rPr>
        <w:t xml:space="preserve"> </w:t>
      </w:r>
      <w:r w:rsidR="00062D30">
        <w:rPr>
          <w:rFonts w:hint="cs"/>
          <w:rtl/>
        </w:rPr>
        <w:t xml:space="preserve">أعضاء </w:t>
      </w:r>
      <w:r w:rsidR="0042012C">
        <w:rPr>
          <w:rFonts w:hint="cs"/>
          <w:rtl/>
        </w:rPr>
        <w:t>في القطاع</w:t>
      </w:r>
      <w:r w:rsidR="00062D30">
        <w:rPr>
          <w:rFonts w:hint="cs"/>
          <w:rtl/>
        </w:rPr>
        <w:t>ات</w:t>
      </w:r>
      <w:r w:rsidR="0042012C">
        <w:rPr>
          <w:rFonts w:hint="cs"/>
          <w:rtl/>
        </w:rPr>
        <w:t xml:space="preserve"> المعني</w:t>
      </w:r>
      <w:r w:rsidR="00062D30">
        <w:rPr>
          <w:rFonts w:hint="cs"/>
          <w:rtl/>
        </w:rPr>
        <w:t>ة</w:t>
      </w:r>
      <w:r w:rsidR="0042012C">
        <w:rPr>
          <w:rFonts w:hint="cs"/>
          <w:rtl/>
        </w:rPr>
        <w:t xml:space="preserve"> أو</w:t>
      </w:r>
      <w:r w:rsidR="00AA2F06">
        <w:rPr>
          <w:rFonts w:hint="eastAsia"/>
          <w:rtl/>
        </w:rPr>
        <w:t> </w:t>
      </w:r>
      <w:r w:rsidR="0042012C">
        <w:rPr>
          <w:rFonts w:hint="cs"/>
          <w:rtl/>
        </w:rPr>
        <w:t>أعضاء منتسبة إليها</w:t>
      </w:r>
      <w:r w:rsidR="00062D30">
        <w:rPr>
          <w:rFonts w:hint="cs"/>
          <w:rtl/>
        </w:rPr>
        <w:t>.</w:t>
      </w:r>
    </w:p>
    <w:p w14:paraId="2659C0D6" w14:textId="07946AA1" w:rsidR="00840B10" w:rsidRDefault="0024583F" w:rsidP="0024583F">
      <w:pPr>
        <w:rPr>
          <w:rtl/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42012C">
        <w:rPr>
          <w:rFonts w:hint="cs"/>
          <w:rtl/>
        </w:rPr>
        <w:t xml:space="preserve">وحالياً، يبلغ عدد المنظمات ذات الصفة الدولية المعفاة من رسوم العضوية </w:t>
      </w:r>
      <w:r w:rsidR="0042012C">
        <w:t>130</w:t>
      </w:r>
      <w:r w:rsidR="00AA2F06">
        <w:rPr>
          <w:rFonts w:hint="eastAsia"/>
          <w:rtl/>
          <w:lang w:bidi="ar-EG"/>
        </w:rPr>
        <w:t> </w:t>
      </w:r>
      <w:r w:rsidR="0042012C">
        <w:rPr>
          <w:rFonts w:hint="cs"/>
          <w:rtl/>
          <w:lang w:bidi="ar-EG"/>
        </w:rPr>
        <w:t xml:space="preserve">منظمة. ويمكن الاطلاع </w:t>
      </w:r>
      <w:hyperlink r:id="rId14" w:history="1">
        <w:r w:rsidR="0042012C" w:rsidRPr="0042012C">
          <w:rPr>
            <w:rStyle w:val="Hyperlink"/>
            <w:rFonts w:hint="cs"/>
            <w:rtl/>
            <w:lang w:bidi="ar-EG"/>
          </w:rPr>
          <w:t>هنا</w:t>
        </w:r>
      </w:hyperlink>
      <w:r w:rsidR="0042012C">
        <w:rPr>
          <w:rFonts w:hint="cs"/>
          <w:rtl/>
          <w:lang w:bidi="ar-EG"/>
        </w:rPr>
        <w:t xml:space="preserve"> على قائمة كاملة بأسمائها.</w:t>
      </w:r>
    </w:p>
    <w:p w14:paraId="4CF8BA5B" w14:textId="1B800BFD" w:rsidR="0024583F" w:rsidRDefault="0024583F" w:rsidP="0024583F">
      <w:r>
        <w:rPr>
          <w:lang w:bidi="ar-EG"/>
        </w:rPr>
        <w:t>4.1</w:t>
      </w:r>
      <w:r>
        <w:rPr>
          <w:lang w:bidi="ar-EG"/>
        </w:rPr>
        <w:tab/>
      </w:r>
      <w:r w:rsidR="00D05CB1">
        <w:rPr>
          <w:rFonts w:hint="cs"/>
          <w:rtl/>
          <w:lang w:bidi="ar-EG"/>
        </w:rPr>
        <w:t>وفي</w:t>
      </w:r>
      <w:r w:rsidRPr="0024583F">
        <w:rPr>
          <w:rFonts w:hint="cs"/>
          <w:rtl/>
          <w:lang w:bidi="ar-SY"/>
        </w:rPr>
        <w:t xml:space="preserve"> القرار </w:t>
      </w:r>
      <w:r w:rsidRPr="0024583F">
        <w:rPr>
          <w:lang w:bidi="ar-EG"/>
        </w:rPr>
        <w:t>187</w:t>
      </w:r>
      <w:r w:rsidR="00AA2F06">
        <w:rPr>
          <w:rFonts w:hint="eastAsia"/>
          <w:rtl/>
          <w:lang w:bidi="ar-SY"/>
        </w:rPr>
        <w:t> </w:t>
      </w:r>
      <w:r w:rsidRPr="0024583F">
        <w:rPr>
          <w:rFonts w:hint="cs"/>
          <w:rtl/>
          <w:lang w:bidi="ar-SY"/>
        </w:rPr>
        <w:t>(بوسان،</w:t>
      </w:r>
      <w:r w:rsidR="00AA2F06">
        <w:rPr>
          <w:rFonts w:hint="eastAsia"/>
          <w:rtl/>
          <w:lang w:bidi="ar-SY"/>
        </w:rPr>
        <w:t> </w:t>
      </w:r>
      <w:r w:rsidRPr="0024583F">
        <w:rPr>
          <w:lang w:bidi="ar-EG"/>
        </w:rPr>
        <w:t>2014</w:t>
      </w:r>
      <w:r w:rsidRPr="0024583F">
        <w:rPr>
          <w:rFonts w:hint="cs"/>
          <w:rtl/>
          <w:lang w:bidi="ar-SY"/>
        </w:rPr>
        <w:t>)</w:t>
      </w:r>
      <w:r w:rsidRPr="0024583F">
        <w:rPr>
          <w:rFonts w:hint="cs"/>
          <w:rtl/>
          <w:lang w:bidi="ar-EG"/>
        </w:rPr>
        <w:t xml:space="preserve"> لمؤتمر المندوبين المفوضين لعام</w:t>
      </w:r>
      <w:r w:rsidR="00AA2F06">
        <w:rPr>
          <w:rFonts w:hint="eastAsia"/>
          <w:rtl/>
          <w:lang w:bidi="ar-EG"/>
        </w:rPr>
        <w:t> </w:t>
      </w:r>
      <w:r w:rsidRPr="0024583F">
        <w:rPr>
          <w:lang w:bidi="ar-EG"/>
        </w:rPr>
        <w:t>2014</w:t>
      </w:r>
      <w:r w:rsidRPr="0024583F">
        <w:rPr>
          <w:rFonts w:hint="cs"/>
          <w:rtl/>
          <w:lang w:bidi="ar-EG"/>
        </w:rPr>
        <w:t>، كل</w:t>
      </w:r>
      <w:r w:rsidR="00D05CB1">
        <w:rPr>
          <w:rFonts w:hint="cs"/>
          <w:rtl/>
          <w:lang w:bidi="ar-EG"/>
        </w:rPr>
        <w:t>َّ</w:t>
      </w:r>
      <w:r w:rsidRPr="0024583F">
        <w:rPr>
          <w:rFonts w:hint="cs"/>
          <w:rtl/>
          <w:lang w:bidi="ar-EG"/>
        </w:rPr>
        <w:t>ف المؤتمر</w:t>
      </w:r>
      <w:r w:rsidRPr="0024583F">
        <w:rPr>
          <w:rFonts w:hint="cs"/>
          <w:rtl/>
          <w:lang w:bidi="ar-SY"/>
        </w:rPr>
        <w:t xml:space="preserve"> المجلس </w:t>
      </w:r>
      <w:r w:rsidRPr="0024583F">
        <w:rPr>
          <w:rFonts w:hint="cs"/>
          <w:rtl/>
        </w:rPr>
        <w:t>"باستعراض الممارسة والمعايير المتعلق</w:t>
      </w:r>
      <w:r w:rsidR="00D05CB1">
        <w:rPr>
          <w:rFonts w:hint="cs"/>
          <w:rtl/>
        </w:rPr>
        <w:t>تين</w:t>
      </w:r>
      <w:r w:rsidRPr="0024583F">
        <w:rPr>
          <w:rFonts w:hint="cs"/>
          <w:rtl/>
        </w:rPr>
        <w:t xml:space="preserve"> بإعفاء الكيانات من رسوم العضوية والقيام، عند اللزوم، بالتغييرات اللازمة لتشديد المعايير من أجل المساعدة في زيادة الوضوح والاتساق والإنصاف بين</w:t>
      </w:r>
      <w:r w:rsidRPr="0024583F">
        <w:rPr>
          <w:rFonts w:hint="eastAsia"/>
          <w:rtl/>
        </w:rPr>
        <w:t> </w:t>
      </w:r>
      <w:r w:rsidRPr="0024583F">
        <w:rPr>
          <w:rFonts w:hint="cs"/>
          <w:rtl/>
        </w:rPr>
        <w:t>الأعضاء الذين يدفعون رسوماً والأعضاء الذين لا يدفعون أي رسوم وتقليص العدد الإجمالي للكيانات</w:t>
      </w:r>
      <w:r w:rsidRPr="0024583F">
        <w:rPr>
          <w:rFonts w:hint="eastAsia"/>
          <w:rtl/>
        </w:rPr>
        <w:t> </w:t>
      </w:r>
      <w:r w:rsidRPr="0024583F">
        <w:rPr>
          <w:rFonts w:hint="cs"/>
          <w:rtl/>
        </w:rPr>
        <w:t>المعفاة".</w:t>
      </w:r>
    </w:p>
    <w:p w14:paraId="6E725E11" w14:textId="57CCED19" w:rsidR="0024583F" w:rsidRDefault="0024583F" w:rsidP="004E0073">
      <w:pPr>
        <w:rPr>
          <w:rtl/>
          <w:lang w:bidi="ar-EG"/>
        </w:rPr>
      </w:pPr>
      <w:r>
        <w:t>5.1</w:t>
      </w:r>
      <w:r>
        <w:rPr>
          <w:rtl/>
        </w:rPr>
        <w:tab/>
      </w:r>
      <w:r w:rsidR="00D05CB1">
        <w:rPr>
          <w:rFonts w:hint="cs"/>
          <w:rtl/>
        </w:rPr>
        <w:t>ووافق المجلس في دورته لعام</w:t>
      </w:r>
      <w:r w:rsidR="00AA2F06">
        <w:rPr>
          <w:rFonts w:hint="eastAsia"/>
          <w:rtl/>
        </w:rPr>
        <w:t> </w:t>
      </w:r>
      <w:r w:rsidR="00D05CB1">
        <w:t>2017</w:t>
      </w:r>
      <w:r w:rsidR="00D05CB1">
        <w:rPr>
          <w:rFonts w:hint="cs"/>
          <w:rtl/>
          <w:lang w:bidi="ar-EG"/>
        </w:rPr>
        <w:t xml:space="preserve"> </w:t>
      </w:r>
      <w:r w:rsidR="000E1DC1">
        <w:rPr>
          <w:rFonts w:hint="cs"/>
          <w:rtl/>
          <w:lang w:bidi="ar-EG"/>
        </w:rPr>
        <w:t xml:space="preserve">على </w:t>
      </w:r>
      <w:r w:rsidR="00C10254">
        <w:rPr>
          <w:rFonts w:hint="cs"/>
          <w:rtl/>
          <w:lang w:bidi="ar-EG"/>
        </w:rPr>
        <w:t xml:space="preserve">نسخة منقَّحة من </w:t>
      </w:r>
      <w:r w:rsidR="000E1DC1">
        <w:rPr>
          <w:rFonts w:hint="cs"/>
          <w:rtl/>
          <w:lang w:bidi="ar-EG"/>
        </w:rPr>
        <w:t xml:space="preserve">معايير الإعفاء، </w:t>
      </w:r>
      <w:r w:rsidR="00824C84">
        <w:rPr>
          <w:rFonts w:hint="cs"/>
          <w:rtl/>
          <w:lang w:bidi="ar-EG"/>
        </w:rPr>
        <w:t>ي</w:t>
      </w:r>
      <w:r w:rsidR="000E1DC1">
        <w:rPr>
          <w:rFonts w:hint="cs"/>
          <w:rtl/>
          <w:lang w:bidi="ar-EG"/>
        </w:rPr>
        <w:t>مكن الاطلاع</w:t>
      </w:r>
      <w:r w:rsidR="00C10254">
        <w:rPr>
          <w:rFonts w:hint="cs"/>
          <w:rtl/>
          <w:lang w:bidi="ar-EG"/>
        </w:rPr>
        <w:t xml:space="preserve"> عليها</w:t>
      </w:r>
      <w:r w:rsidR="000E1DC1">
        <w:rPr>
          <w:rFonts w:hint="cs"/>
          <w:rtl/>
          <w:lang w:bidi="ar-EG"/>
        </w:rPr>
        <w:t xml:space="preserve"> </w:t>
      </w:r>
      <w:hyperlink r:id="rId15" w:history="1">
        <w:r w:rsidR="000E1DC1" w:rsidRPr="00824C84">
          <w:rPr>
            <w:rStyle w:val="Hyperlink"/>
            <w:rFonts w:hint="cs"/>
            <w:rtl/>
            <w:lang w:bidi="ar-EG"/>
          </w:rPr>
          <w:t>هنا</w:t>
        </w:r>
      </w:hyperlink>
      <w:r w:rsidR="00643172">
        <w:rPr>
          <w:rFonts w:hint="cs"/>
          <w:rtl/>
          <w:lang w:bidi="ar-EG"/>
        </w:rPr>
        <w:t>.</w:t>
      </w:r>
      <w:r w:rsidR="00824C84">
        <w:rPr>
          <w:rFonts w:hint="cs"/>
          <w:rtl/>
          <w:lang w:bidi="ar-EG"/>
        </w:rPr>
        <w:t xml:space="preserve"> ومنذ ذلك الحين، استعرض المجلس في كل من دوراته طلبات الإعفاء الجديدة وفقاً لهذه المعايير.</w:t>
      </w:r>
    </w:p>
    <w:p w14:paraId="1032BF80" w14:textId="7483FDF5" w:rsidR="0024583F" w:rsidRPr="00DD664B" w:rsidRDefault="0024583F" w:rsidP="00DD664B">
      <w:pPr>
        <w:rPr>
          <w:b/>
          <w:bCs/>
          <w:rtl/>
          <w:lang w:bidi="ar-EG"/>
        </w:rPr>
      </w:pPr>
      <w:r>
        <w:t>6.1</w:t>
      </w:r>
      <w:r>
        <w:tab/>
      </w:r>
      <w:r w:rsidR="00C272D9">
        <w:rPr>
          <w:rFonts w:hint="cs"/>
          <w:rtl/>
        </w:rPr>
        <w:t>وفي دورة المجلس لعام</w:t>
      </w:r>
      <w:r w:rsidR="00AA2F06">
        <w:rPr>
          <w:rFonts w:hint="eastAsia"/>
          <w:rtl/>
        </w:rPr>
        <w:t> </w:t>
      </w:r>
      <w:r w:rsidR="00C272D9">
        <w:t>2019</w:t>
      </w:r>
      <w:r w:rsidR="00C272D9">
        <w:rPr>
          <w:rFonts w:hint="cs"/>
          <w:rtl/>
          <w:lang w:bidi="ar-EG"/>
        </w:rPr>
        <w:t>، قرر المجلس تطبيق المعايير المنقَّحة على الطلبات الجديدة واستبقاء (</w:t>
      </w:r>
      <w:r w:rsidR="00930133">
        <w:rPr>
          <w:rFonts w:hint="cs"/>
          <w:rtl/>
          <w:lang w:bidi="ar-EG"/>
        </w:rPr>
        <w:t>أي "إعفاء"</w:t>
      </w:r>
      <w:r w:rsidR="00C272D9">
        <w:rPr>
          <w:rFonts w:hint="cs"/>
          <w:rtl/>
          <w:lang w:bidi="ar-EG"/>
        </w:rPr>
        <w:t>) القائمة الحالية لأربع سنوات أخرى كتدبير انتقالي.</w:t>
      </w:r>
      <w:r w:rsidR="0063662F">
        <w:rPr>
          <w:rFonts w:hint="cs"/>
          <w:rtl/>
          <w:lang w:bidi="ar-EG"/>
        </w:rPr>
        <w:t xml:space="preserve"> </w:t>
      </w:r>
      <w:r w:rsidR="00856675">
        <w:rPr>
          <w:rFonts w:hint="cs"/>
          <w:rtl/>
          <w:lang w:bidi="ar-EG"/>
        </w:rPr>
        <w:t>وت</w:t>
      </w:r>
      <w:r w:rsidR="00A66989">
        <w:rPr>
          <w:rFonts w:hint="cs"/>
          <w:rtl/>
          <w:lang w:bidi="ar-EG"/>
        </w:rPr>
        <w:t>واصل</w:t>
      </w:r>
      <w:r w:rsidR="00856675">
        <w:rPr>
          <w:rFonts w:hint="cs"/>
          <w:rtl/>
          <w:lang w:bidi="ar-EG"/>
        </w:rPr>
        <w:t xml:space="preserve"> الأمانة</w:t>
      </w:r>
      <w:r w:rsidR="0063662F">
        <w:rPr>
          <w:rFonts w:hint="cs"/>
          <w:rtl/>
          <w:lang w:bidi="ar-EG"/>
        </w:rPr>
        <w:t xml:space="preserve"> في الأشهر الأخيرة </w:t>
      </w:r>
      <w:r w:rsidR="00856675">
        <w:rPr>
          <w:rFonts w:hint="cs"/>
          <w:rtl/>
          <w:lang w:bidi="ar-EG"/>
        </w:rPr>
        <w:t>الاتصال ب</w:t>
      </w:r>
      <w:r w:rsidR="0063662F">
        <w:rPr>
          <w:rFonts w:hint="cs"/>
          <w:rtl/>
          <w:lang w:bidi="ar-EG"/>
        </w:rPr>
        <w:t>جميع الكيانات المستفيدة حالياً من الإعفاء</w:t>
      </w:r>
      <w:r w:rsidR="00856675">
        <w:rPr>
          <w:rFonts w:hint="cs"/>
          <w:rtl/>
          <w:lang w:bidi="ar-EG"/>
        </w:rPr>
        <w:t>،</w:t>
      </w:r>
      <w:r w:rsidR="0063662F">
        <w:rPr>
          <w:rFonts w:hint="cs"/>
          <w:rtl/>
          <w:lang w:bidi="ar-EG"/>
        </w:rPr>
        <w:t xml:space="preserve"> بغرض تحديث مستندات</w:t>
      </w:r>
      <w:r w:rsidR="00DD664B">
        <w:rPr>
          <w:rFonts w:hint="cs"/>
          <w:rtl/>
          <w:lang w:bidi="ar-EG"/>
        </w:rPr>
        <w:t xml:space="preserve">ها </w:t>
      </w:r>
      <w:r w:rsidR="0063662F">
        <w:rPr>
          <w:rFonts w:hint="cs"/>
          <w:rtl/>
          <w:lang w:bidi="ar-EG"/>
        </w:rPr>
        <w:t xml:space="preserve">وتأكيد مدى رغبتها في </w:t>
      </w:r>
      <w:r w:rsidR="00A66989">
        <w:rPr>
          <w:rFonts w:hint="cs"/>
          <w:rtl/>
          <w:lang w:bidi="ar-EG"/>
        </w:rPr>
        <w:t xml:space="preserve">الإبقاء على </w:t>
      </w:r>
      <w:r w:rsidR="006C4163">
        <w:rPr>
          <w:rFonts w:hint="cs"/>
          <w:rtl/>
          <w:lang w:bidi="ar-EG"/>
        </w:rPr>
        <w:t>عضويتها</w:t>
      </w:r>
      <w:r w:rsidR="0063662F">
        <w:rPr>
          <w:rFonts w:hint="cs"/>
          <w:rtl/>
          <w:lang w:bidi="ar-EG"/>
        </w:rPr>
        <w:t xml:space="preserve"> بهذه الصفة رهناُ بمثلية المعاملة.</w:t>
      </w:r>
      <w:r w:rsidR="00DD664B">
        <w:rPr>
          <w:rFonts w:hint="cs"/>
          <w:rtl/>
          <w:lang w:bidi="ar-EG"/>
        </w:rPr>
        <w:t xml:space="preserve"> وبناءً على ذلك، تستعرض الأمانة حالياً القائمة الكاملة للكيانات المعفاة لتقيِّم مدى استيفاء هذه الكيانات المعايير المنقَّحة</w:t>
      </w:r>
      <w:r w:rsidR="00A058D9">
        <w:rPr>
          <w:rFonts w:hint="cs"/>
          <w:rtl/>
          <w:lang w:bidi="ar-EG"/>
        </w:rPr>
        <w:t>،</w:t>
      </w:r>
      <w:r w:rsidR="00DD664B">
        <w:rPr>
          <w:rFonts w:hint="cs"/>
          <w:rtl/>
          <w:lang w:bidi="ar-EG"/>
        </w:rPr>
        <w:t xml:space="preserve"> بقصد تقديم تقرير كامل عنها إلى المجلس في دورته المقبلة.</w:t>
      </w:r>
    </w:p>
    <w:p w14:paraId="183B03D3" w14:textId="4A9BCDBF" w:rsidR="0024583F" w:rsidRDefault="0024583F" w:rsidP="00DD664B">
      <w:pPr>
        <w:pStyle w:val="Heading1"/>
        <w:rPr>
          <w:rtl/>
        </w:rPr>
      </w:pPr>
      <w:r>
        <w:t>2</w:t>
      </w:r>
      <w:r>
        <w:tab/>
      </w:r>
      <w:r w:rsidR="00824C84">
        <w:rPr>
          <w:rFonts w:hint="cs"/>
          <w:rtl/>
        </w:rPr>
        <w:t xml:space="preserve">الطلبات </w:t>
      </w:r>
      <w:r w:rsidR="00C302DC">
        <w:rPr>
          <w:rFonts w:hint="cs"/>
          <w:rtl/>
        </w:rPr>
        <w:t xml:space="preserve">الجديدة </w:t>
      </w:r>
      <w:r w:rsidR="00A857B7">
        <w:rPr>
          <w:rFonts w:hint="cs"/>
          <w:rtl/>
        </w:rPr>
        <w:t xml:space="preserve">والتوصيات </w:t>
      </w:r>
    </w:p>
    <w:p w14:paraId="6742165A" w14:textId="111385DF" w:rsidR="0024583F" w:rsidRPr="0024583F" w:rsidRDefault="0024583F" w:rsidP="00D34C34">
      <w:pPr>
        <w:spacing w:after="120" w:line="240" w:lineRule="auto"/>
        <w:rPr>
          <w:lang w:bidi="ar-EG"/>
        </w:rPr>
      </w:pPr>
      <w:r>
        <w:t>1.2</w:t>
      </w:r>
      <w:r>
        <w:tab/>
      </w:r>
    </w:p>
    <w:tbl>
      <w:tblPr>
        <w:bidiVisual/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7"/>
        <w:gridCol w:w="2552"/>
        <w:gridCol w:w="2971"/>
      </w:tblGrid>
      <w:tr w:rsidR="0024583F" w14:paraId="3510E6D4" w14:textId="77777777" w:rsidTr="00E21FE7">
        <w:trPr>
          <w:cantSplit/>
          <w:jc w:val="center"/>
        </w:trPr>
        <w:tc>
          <w:tcPr>
            <w:tcW w:w="3267" w:type="dxa"/>
          </w:tcPr>
          <w:p w14:paraId="2B6BE976" w14:textId="536F1D4D" w:rsidR="0024583F" w:rsidRPr="00BB5324" w:rsidRDefault="00A728CC" w:rsidP="00D34C34">
            <w:pPr>
              <w:pStyle w:val="TableHead1"/>
              <w:bidi/>
              <w:spacing w:beforeLines="60" w:before="144" w:afterLines="60" w:after="144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</w:rPr>
              <w:t>المنظمة</w:t>
            </w:r>
          </w:p>
        </w:tc>
        <w:tc>
          <w:tcPr>
            <w:tcW w:w="2552" w:type="dxa"/>
          </w:tcPr>
          <w:p w14:paraId="65E80FA8" w14:textId="2AE630BB" w:rsidR="0024583F" w:rsidRPr="00BB5324" w:rsidRDefault="00A728CC" w:rsidP="00D34C34">
            <w:pPr>
              <w:pStyle w:val="TableHead1"/>
              <w:bidi/>
              <w:spacing w:beforeLines="60" w:before="144" w:afterLines="60" w:after="144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</w:rPr>
              <w:t>القطاع</w:t>
            </w:r>
          </w:p>
        </w:tc>
        <w:tc>
          <w:tcPr>
            <w:tcW w:w="2971" w:type="dxa"/>
          </w:tcPr>
          <w:p w14:paraId="299E32D5" w14:textId="7650641F" w:rsidR="0024583F" w:rsidRPr="00BB5324" w:rsidRDefault="0036689E" w:rsidP="00D34C34">
            <w:pPr>
              <w:pStyle w:val="TableHead1"/>
              <w:bidi/>
              <w:spacing w:beforeLines="60" w:before="144" w:afterLines="60" w:after="144" w:line="26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</w:rPr>
              <w:t>التوصية:</w:t>
            </w:r>
          </w:p>
        </w:tc>
      </w:tr>
      <w:tr w:rsidR="0024583F" w14:paraId="2008EA17" w14:textId="77777777" w:rsidTr="00E21FE7">
        <w:trPr>
          <w:cantSplit/>
          <w:trHeight w:val="1059"/>
          <w:jc w:val="center"/>
        </w:trPr>
        <w:tc>
          <w:tcPr>
            <w:tcW w:w="3267" w:type="dxa"/>
            <w:vAlign w:val="center"/>
          </w:tcPr>
          <w:p w14:paraId="64741780" w14:textId="54BC75B2" w:rsidR="0024583F" w:rsidRPr="00D34C34" w:rsidRDefault="00A857B7" w:rsidP="00D34C34">
            <w:pPr>
              <w:pStyle w:val="Tabletexte"/>
              <w:jc w:val="left"/>
              <w:rPr>
                <w:b/>
                <w:bCs/>
                <w:iCs/>
                <w:lang w:val="fr-FR"/>
              </w:rPr>
            </w:pPr>
            <w:bookmarkStart w:id="1" w:name="lt_pId048"/>
            <w:r w:rsidRPr="00D34C34">
              <w:rPr>
                <w:b/>
                <w:bCs/>
                <w:rtl/>
                <w:lang w:val="fr-FR"/>
              </w:rPr>
              <w:t>منظمة التعاون الرقمي</w:t>
            </w:r>
            <w:r w:rsidRPr="00D34C34">
              <w:rPr>
                <w:b/>
                <w:bCs/>
                <w:iCs/>
                <w:rtl/>
                <w:lang w:val="fr-FR"/>
              </w:rPr>
              <w:t xml:space="preserve"> </w:t>
            </w:r>
            <w:r w:rsidR="00D34C34" w:rsidRPr="00D34C34">
              <w:rPr>
                <w:b/>
                <w:bCs/>
                <w:iCs/>
                <w:lang w:val="fr-FR"/>
              </w:rPr>
              <w:t>(</w:t>
            </w:r>
            <w:r w:rsidR="0024583F" w:rsidRPr="00D34C34">
              <w:rPr>
                <w:b/>
                <w:bCs/>
                <w:iCs/>
                <w:lang w:val="fr-FR"/>
              </w:rPr>
              <w:t>DCO</w:t>
            </w:r>
            <w:bookmarkEnd w:id="1"/>
            <w:r w:rsidR="00D34C34" w:rsidRPr="00D34C34">
              <w:rPr>
                <w:b/>
                <w:bCs/>
                <w:iCs/>
                <w:lang w:val="fr-FR"/>
              </w:rPr>
              <w:t>)</w:t>
            </w:r>
          </w:p>
        </w:tc>
        <w:tc>
          <w:tcPr>
            <w:tcW w:w="2552" w:type="dxa"/>
            <w:vAlign w:val="center"/>
          </w:tcPr>
          <w:p w14:paraId="54B66416" w14:textId="7B7B15BA" w:rsidR="0024583F" w:rsidRPr="00C302DC" w:rsidRDefault="00A857B7" w:rsidP="00E21FE7">
            <w:pPr>
              <w:pStyle w:val="Tabletexte"/>
              <w:jc w:val="center"/>
              <w:rPr>
                <w:sz w:val="22"/>
                <w:szCs w:val="22"/>
                <w:lang w:val="fr-CH"/>
              </w:rPr>
            </w:pPr>
            <w:r w:rsidRPr="00C302DC">
              <w:rPr>
                <w:sz w:val="22"/>
                <w:szCs w:val="22"/>
                <w:rtl/>
                <w:lang w:val="fr-CH"/>
              </w:rPr>
              <w:t>قطاع تنمية الاتصالات بالاتحاد</w:t>
            </w:r>
            <w:r w:rsidR="00E21FE7">
              <w:rPr>
                <w:sz w:val="22"/>
                <w:szCs w:val="22"/>
                <w:rtl/>
                <w:lang w:val="fr-CH"/>
              </w:rPr>
              <w:br/>
            </w:r>
            <w:r w:rsidRPr="00C302DC">
              <w:rPr>
                <w:sz w:val="22"/>
                <w:szCs w:val="22"/>
                <w:lang w:val="fr-CH"/>
              </w:rPr>
              <w:t>(</w:t>
            </w:r>
            <w:bookmarkStart w:id="2" w:name="lt_pId049"/>
            <w:r w:rsidRPr="00C302DC">
              <w:rPr>
                <w:sz w:val="22"/>
                <w:szCs w:val="22"/>
                <w:lang w:val="fr-CH"/>
              </w:rPr>
              <w:t>ITU-D</w:t>
            </w:r>
            <w:bookmarkEnd w:id="2"/>
            <w:r w:rsidRPr="00C302DC">
              <w:rPr>
                <w:sz w:val="22"/>
                <w:szCs w:val="22"/>
                <w:lang w:val="fr-CH"/>
              </w:rPr>
              <w:t>)</w:t>
            </w:r>
          </w:p>
        </w:tc>
        <w:tc>
          <w:tcPr>
            <w:tcW w:w="2971" w:type="dxa"/>
            <w:vAlign w:val="center"/>
          </w:tcPr>
          <w:p w14:paraId="742A90FB" w14:textId="5129C077" w:rsidR="0024583F" w:rsidRPr="00C302DC" w:rsidRDefault="0024583F" w:rsidP="00D34C34">
            <w:pPr>
              <w:pStyle w:val="Tabletexte"/>
              <w:jc w:val="center"/>
              <w:rPr>
                <w:sz w:val="22"/>
                <w:szCs w:val="22"/>
                <w:lang w:val="fr-CH"/>
              </w:rPr>
            </w:pPr>
            <w:r w:rsidRPr="00C302DC">
              <w:rPr>
                <w:sz w:val="22"/>
                <w:szCs w:val="22"/>
                <w:rtl/>
                <w:lang w:val="fr-CH"/>
              </w:rPr>
              <w:t>نعم</w:t>
            </w:r>
          </w:p>
        </w:tc>
      </w:tr>
    </w:tbl>
    <w:p w14:paraId="410A8D48" w14:textId="3BEE5F53" w:rsidR="0026373E" w:rsidRDefault="00D74034" w:rsidP="006D519F">
      <w:pPr>
        <w:spacing w:before="240"/>
        <w:rPr>
          <w:spacing w:val="2"/>
          <w:rtl/>
        </w:rPr>
      </w:pPr>
      <w:r>
        <w:rPr>
          <w:rFonts w:hint="cs"/>
          <w:rtl/>
          <w:lang w:bidi="ar-EG"/>
        </w:rPr>
        <w:t xml:space="preserve">في 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</w:t>
      </w:r>
      <w:r w:rsidR="00A058D9">
        <w:rPr>
          <w:rFonts w:hint="cs"/>
          <w:rtl/>
          <w:lang w:bidi="ar-EG"/>
        </w:rPr>
        <w:t xml:space="preserve">أنشأت سبع دول أعضاء منظمة التعاون الرقمي </w:t>
      </w:r>
      <w:r w:rsidR="00A058D9">
        <w:rPr>
          <w:lang w:bidi="ar-EG"/>
        </w:rPr>
        <w:t>(DCO)</w:t>
      </w:r>
      <w:r w:rsidR="00A058D9">
        <w:rPr>
          <w:rFonts w:hint="cs"/>
          <w:rtl/>
          <w:lang w:bidi="ar-EG"/>
        </w:rPr>
        <w:t xml:space="preserve">، الكائن مقرها </w:t>
      </w:r>
      <w:r w:rsidR="00643172">
        <w:rPr>
          <w:rFonts w:hint="cs"/>
          <w:rtl/>
          <w:lang w:bidi="ar-EG"/>
        </w:rPr>
        <w:t>ب</w:t>
      </w:r>
      <w:r w:rsidR="00A058D9">
        <w:rPr>
          <w:rFonts w:hint="cs"/>
          <w:rtl/>
          <w:lang w:bidi="ar-EG"/>
        </w:rPr>
        <w:t>المملكة العربية السعودي</w:t>
      </w:r>
      <w:r>
        <w:rPr>
          <w:rFonts w:hint="cs"/>
          <w:rtl/>
          <w:lang w:bidi="ar-EG"/>
        </w:rPr>
        <w:t xml:space="preserve">ة، </w:t>
      </w:r>
      <w:r w:rsidR="00A058D9">
        <w:rPr>
          <w:rFonts w:hint="cs"/>
          <w:spacing w:val="2"/>
          <w:rtl/>
        </w:rPr>
        <w:t>بهدف حفز زيادة التعاضد والتعاون فيما بين</w:t>
      </w:r>
      <w:r>
        <w:rPr>
          <w:rFonts w:hint="cs"/>
          <w:spacing w:val="2"/>
          <w:rtl/>
        </w:rPr>
        <w:t xml:space="preserve"> مختلف</w:t>
      </w:r>
      <w:r w:rsidR="00A058D9">
        <w:rPr>
          <w:rFonts w:hint="cs"/>
          <w:spacing w:val="2"/>
          <w:rtl/>
        </w:rPr>
        <w:t xml:space="preserve"> رواد الأعمال</w:t>
      </w:r>
      <w:r>
        <w:rPr>
          <w:rFonts w:hint="cs"/>
          <w:spacing w:val="2"/>
          <w:rtl/>
        </w:rPr>
        <w:t xml:space="preserve">، </w:t>
      </w:r>
      <w:r w:rsidR="00A058D9">
        <w:rPr>
          <w:rFonts w:hint="cs"/>
          <w:spacing w:val="2"/>
          <w:rtl/>
        </w:rPr>
        <w:t>والابتكار، ونمو الشركات، وال</w:t>
      </w:r>
      <w:r>
        <w:rPr>
          <w:rFonts w:hint="cs"/>
          <w:spacing w:val="2"/>
          <w:rtl/>
        </w:rPr>
        <w:t xml:space="preserve">توظيف، في </w:t>
      </w:r>
      <w:r>
        <w:rPr>
          <w:rFonts w:hint="cs"/>
          <w:spacing w:val="2"/>
          <w:rtl/>
          <w:lang w:bidi="ar-EG"/>
        </w:rPr>
        <w:t xml:space="preserve">ظل </w:t>
      </w:r>
      <w:r>
        <w:rPr>
          <w:rFonts w:hint="cs"/>
          <w:spacing w:val="2"/>
          <w:rtl/>
        </w:rPr>
        <w:t xml:space="preserve">اقتصاد رقمي </w:t>
      </w:r>
      <w:r>
        <w:rPr>
          <w:rFonts w:hint="cs"/>
          <w:spacing w:val="2"/>
          <w:rtl/>
          <w:lang w:bidi="ar-EG"/>
        </w:rPr>
        <w:t>مشترك</w:t>
      </w:r>
      <w:r>
        <w:rPr>
          <w:rFonts w:hint="cs"/>
          <w:spacing w:val="2"/>
          <w:rtl/>
        </w:rPr>
        <w:t>. والدول الأعضاء المؤسِّسة للمنظمة هي</w:t>
      </w:r>
      <w:r w:rsidR="00A058D9">
        <w:rPr>
          <w:rFonts w:hint="cs"/>
          <w:spacing w:val="2"/>
          <w:rtl/>
        </w:rPr>
        <w:t xml:space="preserve"> </w:t>
      </w:r>
      <w:r>
        <w:rPr>
          <w:rFonts w:hint="cs"/>
          <w:spacing w:val="2"/>
          <w:rtl/>
        </w:rPr>
        <w:t>البحرين والأردن والكويت ونيجيريا وعُمان وباكستان والمملكة العربية السعودية.</w:t>
      </w:r>
      <w:r w:rsidR="00A058D9">
        <w:rPr>
          <w:rFonts w:hint="cs"/>
          <w:spacing w:val="2"/>
          <w:rtl/>
        </w:rPr>
        <w:t xml:space="preserve"> </w:t>
      </w:r>
      <w:r w:rsidR="00A728CC">
        <w:rPr>
          <w:rFonts w:hint="cs"/>
          <w:spacing w:val="2"/>
          <w:rtl/>
        </w:rPr>
        <w:t xml:space="preserve">وترى الأمانة أن </w:t>
      </w:r>
      <w:r w:rsidR="000202B6">
        <w:rPr>
          <w:rFonts w:hint="cs"/>
          <w:spacing w:val="2"/>
          <w:rtl/>
        </w:rPr>
        <w:t>هذه المنظمة تستوفي</w:t>
      </w:r>
      <w:r w:rsidR="00A728CC">
        <w:rPr>
          <w:rFonts w:hint="cs"/>
          <w:spacing w:val="2"/>
          <w:rtl/>
        </w:rPr>
        <w:t xml:space="preserve"> معايير الإعفاء من </w:t>
      </w:r>
      <w:r w:rsidR="00A728CC">
        <w:rPr>
          <w:rFonts w:hint="cs"/>
          <w:spacing w:val="2"/>
          <w:rtl/>
          <w:lang w:bidi="ar-EG"/>
        </w:rPr>
        <w:t xml:space="preserve">رسوم العضوية </w:t>
      </w:r>
      <w:r w:rsidR="00A728CC">
        <w:rPr>
          <w:rFonts w:hint="cs"/>
          <w:spacing w:val="2"/>
          <w:rtl/>
        </w:rPr>
        <w:t>في قطاع تنمية الاتصالات</w:t>
      </w:r>
      <w:r>
        <w:rPr>
          <w:rFonts w:hint="cs"/>
          <w:spacing w:val="2"/>
          <w:rtl/>
        </w:rPr>
        <w:t xml:space="preserve"> بالاتحاد</w:t>
      </w:r>
      <w:r w:rsidR="00A728CC">
        <w:rPr>
          <w:rFonts w:hint="cs"/>
          <w:spacing w:val="2"/>
          <w:rtl/>
        </w:rPr>
        <w:t>.</w:t>
      </w:r>
    </w:p>
    <w:p w14:paraId="56813485" w14:textId="6BB1F6FD" w:rsidR="00A728CC" w:rsidRDefault="00A728CC" w:rsidP="00D34C34">
      <w:pPr>
        <w:keepNext/>
        <w:spacing w:after="120" w:line="240" w:lineRule="auto"/>
        <w:rPr>
          <w:spacing w:val="2"/>
          <w:rtl/>
        </w:rPr>
      </w:pPr>
      <w:r>
        <w:rPr>
          <w:spacing w:val="2"/>
        </w:rPr>
        <w:lastRenderedPageBreak/>
        <w:t>2.2</w:t>
      </w:r>
      <w:r>
        <w:rPr>
          <w:spacing w:val="2"/>
          <w:rtl/>
        </w:rPr>
        <w:tab/>
      </w:r>
    </w:p>
    <w:tbl>
      <w:tblPr>
        <w:bidiVisual/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5"/>
        <w:gridCol w:w="1985"/>
        <w:gridCol w:w="3395"/>
      </w:tblGrid>
      <w:tr w:rsidR="00A728CC" w14:paraId="12223E99" w14:textId="77777777" w:rsidTr="00BB5324">
        <w:trPr>
          <w:cantSplit/>
          <w:jc w:val="center"/>
        </w:trPr>
        <w:tc>
          <w:tcPr>
            <w:tcW w:w="3835" w:type="dxa"/>
          </w:tcPr>
          <w:p w14:paraId="3E5A83BE" w14:textId="7D99F972" w:rsidR="00A728CC" w:rsidRPr="00BB5324" w:rsidRDefault="00A728CC" w:rsidP="00D34C34">
            <w:pPr>
              <w:pStyle w:val="TableHead1"/>
              <w:keepLines/>
              <w:bidi/>
              <w:spacing w:beforeLines="60" w:before="144" w:afterLines="60" w:after="144" w:line="24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المنظمة</w:t>
            </w:r>
          </w:p>
        </w:tc>
        <w:tc>
          <w:tcPr>
            <w:tcW w:w="1985" w:type="dxa"/>
          </w:tcPr>
          <w:p w14:paraId="317CDBB4" w14:textId="7703D4C8" w:rsidR="00A728CC" w:rsidRPr="00BB5324" w:rsidRDefault="00A728CC" w:rsidP="00D34C34">
            <w:pPr>
              <w:pStyle w:val="TableHead1"/>
              <w:keepLines/>
              <w:bidi/>
              <w:spacing w:beforeLines="60" w:before="144" w:afterLines="60" w:after="144" w:line="24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القطاع</w:t>
            </w:r>
          </w:p>
        </w:tc>
        <w:tc>
          <w:tcPr>
            <w:tcW w:w="3395" w:type="dxa"/>
          </w:tcPr>
          <w:p w14:paraId="4C77270F" w14:textId="2CF0E6F4" w:rsidR="00A728CC" w:rsidRPr="00BB5324" w:rsidRDefault="00A728CC" w:rsidP="00D34C34">
            <w:pPr>
              <w:pStyle w:val="TableHead1"/>
              <w:keepLines/>
              <w:bidi/>
              <w:spacing w:beforeLines="60" w:before="144" w:afterLines="60" w:after="144" w:line="24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bookmarkStart w:id="3" w:name="lt_pId057"/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التوصية</w:t>
            </w:r>
            <w:bookmarkEnd w:id="3"/>
            <w:r w:rsidRPr="00BB5324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:</w:t>
            </w:r>
          </w:p>
        </w:tc>
      </w:tr>
      <w:tr w:rsidR="00A728CC" w14:paraId="375BEE54" w14:textId="77777777" w:rsidTr="00BB5324">
        <w:trPr>
          <w:cantSplit/>
          <w:jc w:val="center"/>
        </w:trPr>
        <w:tc>
          <w:tcPr>
            <w:tcW w:w="3835" w:type="dxa"/>
            <w:vAlign w:val="center"/>
          </w:tcPr>
          <w:p w14:paraId="07755D4A" w14:textId="0D2C0A98" w:rsidR="00A728CC" w:rsidRPr="00D34C34" w:rsidRDefault="00A857B7" w:rsidP="00D34C34">
            <w:pPr>
              <w:pStyle w:val="Tabletexte"/>
              <w:keepNext/>
              <w:rPr>
                <w:b/>
                <w:bCs/>
                <w:color w:val="000000" w:themeColor="text1"/>
                <w:lang w:eastAsia="en-GB"/>
              </w:rPr>
            </w:pPr>
            <w:r w:rsidRPr="00D34C34">
              <w:rPr>
                <w:b/>
                <w:bCs/>
                <w:rtl/>
              </w:rPr>
              <w:t xml:space="preserve">الجمعية الهندية لوضع معايير الاتصالات </w:t>
            </w:r>
            <w:bookmarkStart w:id="4" w:name="lt_pId058"/>
            <w:r w:rsidRPr="00D34C34">
              <w:rPr>
                <w:rStyle w:val="Emphasis"/>
                <w:b/>
                <w:bCs/>
                <w:i w:val="0"/>
                <w:color w:val="000000" w:themeColor="text1"/>
                <w:shd w:val="clear" w:color="auto" w:fill="FFFFFF"/>
              </w:rPr>
              <w:t>(TSDSI)</w:t>
            </w:r>
            <w:bookmarkEnd w:id="4"/>
          </w:p>
        </w:tc>
        <w:tc>
          <w:tcPr>
            <w:tcW w:w="1985" w:type="dxa"/>
            <w:vAlign w:val="center"/>
          </w:tcPr>
          <w:p w14:paraId="3C8891A3" w14:textId="4054BF90" w:rsidR="00A728CC" w:rsidRPr="00C302DC" w:rsidRDefault="00A857B7" w:rsidP="00D34C34">
            <w:pPr>
              <w:pStyle w:val="Tabletexte"/>
              <w:keepNext/>
              <w:jc w:val="center"/>
              <w:rPr>
                <w:sz w:val="22"/>
                <w:szCs w:val="22"/>
              </w:rPr>
            </w:pPr>
            <w:r w:rsidRPr="00C302DC">
              <w:rPr>
                <w:sz w:val="22"/>
                <w:szCs w:val="22"/>
                <w:rtl/>
                <w:lang w:val="fr-CH"/>
              </w:rPr>
              <w:t xml:space="preserve">قطاع الاتصالات الراديوية بالاتحاد </w:t>
            </w:r>
            <w:r w:rsidR="00D34C34" w:rsidRPr="007342B5">
              <w:rPr>
                <w:sz w:val="22"/>
                <w:szCs w:val="22"/>
              </w:rPr>
              <w:br/>
            </w:r>
            <w:r w:rsidRPr="00C302DC">
              <w:rPr>
                <w:sz w:val="22"/>
                <w:szCs w:val="22"/>
              </w:rPr>
              <w:t>(</w:t>
            </w:r>
            <w:r w:rsidRPr="007342B5">
              <w:rPr>
                <w:sz w:val="22"/>
                <w:szCs w:val="22"/>
              </w:rPr>
              <w:t>ITU-</w:t>
            </w:r>
            <w:r w:rsidRPr="00C302DC">
              <w:rPr>
                <w:sz w:val="22"/>
                <w:szCs w:val="22"/>
              </w:rPr>
              <w:t>R</w:t>
            </w:r>
            <w:r w:rsidRPr="007342B5">
              <w:rPr>
                <w:sz w:val="22"/>
                <w:szCs w:val="22"/>
              </w:rPr>
              <w:t>)</w:t>
            </w:r>
          </w:p>
          <w:p w14:paraId="072BA8A0" w14:textId="262825D8" w:rsidR="00A728CC" w:rsidRPr="007342B5" w:rsidRDefault="00A857B7" w:rsidP="00D34C34">
            <w:pPr>
              <w:pStyle w:val="Tabletexte"/>
              <w:keepNext/>
              <w:jc w:val="center"/>
              <w:rPr>
                <w:sz w:val="22"/>
                <w:szCs w:val="22"/>
              </w:rPr>
            </w:pPr>
            <w:r w:rsidRPr="00C302DC">
              <w:rPr>
                <w:sz w:val="22"/>
                <w:szCs w:val="22"/>
                <w:rtl/>
                <w:lang w:val="fr-CH" w:bidi="ar-EG"/>
              </w:rPr>
              <w:t>قطاع تقييس الاتصالات بالاتحاد</w:t>
            </w:r>
            <w:r w:rsidR="00D34C34" w:rsidRPr="007342B5">
              <w:rPr>
                <w:sz w:val="22"/>
                <w:szCs w:val="22"/>
                <w:lang w:bidi="ar-EG"/>
              </w:rPr>
              <w:br/>
            </w:r>
            <w:r w:rsidRPr="00C302DC">
              <w:rPr>
                <w:sz w:val="22"/>
                <w:szCs w:val="22"/>
                <w:lang w:bidi="ar-EG"/>
              </w:rPr>
              <w:t>(</w:t>
            </w:r>
            <w:bookmarkStart w:id="5" w:name="lt_pId060"/>
            <w:r w:rsidRPr="007342B5">
              <w:rPr>
                <w:sz w:val="22"/>
                <w:szCs w:val="22"/>
              </w:rPr>
              <w:t>ITU-T</w:t>
            </w:r>
            <w:bookmarkEnd w:id="5"/>
            <w:r w:rsidRPr="007342B5">
              <w:rPr>
                <w:sz w:val="22"/>
                <w:szCs w:val="22"/>
              </w:rPr>
              <w:t>)</w:t>
            </w:r>
          </w:p>
        </w:tc>
        <w:tc>
          <w:tcPr>
            <w:tcW w:w="3395" w:type="dxa"/>
            <w:vAlign w:val="center"/>
          </w:tcPr>
          <w:p w14:paraId="202B4753" w14:textId="02B926FF" w:rsidR="00A728CC" w:rsidRPr="00C302DC" w:rsidRDefault="00A857B7" w:rsidP="00D34C34">
            <w:pPr>
              <w:pStyle w:val="Tabletexte"/>
              <w:keepNext/>
              <w:jc w:val="center"/>
              <w:rPr>
                <w:sz w:val="22"/>
                <w:szCs w:val="22"/>
                <w:rtl/>
                <w:lang w:bidi="ar-EG"/>
              </w:rPr>
            </w:pPr>
            <w:r w:rsidRPr="00C302DC">
              <w:rPr>
                <w:sz w:val="22"/>
                <w:szCs w:val="22"/>
                <w:rtl/>
                <w:lang w:bidi="ar-EG"/>
              </w:rPr>
              <w:t>يُرجأ النظر في الطلب إلى دورة المجلس المقبلة في إطار استعراض القائمة الكاملة</w:t>
            </w:r>
          </w:p>
        </w:tc>
      </w:tr>
    </w:tbl>
    <w:p w14:paraId="64540D61" w14:textId="609B0386" w:rsidR="00A728CC" w:rsidRDefault="00930133" w:rsidP="00BB5324">
      <w:pPr>
        <w:keepNext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اشتركت دوائر صناعة الاتصالات والمؤسسات الأكاديمية والكيانات البحثية في الهند وحكومة الهند في إنشاء</w:t>
      </w:r>
      <w:r w:rsidR="00EC443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الجمعية الهندية لوضع معايير الاتصالات</w:t>
      </w:r>
      <w:r w:rsidR="00D34C34">
        <w:rPr>
          <w:rFonts w:hint="eastAsia"/>
          <w:rtl/>
          <w:lang w:bidi="ar-EG"/>
        </w:rPr>
        <w:t> </w:t>
      </w:r>
      <w:r>
        <w:rPr>
          <w:lang w:bidi="ar-EG"/>
        </w:rPr>
        <w:t>(TSDSI)</w:t>
      </w:r>
      <w:r>
        <w:rPr>
          <w:rFonts w:hint="cs"/>
          <w:rtl/>
          <w:lang w:bidi="ar-EG"/>
        </w:rPr>
        <w:t xml:space="preserve"> كهيئة مستقلة وكيان غير هادف </w:t>
      </w:r>
      <w:r w:rsidR="00BE1C9A">
        <w:rPr>
          <w:rFonts w:hint="cs"/>
          <w:rtl/>
          <w:lang w:bidi="ar-EG"/>
        </w:rPr>
        <w:t>إلى ا</w:t>
      </w:r>
      <w:r>
        <w:rPr>
          <w:rFonts w:hint="cs"/>
          <w:rtl/>
          <w:lang w:bidi="ar-EG"/>
        </w:rPr>
        <w:t>لربح</w:t>
      </w:r>
      <w:r w:rsidR="00EC443C">
        <w:rPr>
          <w:rFonts w:hint="cs"/>
          <w:rtl/>
          <w:lang w:bidi="ar-EG"/>
        </w:rPr>
        <w:t>، لتقود أنشطة تقييس الاتصالات في الهند وتمثل المصالح الهندية في المنتديات العالمية. وتضم الجمعية بين أعضائها شركات دولية ومؤسسات أكاديمية/بحثية من بلدان عديدة. وقد أبرمت الجمعية اتفاقات شراكة مع عدد من المنظمات العالمية المعنية بوضع المعايير</w:t>
      </w:r>
      <w:r w:rsidR="00D34C34">
        <w:rPr>
          <w:rFonts w:hint="eastAsia"/>
          <w:rtl/>
          <w:lang w:bidi="ar-EG"/>
        </w:rPr>
        <w:t> </w:t>
      </w:r>
      <w:r w:rsidR="00EC443C">
        <w:rPr>
          <w:lang w:bidi="ar-EG"/>
        </w:rPr>
        <w:t>(SDO)</w:t>
      </w:r>
      <w:r w:rsidR="00EC443C">
        <w:rPr>
          <w:rFonts w:hint="cs"/>
          <w:rtl/>
          <w:lang w:bidi="ar-EG"/>
        </w:rPr>
        <w:t xml:space="preserve"> والمنتديات العالمية لتكنولوجيا المعلومات والاتصالات</w:t>
      </w:r>
      <w:r w:rsidR="00D34C34">
        <w:rPr>
          <w:rFonts w:hint="eastAsia"/>
          <w:rtl/>
          <w:lang w:bidi="ar-EG"/>
        </w:rPr>
        <w:t> </w:t>
      </w:r>
      <w:r w:rsidR="00EC443C">
        <w:rPr>
          <w:lang w:bidi="ar-EG"/>
        </w:rPr>
        <w:t>(ICT)</w:t>
      </w:r>
      <w:r w:rsidR="00EC443C">
        <w:rPr>
          <w:rFonts w:hint="cs"/>
          <w:rtl/>
          <w:lang w:bidi="ar-EG"/>
        </w:rPr>
        <w:t xml:space="preserve">، وانضمت إلى عضوية الاتحاد لتسهم في وضع المعايير </w:t>
      </w:r>
      <w:r w:rsidR="00E244AA">
        <w:rPr>
          <w:rFonts w:hint="cs"/>
          <w:rtl/>
          <w:lang w:bidi="ar-EG"/>
        </w:rPr>
        <w:t>دولياً</w:t>
      </w:r>
      <w:r w:rsidR="00EC443C">
        <w:rPr>
          <w:rFonts w:hint="cs"/>
          <w:rtl/>
          <w:lang w:bidi="ar-EG"/>
        </w:rPr>
        <w:t xml:space="preserve">. وهي حالياً عضو منتسب </w:t>
      </w:r>
      <w:r w:rsidR="00F61DAE">
        <w:rPr>
          <w:rFonts w:hint="cs"/>
          <w:rtl/>
          <w:lang w:bidi="ar-EG"/>
        </w:rPr>
        <w:t xml:space="preserve">برسوم </w:t>
      </w:r>
      <w:r w:rsidR="00EC443C">
        <w:rPr>
          <w:rFonts w:hint="cs"/>
          <w:rtl/>
          <w:lang w:bidi="ar-EG"/>
        </w:rPr>
        <w:t>إلى قطاعي الاتصالات الراديوية وتقييس الاتصالات بالاتحاد</w:t>
      </w:r>
      <w:r w:rsidR="0069292B">
        <w:rPr>
          <w:rFonts w:hint="cs"/>
          <w:rtl/>
          <w:lang w:bidi="ar-EG"/>
        </w:rPr>
        <w:t>.</w:t>
      </w:r>
    </w:p>
    <w:p w14:paraId="4D1E76DE" w14:textId="2AC2C2FB" w:rsidR="00F61DAE" w:rsidRDefault="00F61DAE" w:rsidP="002942D8">
      <w:pPr>
        <w:rPr>
          <w:rtl/>
          <w:lang w:bidi="ar-EG"/>
        </w:rPr>
      </w:pPr>
      <w:r>
        <w:rPr>
          <w:rFonts w:hint="cs"/>
          <w:rtl/>
          <w:lang w:bidi="ar-EG"/>
        </w:rPr>
        <w:t>وفي حين أن الجمعية الهندية لوضع معايير الاتصالات نشطة دولياً، بما</w:t>
      </w:r>
      <w:r w:rsidR="00D34C3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في ذلك في الاتحاد، </w:t>
      </w:r>
      <w:r w:rsidR="00BE1C9A">
        <w:rPr>
          <w:rFonts w:hint="cs"/>
          <w:rtl/>
          <w:lang w:bidi="ar-EG"/>
        </w:rPr>
        <w:t>وأنها</w:t>
      </w:r>
      <w:r>
        <w:rPr>
          <w:rFonts w:hint="cs"/>
          <w:rtl/>
          <w:lang w:bidi="ar-EG"/>
        </w:rPr>
        <w:t xml:space="preserve"> تضم أعضاء دوليين،</w:t>
      </w:r>
      <w:r w:rsidR="00BE1C9A">
        <w:rPr>
          <w:rFonts w:hint="cs"/>
          <w:rtl/>
          <w:lang w:bidi="ar-EG"/>
        </w:rPr>
        <w:t xml:space="preserve"> تشكل الشركات الهادفة إلى الربح أساس عضويتها. علاوة على ذلك، فقد أُنشئت الجمعية ككيان وطني، لا كمنظمة دولية-إقليمية. </w:t>
      </w:r>
      <w:r w:rsidR="00643172">
        <w:rPr>
          <w:rFonts w:hint="cs"/>
          <w:rtl/>
          <w:lang w:bidi="ar-EG"/>
        </w:rPr>
        <w:t xml:space="preserve">لذا، </w:t>
      </w:r>
      <w:r w:rsidR="00BE1C9A">
        <w:rPr>
          <w:rFonts w:hint="cs"/>
          <w:rtl/>
          <w:lang w:bidi="ar-EG"/>
        </w:rPr>
        <w:t>توصي الأمانة بإرجاء النظر في هذا الطلب إلى حين مضاهاة القائمة الكاملة للكيانات المعفاة مع المعايير التي نقَّحها المجلس في</w:t>
      </w:r>
      <w:r w:rsidR="00D34C34">
        <w:rPr>
          <w:rFonts w:hint="eastAsia"/>
          <w:rtl/>
          <w:lang w:bidi="ar-EG"/>
        </w:rPr>
        <w:t> </w:t>
      </w:r>
      <w:r w:rsidR="00BE1C9A">
        <w:rPr>
          <w:rFonts w:hint="cs"/>
          <w:rtl/>
          <w:lang w:bidi="ar-EG"/>
        </w:rPr>
        <w:t>عام</w:t>
      </w:r>
      <w:r w:rsidR="00D34C34">
        <w:rPr>
          <w:rFonts w:hint="eastAsia"/>
          <w:rtl/>
          <w:lang w:bidi="ar-EG"/>
        </w:rPr>
        <w:t> </w:t>
      </w:r>
      <w:r w:rsidR="00BE1C9A">
        <w:rPr>
          <w:lang w:bidi="ar-EG"/>
        </w:rPr>
        <w:t>2017</w:t>
      </w:r>
      <w:r w:rsidR="00BE1C9A">
        <w:rPr>
          <w:rFonts w:hint="cs"/>
          <w:rtl/>
          <w:lang w:bidi="ar-EG"/>
        </w:rPr>
        <w:t xml:space="preserve"> لضمان تواؤم المنظمات المماثلة في طبيعتها.</w:t>
      </w:r>
    </w:p>
    <w:p w14:paraId="0CE70A73" w14:textId="11A7A215" w:rsidR="00A728CC" w:rsidRDefault="00A728CC" w:rsidP="00D34C34">
      <w:pPr>
        <w:tabs>
          <w:tab w:val="left" w:pos="464"/>
        </w:tabs>
        <w:spacing w:after="120" w:line="240" w:lineRule="auto"/>
        <w:rPr>
          <w:lang w:bidi="ar-EG"/>
        </w:rPr>
      </w:pPr>
      <w:r>
        <w:rPr>
          <w:lang w:bidi="ar-EG"/>
        </w:rPr>
        <w:t>3.2</w:t>
      </w:r>
      <w:r w:rsidR="00D34C34">
        <w:rPr>
          <w:lang w:bidi="ar-EG"/>
        </w:rPr>
        <w:tab/>
      </w:r>
    </w:p>
    <w:tbl>
      <w:tblPr>
        <w:bidiVisual/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31"/>
        <w:gridCol w:w="1559"/>
        <w:gridCol w:w="3325"/>
      </w:tblGrid>
      <w:tr w:rsidR="00A728CC" w14:paraId="0123C99F" w14:textId="77777777" w:rsidTr="00A728CC">
        <w:trPr>
          <w:cantSplit/>
          <w:jc w:val="center"/>
        </w:trPr>
        <w:tc>
          <w:tcPr>
            <w:tcW w:w="4331" w:type="dxa"/>
          </w:tcPr>
          <w:p w14:paraId="243B9B74" w14:textId="2DA7431E" w:rsidR="00A728CC" w:rsidRPr="003A648C" w:rsidRDefault="00A728CC" w:rsidP="00D34C34">
            <w:pPr>
              <w:pStyle w:val="TableHead1"/>
              <w:keepLines/>
              <w:bidi/>
              <w:spacing w:beforeLines="60" w:before="144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r w:rsidRPr="003A648C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المنظمة</w:t>
            </w:r>
          </w:p>
        </w:tc>
        <w:tc>
          <w:tcPr>
            <w:tcW w:w="1559" w:type="dxa"/>
          </w:tcPr>
          <w:p w14:paraId="1DC77301" w14:textId="5C64BC27" w:rsidR="00A728CC" w:rsidRPr="003A648C" w:rsidRDefault="00A728CC" w:rsidP="00D34C34">
            <w:pPr>
              <w:pStyle w:val="TableHead1"/>
              <w:keepLines/>
              <w:bidi/>
              <w:spacing w:beforeLines="60" w:before="144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r w:rsidRPr="003A648C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</w:t>
            </w:r>
            <w:r w:rsidR="00F61DAE" w:rsidRPr="003A648C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ق</w:t>
            </w:r>
            <w:r w:rsidRPr="003A648C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طاع</w:t>
            </w:r>
          </w:p>
        </w:tc>
        <w:tc>
          <w:tcPr>
            <w:tcW w:w="3325" w:type="dxa"/>
          </w:tcPr>
          <w:p w14:paraId="495C9DF0" w14:textId="2B231D27" w:rsidR="00A728CC" w:rsidRPr="003A648C" w:rsidRDefault="0036689E" w:rsidP="00D34C34">
            <w:pPr>
              <w:pStyle w:val="TableHead1"/>
              <w:keepLines/>
              <w:bidi/>
              <w:spacing w:beforeLines="60" w:before="144" w:after="60" w:line="260" w:lineRule="exact"/>
              <w:rPr>
                <w:rFonts w:ascii="Dubai" w:hAnsi="Dubai" w:cs="Dubai"/>
                <w:b w:val="0"/>
                <w:bCs/>
                <w:sz w:val="22"/>
                <w:szCs w:val="22"/>
                <w:lang w:val="en-US"/>
              </w:rPr>
            </w:pPr>
            <w:r w:rsidRPr="003A648C">
              <w:rPr>
                <w:rFonts w:ascii="Dubai" w:hAnsi="Dubai" w:cs="Dubai"/>
                <w:b w:val="0"/>
                <w:bCs/>
                <w:sz w:val="22"/>
                <w:szCs w:val="22"/>
                <w:rtl/>
                <w:lang w:val="en-US"/>
              </w:rPr>
              <w:t>التوصية:</w:t>
            </w:r>
          </w:p>
        </w:tc>
      </w:tr>
      <w:tr w:rsidR="00A728CC" w14:paraId="3005FE3F" w14:textId="77777777" w:rsidTr="00E55165">
        <w:trPr>
          <w:cantSplit/>
          <w:trHeight w:val="1318"/>
          <w:jc w:val="center"/>
        </w:trPr>
        <w:tc>
          <w:tcPr>
            <w:tcW w:w="4331" w:type="dxa"/>
            <w:vAlign w:val="center"/>
          </w:tcPr>
          <w:p w14:paraId="54FA8C89" w14:textId="37DF7175" w:rsidR="00A728CC" w:rsidRPr="00C302DC" w:rsidRDefault="00A857B7" w:rsidP="00D34C34">
            <w:pPr>
              <w:pStyle w:val="TableText"/>
              <w:keepNext/>
              <w:keepLines/>
              <w:bidi/>
              <w:spacing w:beforeLines="60" w:before="144" w:after="60" w:line="260" w:lineRule="exact"/>
              <w:rPr>
                <w:rFonts w:ascii="Dubai" w:hAnsi="Dubai" w:cs="Dubai"/>
                <w:b/>
                <w:iCs/>
                <w:sz w:val="22"/>
                <w:szCs w:val="22"/>
                <w:lang w:val="en-US"/>
              </w:rPr>
            </w:pPr>
            <w:r w:rsidRPr="00C302DC">
              <w:rPr>
                <w:rFonts w:ascii="Dubai" w:hAnsi="Dubai" w:cs="Dubai"/>
                <w:bCs/>
                <w:i/>
                <w:sz w:val="22"/>
                <w:szCs w:val="22"/>
                <w:rtl/>
                <w:lang w:val="es-ES_tradnl"/>
              </w:rPr>
              <w:t>مختبر إنترنت الأشياء</w:t>
            </w:r>
            <w:r w:rsidRPr="00C302DC">
              <w:rPr>
                <w:rFonts w:ascii="Dubai" w:hAnsi="Dubai" w:cs="Dubai"/>
                <w:b/>
                <w:iCs/>
                <w:sz w:val="22"/>
                <w:szCs w:val="22"/>
                <w:rtl/>
                <w:lang w:val="es-ES_tradnl"/>
              </w:rPr>
              <w:t xml:space="preserve"> </w:t>
            </w:r>
            <w:r w:rsidRPr="00C302DC">
              <w:rPr>
                <w:rFonts w:ascii="Dubai" w:hAnsi="Dubai" w:cs="Dubai"/>
                <w:b/>
                <w:iCs/>
                <w:sz w:val="22"/>
                <w:szCs w:val="22"/>
                <w:lang w:val="en-US"/>
              </w:rPr>
              <w:t>(</w:t>
            </w:r>
            <w:bookmarkStart w:id="6" w:name="lt_pId073"/>
            <w:proofErr w:type="spellStart"/>
            <w:r w:rsidRPr="00C302DC">
              <w:rPr>
                <w:rFonts w:ascii="Dubai" w:hAnsi="Dubai" w:cs="Dubai"/>
                <w:b/>
                <w:iCs/>
                <w:sz w:val="22"/>
                <w:szCs w:val="22"/>
                <w:lang w:val="es-ES_tradnl"/>
              </w:rPr>
              <w:t>IoT</w:t>
            </w:r>
            <w:proofErr w:type="spellEnd"/>
            <w:r w:rsidRPr="00C302DC">
              <w:rPr>
                <w:rFonts w:ascii="Dubai" w:hAnsi="Dubai" w:cs="Dubai"/>
                <w:b/>
                <w:i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C302DC">
              <w:rPr>
                <w:rFonts w:ascii="Dubai" w:hAnsi="Dubai" w:cs="Dubai"/>
                <w:b/>
                <w:iCs/>
                <w:sz w:val="22"/>
                <w:szCs w:val="22"/>
                <w:lang w:val="es-ES_tradnl"/>
              </w:rPr>
              <w:t>Lab</w:t>
            </w:r>
            <w:bookmarkEnd w:id="6"/>
            <w:proofErr w:type="spellEnd"/>
            <w:r w:rsidRPr="00C302DC">
              <w:rPr>
                <w:rFonts w:ascii="Dubai" w:hAnsi="Dubai" w:cs="Dubai"/>
                <w:b/>
                <w:iCs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559" w:type="dxa"/>
            <w:vAlign w:val="center"/>
          </w:tcPr>
          <w:p w14:paraId="2AEE5151" w14:textId="7318E877" w:rsidR="00A728CC" w:rsidRPr="007342B5" w:rsidRDefault="00A857B7" w:rsidP="003A648C">
            <w:pPr>
              <w:pStyle w:val="TableText"/>
              <w:keepNext/>
              <w:keepLines/>
              <w:bidi/>
              <w:spacing w:beforeLines="60" w:before="144" w:after="60" w:line="260" w:lineRule="exact"/>
              <w:jc w:val="center"/>
              <w:rPr>
                <w:rFonts w:ascii="Dubai" w:hAnsi="Dubai" w:cs="Dubai"/>
                <w:sz w:val="22"/>
                <w:szCs w:val="22"/>
                <w:lang w:val="en-US"/>
              </w:rPr>
            </w:pPr>
            <w:r w:rsidRPr="00C302DC">
              <w:rPr>
                <w:rFonts w:ascii="Dubai" w:hAnsi="Dubai" w:cs="Dubai"/>
                <w:sz w:val="22"/>
                <w:szCs w:val="22"/>
                <w:rtl/>
                <w:lang w:val="fr-CH" w:bidi="ar-EG"/>
              </w:rPr>
              <w:t>قطاع تقييس الاتصالات بالاتحاد</w:t>
            </w:r>
            <w:r w:rsidR="003A648C">
              <w:rPr>
                <w:rFonts w:ascii="Dubai" w:hAnsi="Dubai" w:cs="Dubai"/>
                <w:sz w:val="22"/>
                <w:szCs w:val="22"/>
                <w:rtl/>
                <w:lang w:val="fr-CH" w:bidi="ar-EG"/>
              </w:rPr>
              <w:br/>
            </w:r>
            <w:r w:rsidRPr="00C302DC">
              <w:rPr>
                <w:rFonts w:ascii="Dubai" w:hAnsi="Dubai" w:cs="Dubai"/>
                <w:sz w:val="22"/>
                <w:szCs w:val="22"/>
                <w:lang w:val="en-US" w:bidi="ar-EG"/>
              </w:rPr>
              <w:t>(</w:t>
            </w:r>
            <w:r w:rsidRPr="007342B5">
              <w:rPr>
                <w:rFonts w:ascii="Dubai" w:hAnsi="Dubai" w:cs="Dubai"/>
                <w:sz w:val="22"/>
                <w:szCs w:val="22"/>
                <w:lang w:val="en-US"/>
              </w:rPr>
              <w:t>ITU-T)</w:t>
            </w:r>
          </w:p>
        </w:tc>
        <w:tc>
          <w:tcPr>
            <w:tcW w:w="3325" w:type="dxa"/>
            <w:vAlign w:val="center"/>
          </w:tcPr>
          <w:p w14:paraId="3DD1ADD1" w14:textId="29C66C25" w:rsidR="00A728CC" w:rsidRPr="00C302DC" w:rsidRDefault="00A857B7" w:rsidP="00D34C34">
            <w:pPr>
              <w:pStyle w:val="TableText"/>
              <w:keepNext/>
              <w:keepLines/>
              <w:bidi/>
              <w:spacing w:beforeLines="60" w:before="144" w:after="60" w:line="260" w:lineRule="exact"/>
              <w:jc w:val="center"/>
              <w:rPr>
                <w:rFonts w:ascii="Dubai" w:hAnsi="Dubai" w:cs="Dubai"/>
                <w:color w:val="000000" w:themeColor="text1"/>
                <w:sz w:val="22"/>
                <w:szCs w:val="22"/>
                <w:lang w:val="en-US"/>
              </w:rPr>
            </w:pPr>
            <w:r w:rsidRPr="00C302DC">
              <w:rPr>
                <w:rFonts w:ascii="Dubai" w:hAnsi="Dubai" w:cs="Dubai"/>
                <w:sz w:val="22"/>
                <w:szCs w:val="22"/>
                <w:rtl/>
                <w:lang w:bidi="ar-EG"/>
              </w:rPr>
              <w:t>يُرجأ النظر في الطلب إلى دورة المجلس المقبلة في إطار استعراض القائمة الكاملة</w:t>
            </w:r>
          </w:p>
        </w:tc>
      </w:tr>
    </w:tbl>
    <w:p w14:paraId="3F493614" w14:textId="5580828A" w:rsidR="00131D1E" w:rsidRDefault="00131D1E" w:rsidP="003A648C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يشكل </w:t>
      </w:r>
      <w:r w:rsidR="00A728CC">
        <w:rPr>
          <w:spacing w:val="2"/>
          <w:rtl/>
          <w:lang w:bidi="ar-EG"/>
        </w:rPr>
        <w:t>مختبر إنترنت الأشياء</w:t>
      </w:r>
      <w:r>
        <w:rPr>
          <w:rFonts w:hint="cs"/>
          <w:spacing w:val="2"/>
          <w:rtl/>
          <w:lang w:bidi="ar-EG"/>
        </w:rPr>
        <w:t xml:space="preserve">، الكائن </w:t>
      </w:r>
      <w:r w:rsidR="00643172">
        <w:rPr>
          <w:rFonts w:hint="cs"/>
          <w:spacing w:val="2"/>
          <w:rtl/>
          <w:lang w:bidi="ar-EG"/>
        </w:rPr>
        <w:t>ب</w:t>
      </w:r>
      <w:r>
        <w:rPr>
          <w:rFonts w:hint="cs"/>
          <w:spacing w:val="2"/>
          <w:rtl/>
          <w:lang w:bidi="ar-EG"/>
        </w:rPr>
        <w:t>سويسرا،</w:t>
      </w:r>
      <w:r w:rsidR="00A728CC">
        <w:rPr>
          <w:spacing w:val="2"/>
          <w:rtl/>
          <w:lang w:bidi="ar-EG"/>
        </w:rPr>
        <w:t xml:space="preserve"> منصة دولية لخدمات وموارد إنترنت الأشياء </w:t>
      </w:r>
      <w:r w:rsidR="00A728CC">
        <w:rPr>
          <w:spacing w:val="2"/>
          <w:lang w:bidi="ar-EG"/>
        </w:rPr>
        <w:t>(IoT)</w:t>
      </w:r>
      <w:r w:rsidR="005F1C79">
        <w:rPr>
          <w:rFonts w:hint="cs"/>
          <w:spacing w:val="2"/>
          <w:rtl/>
          <w:lang w:bidi="ar-EG"/>
        </w:rPr>
        <w:t xml:space="preserve">، </w:t>
      </w:r>
      <w:r>
        <w:rPr>
          <w:rFonts w:hint="cs"/>
          <w:spacing w:val="2"/>
          <w:rtl/>
          <w:lang w:bidi="ar-EG"/>
        </w:rPr>
        <w:t>ت</w:t>
      </w:r>
      <w:r w:rsidR="00A728CC">
        <w:rPr>
          <w:spacing w:val="2"/>
          <w:rtl/>
          <w:lang w:bidi="ar-EG"/>
        </w:rPr>
        <w:t xml:space="preserve">ضم </w:t>
      </w:r>
      <w:r w:rsidR="002E2C86">
        <w:rPr>
          <w:rFonts w:hint="cs"/>
          <w:spacing w:val="2"/>
          <w:rtl/>
          <w:lang w:bidi="ar-EG"/>
        </w:rPr>
        <w:t>ال</w:t>
      </w:r>
      <w:r>
        <w:rPr>
          <w:rFonts w:hint="cs"/>
          <w:spacing w:val="2"/>
          <w:rtl/>
          <w:lang w:bidi="ar-EG"/>
        </w:rPr>
        <w:t xml:space="preserve">كيانات </w:t>
      </w:r>
      <w:r w:rsidR="002E2C86">
        <w:rPr>
          <w:rFonts w:hint="cs"/>
          <w:spacing w:val="2"/>
          <w:rtl/>
          <w:lang w:bidi="ar-EG"/>
        </w:rPr>
        <w:t>ال</w:t>
      </w:r>
      <w:r>
        <w:rPr>
          <w:rFonts w:hint="cs"/>
          <w:spacing w:val="2"/>
          <w:rtl/>
          <w:lang w:bidi="ar-EG"/>
        </w:rPr>
        <w:t>معنية</w:t>
      </w:r>
      <w:r w:rsidR="00A728CC">
        <w:rPr>
          <w:spacing w:val="2"/>
          <w:rtl/>
          <w:lang w:bidi="ar-EG"/>
        </w:rPr>
        <w:t xml:space="preserve"> بخدمات إنترنت الأشياء</w:t>
      </w:r>
      <w:r>
        <w:rPr>
          <w:rFonts w:hint="cs"/>
          <w:spacing w:val="2"/>
          <w:rtl/>
          <w:lang w:bidi="ar-EG"/>
        </w:rPr>
        <w:t>،</w:t>
      </w:r>
      <w:r w:rsidR="00A728CC">
        <w:rPr>
          <w:spacing w:val="2"/>
          <w:rtl/>
          <w:lang w:bidi="ar-EG"/>
        </w:rPr>
        <w:t xml:space="preserve"> والأمن والخصوصية في إنترنت الأشياء</w:t>
      </w:r>
      <w:r>
        <w:rPr>
          <w:rFonts w:hint="cs"/>
          <w:spacing w:val="2"/>
          <w:rtl/>
          <w:lang w:bidi="ar-EG"/>
        </w:rPr>
        <w:t>،</w:t>
      </w:r>
      <w:r w:rsidR="00A728CC">
        <w:rPr>
          <w:spacing w:val="2"/>
          <w:rtl/>
          <w:lang w:bidi="ar-EG"/>
        </w:rPr>
        <w:t xml:space="preserve"> واختبار هذه التكنولوجيا</w:t>
      </w:r>
      <w:r>
        <w:rPr>
          <w:rFonts w:hint="cs"/>
          <w:spacing w:val="2"/>
          <w:rtl/>
          <w:lang w:bidi="ar-EG"/>
        </w:rPr>
        <w:t>،</w:t>
      </w:r>
      <w:r w:rsidR="00A728CC">
        <w:rPr>
          <w:spacing w:val="2"/>
          <w:rtl/>
          <w:lang w:bidi="ar-EG"/>
        </w:rPr>
        <w:t xml:space="preserve"> ونقلها</w:t>
      </w:r>
      <w:r>
        <w:rPr>
          <w:rFonts w:hint="cs"/>
          <w:spacing w:val="2"/>
          <w:rtl/>
          <w:lang w:bidi="ar-EG"/>
        </w:rPr>
        <w:t xml:space="preserve">، </w:t>
      </w:r>
      <w:r w:rsidR="005F1C79">
        <w:rPr>
          <w:rFonts w:hint="cs"/>
          <w:spacing w:val="2"/>
          <w:rtl/>
          <w:lang w:bidi="ar-EG"/>
        </w:rPr>
        <w:t>و</w:t>
      </w:r>
      <w:r>
        <w:rPr>
          <w:rFonts w:hint="cs"/>
          <w:spacing w:val="2"/>
          <w:rtl/>
          <w:lang w:bidi="ar-EG"/>
        </w:rPr>
        <w:t>أهداف التنمية المستدامة</w:t>
      </w:r>
      <w:r w:rsidR="00D34C34">
        <w:rPr>
          <w:rFonts w:hint="eastAsia"/>
          <w:spacing w:val="2"/>
          <w:rtl/>
          <w:lang w:bidi="ar-EG"/>
        </w:rPr>
        <w:t> </w:t>
      </w:r>
      <w:r>
        <w:rPr>
          <w:spacing w:val="2"/>
          <w:lang w:bidi="ar-EG"/>
        </w:rPr>
        <w:t>(SDC)</w:t>
      </w:r>
      <w:r>
        <w:rPr>
          <w:rFonts w:hint="cs"/>
          <w:spacing w:val="2"/>
          <w:rtl/>
          <w:lang w:bidi="ar-EG"/>
        </w:rPr>
        <w:t xml:space="preserve">، </w:t>
      </w:r>
      <w:r w:rsidR="002E2C86">
        <w:rPr>
          <w:rFonts w:hint="cs"/>
          <w:spacing w:val="2"/>
          <w:rtl/>
          <w:lang w:bidi="ar-EG"/>
        </w:rPr>
        <w:t xml:space="preserve">فضلاً عن </w:t>
      </w:r>
      <w:r>
        <w:rPr>
          <w:rFonts w:hint="cs"/>
          <w:spacing w:val="2"/>
          <w:rtl/>
          <w:lang w:bidi="ar-EG"/>
        </w:rPr>
        <w:t>شبكة ومجتمع إنترنت الأشياء. وقد أرجأت دورة المجلس لعام</w:t>
      </w:r>
      <w:r w:rsidR="00D34C34">
        <w:rPr>
          <w:rFonts w:hint="eastAsia"/>
          <w:spacing w:val="2"/>
          <w:rtl/>
          <w:lang w:bidi="ar-EG"/>
        </w:rPr>
        <w:t> </w:t>
      </w:r>
      <w:r>
        <w:rPr>
          <w:spacing w:val="2"/>
          <w:lang w:bidi="ar-EG"/>
        </w:rPr>
        <w:t>2021</w:t>
      </w:r>
      <w:r>
        <w:rPr>
          <w:rFonts w:hint="cs"/>
          <w:spacing w:val="2"/>
          <w:rtl/>
          <w:lang w:bidi="ar-EG"/>
        </w:rPr>
        <w:t xml:space="preserve"> النظر في هذا الطلب رهناً بمواصلة التشاور </w:t>
      </w:r>
      <w:r w:rsidR="002E2C86">
        <w:rPr>
          <w:rFonts w:hint="cs"/>
          <w:spacing w:val="2"/>
          <w:rtl/>
          <w:lang w:bidi="ar-EG"/>
        </w:rPr>
        <w:t>بشأنه</w:t>
      </w:r>
      <w:r>
        <w:rPr>
          <w:rFonts w:hint="cs"/>
          <w:spacing w:val="2"/>
          <w:rtl/>
          <w:lang w:bidi="ar-EG"/>
        </w:rPr>
        <w:t xml:space="preserve"> ودراسته. وبالنظر إلى</w:t>
      </w:r>
      <w:r w:rsidR="007F1D82">
        <w:rPr>
          <w:rFonts w:hint="cs"/>
          <w:spacing w:val="2"/>
          <w:rtl/>
          <w:lang w:bidi="ar-EG"/>
        </w:rPr>
        <w:t xml:space="preserve"> </w:t>
      </w:r>
      <w:r w:rsidR="00661677">
        <w:rPr>
          <w:rFonts w:hint="cs"/>
          <w:spacing w:val="2"/>
          <w:rtl/>
          <w:lang w:bidi="ar-EG"/>
        </w:rPr>
        <w:t>اختلاط طبيعة أعضاء ا</w:t>
      </w:r>
      <w:r w:rsidR="005F1C79">
        <w:rPr>
          <w:rFonts w:hint="cs"/>
          <w:spacing w:val="2"/>
          <w:rtl/>
          <w:lang w:bidi="ar-EG"/>
        </w:rPr>
        <w:t xml:space="preserve">لمختبر </w:t>
      </w:r>
      <w:r w:rsidR="00661677">
        <w:rPr>
          <w:rFonts w:hint="cs"/>
          <w:spacing w:val="2"/>
          <w:rtl/>
          <w:lang w:bidi="ar-EG"/>
        </w:rPr>
        <w:t>بين</w:t>
      </w:r>
      <w:r w:rsidR="005F1C79">
        <w:rPr>
          <w:rFonts w:hint="cs"/>
          <w:spacing w:val="2"/>
          <w:rtl/>
          <w:lang w:bidi="ar-EG"/>
        </w:rPr>
        <w:t xml:space="preserve"> دوائر </w:t>
      </w:r>
      <w:r w:rsidR="005F56BD">
        <w:rPr>
          <w:rFonts w:hint="cs"/>
          <w:spacing w:val="2"/>
          <w:rtl/>
          <w:lang w:bidi="ar-EG"/>
        </w:rPr>
        <w:t xml:space="preserve">صناعية </w:t>
      </w:r>
      <w:r w:rsidR="005F1C79">
        <w:rPr>
          <w:rFonts w:hint="cs"/>
          <w:spacing w:val="2"/>
          <w:rtl/>
          <w:lang w:bidi="ar-EG"/>
        </w:rPr>
        <w:t xml:space="preserve">ومؤسسات </w:t>
      </w:r>
      <w:r w:rsidR="005F56BD">
        <w:rPr>
          <w:rFonts w:hint="cs"/>
          <w:spacing w:val="2"/>
          <w:rtl/>
          <w:lang w:bidi="ar-EG"/>
        </w:rPr>
        <w:t>أ</w:t>
      </w:r>
      <w:r w:rsidR="005F1C79">
        <w:rPr>
          <w:rFonts w:hint="cs"/>
          <w:spacing w:val="2"/>
          <w:rtl/>
          <w:lang w:bidi="ar-EG"/>
        </w:rPr>
        <w:t>كاديمية،</w:t>
      </w:r>
      <w:r>
        <w:rPr>
          <w:rFonts w:hint="cs"/>
          <w:spacing w:val="2"/>
          <w:rtl/>
          <w:lang w:bidi="ar-EG"/>
        </w:rPr>
        <w:t xml:space="preserve"> توصي الأمانة </w:t>
      </w:r>
      <w:r>
        <w:rPr>
          <w:rFonts w:hint="cs"/>
          <w:rtl/>
          <w:lang w:bidi="ar-EG"/>
        </w:rPr>
        <w:t>بإرجاء النظر في هذا الطلب إلى حين مضاهاة القائمة الكاملة للكيانات المعفاة مع المعايير التي نقَّحها المجلس في عام</w:t>
      </w:r>
      <w:r w:rsidR="00D34C34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لضمان تواؤم المنظمات المماثلة في طبيعتها.</w:t>
      </w:r>
    </w:p>
    <w:p w14:paraId="4030B7AF" w14:textId="699975CD" w:rsidR="00BB7213" w:rsidRDefault="00BB7213" w:rsidP="00D34C34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90D9" w14:textId="77777777" w:rsidR="00291441" w:rsidRDefault="00291441" w:rsidP="006C3242">
      <w:pPr>
        <w:spacing w:before="0" w:line="240" w:lineRule="auto"/>
      </w:pPr>
      <w:r>
        <w:separator/>
      </w:r>
    </w:p>
  </w:endnote>
  <w:endnote w:type="continuationSeparator" w:id="0">
    <w:p w14:paraId="4964A6C9" w14:textId="77777777" w:rsidR="00291441" w:rsidRDefault="002914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CAD9" w14:textId="77D8189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342B5">
      <w:rPr>
        <w:color w:val="F2F2F2" w:themeColor="background1" w:themeShade="F2"/>
        <w:sz w:val="16"/>
        <w:szCs w:val="16"/>
        <w:lang w:val="fr-FR"/>
      </w:rPr>
      <w:fldChar w:fldCharType="begin"/>
    </w:r>
    <w:r w:rsidRPr="007342B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342B5">
      <w:rPr>
        <w:color w:val="F2F2F2" w:themeColor="background1" w:themeShade="F2"/>
        <w:sz w:val="16"/>
        <w:szCs w:val="16"/>
        <w:lang w:val="fr-FR"/>
      </w:rPr>
      <w:fldChar w:fldCharType="separate"/>
    </w:r>
    <w:r w:rsidR="00AA2F06" w:rsidRPr="007342B5">
      <w:rPr>
        <w:noProof/>
        <w:color w:val="F2F2F2" w:themeColor="background1" w:themeShade="F2"/>
        <w:sz w:val="16"/>
        <w:szCs w:val="16"/>
        <w:lang w:val="fr-FR"/>
      </w:rPr>
      <w:t>P:\ARA\SG\CONSEIL\C22\000\039A.docx</w:t>
    </w:r>
    <w:r w:rsidRPr="007342B5">
      <w:rPr>
        <w:color w:val="F2F2F2" w:themeColor="background1" w:themeShade="F2"/>
        <w:sz w:val="16"/>
        <w:szCs w:val="16"/>
      </w:rPr>
      <w:fldChar w:fldCharType="end"/>
    </w:r>
    <w:proofErr w:type="gramStart"/>
    <w:r w:rsidRPr="007342B5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A728CC" w:rsidRPr="007342B5">
      <w:rPr>
        <w:rFonts w:hint="cs"/>
        <w:color w:val="F2F2F2" w:themeColor="background1" w:themeShade="F2"/>
        <w:sz w:val="16"/>
        <w:szCs w:val="16"/>
        <w:rtl/>
        <w:lang w:val="fr-FR"/>
      </w:rPr>
      <w:t>498352</w:t>
    </w:r>
    <w:r w:rsidRPr="007342B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096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40A6" w14:textId="77777777" w:rsidR="00291441" w:rsidRDefault="00291441" w:rsidP="006C3242">
      <w:pPr>
        <w:spacing w:before="0" w:line="240" w:lineRule="auto"/>
      </w:pPr>
      <w:r>
        <w:separator/>
      </w:r>
    </w:p>
  </w:footnote>
  <w:footnote w:type="continuationSeparator" w:id="0">
    <w:p w14:paraId="507C929B" w14:textId="77777777" w:rsidR="00291441" w:rsidRDefault="002914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7BEE" w14:textId="17909C11" w:rsidR="00447F32" w:rsidRPr="00447F32" w:rsidRDefault="007342B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728CC">
          <w:rPr>
            <w:rFonts w:cs="Calibri" w:hint="cs"/>
            <w:noProof/>
            <w:sz w:val="20"/>
            <w:szCs w:val="20"/>
            <w:rtl/>
          </w:rPr>
          <w:t>39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C5"/>
    <w:rsid w:val="000202B6"/>
    <w:rsid w:val="000239B1"/>
    <w:rsid w:val="000332C9"/>
    <w:rsid w:val="00062D30"/>
    <w:rsid w:val="00090574"/>
    <w:rsid w:val="000C1C0E"/>
    <w:rsid w:val="000C548A"/>
    <w:rsid w:val="000E1DC1"/>
    <w:rsid w:val="00131D1E"/>
    <w:rsid w:val="0015650C"/>
    <w:rsid w:val="001C0169"/>
    <w:rsid w:val="001D1D50"/>
    <w:rsid w:val="001D6745"/>
    <w:rsid w:val="001E446E"/>
    <w:rsid w:val="002154EE"/>
    <w:rsid w:val="002276D2"/>
    <w:rsid w:val="0023283D"/>
    <w:rsid w:val="0024583F"/>
    <w:rsid w:val="0026373E"/>
    <w:rsid w:val="002644CA"/>
    <w:rsid w:val="00271C43"/>
    <w:rsid w:val="00290728"/>
    <w:rsid w:val="00291441"/>
    <w:rsid w:val="002942D8"/>
    <w:rsid w:val="002978F4"/>
    <w:rsid w:val="002B028D"/>
    <w:rsid w:val="002B6A01"/>
    <w:rsid w:val="002D53EC"/>
    <w:rsid w:val="002E2C86"/>
    <w:rsid w:val="002E6541"/>
    <w:rsid w:val="002F71D8"/>
    <w:rsid w:val="003320BC"/>
    <w:rsid w:val="0033432F"/>
    <w:rsid w:val="00334924"/>
    <w:rsid w:val="003409BC"/>
    <w:rsid w:val="00357185"/>
    <w:rsid w:val="0036689E"/>
    <w:rsid w:val="003709C6"/>
    <w:rsid w:val="003744C8"/>
    <w:rsid w:val="00376016"/>
    <w:rsid w:val="00383829"/>
    <w:rsid w:val="003A648C"/>
    <w:rsid w:val="003C6B4F"/>
    <w:rsid w:val="003F4B29"/>
    <w:rsid w:val="0042012C"/>
    <w:rsid w:val="0042686F"/>
    <w:rsid w:val="004317D8"/>
    <w:rsid w:val="00434183"/>
    <w:rsid w:val="00443869"/>
    <w:rsid w:val="00447F32"/>
    <w:rsid w:val="00456FAB"/>
    <w:rsid w:val="00464199"/>
    <w:rsid w:val="004E0073"/>
    <w:rsid w:val="004E11DC"/>
    <w:rsid w:val="005409AC"/>
    <w:rsid w:val="0055516A"/>
    <w:rsid w:val="005805EA"/>
    <w:rsid w:val="0058491B"/>
    <w:rsid w:val="00590132"/>
    <w:rsid w:val="00592EA5"/>
    <w:rsid w:val="005A1BCF"/>
    <w:rsid w:val="005A3170"/>
    <w:rsid w:val="005B1652"/>
    <w:rsid w:val="005F1C79"/>
    <w:rsid w:val="005F56BD"/>
    <w:rsid w:val="005F5DC5"/>
    <w:rsid w:val="00614855"/>
    <w:rsid w:val="0063662F"/>
    <w:rsid w:val="00643172"/>
    <w:rsid w:val="006505C5"/>
    <w:rsid w:val="00661677"/>
    <w:rsid w:val="00677396"/>
    <w:rsid w:val="0069200F"/>
    <w:rsid w:val="0069292B"/>
    <w:rsid w:val="006A65CB"/>
    <w:rsid w:val="006A793B"/>
    <w:rsid w:val="006C3242"/>
    <w:rsid w:val="006C4163"/>
    <w:rsid w:val="006C4DDB"/>
    <w:rsid w:val="006C7CC0"/>
    <w:rsid w:val="006D519F"/>
    <w:rsid w:val="006F63F7"/>
    <w:rsid w:val="007025C7"/>
    <w:rsid w:val="00706D7A"/>
    <w:rsid w:val="0072168F"/>
    <w:rsid w:val="00722F0D"/>
    <w:rsid w:val="007342B5"/>
    <w:rsid w:val="0074420E"/>
    <w:rsid w:val="00783E26"/>
    <w:rsid w:val="007C3BC7"/>
    <w:rsid w:val="007C3BCD"/>
    <w:rsid w:val="007D4ACF"/>
    <w:rsid w:val="007F0787"/>
    <w:rsid w:val="007F1D82"/>
    <w:rsid w:val="00810B7B"/>
    <w:rsid w:val="00817C32"/>
    <w:rsid w:val="0082358A"/>
    <w:rsid w:val="008235CD"/>
    <w:rsid w:val="008247DE"/>
    <w:rsid w:val="00824C84"/>
    <w:rsid w:val="0083681D"/>
    <w:rsid w:val="00840B10"/>
    <w:rsid w:val="008513CB"/>
    <w:rsid w:val="00856675"/>
    <w:rsid w:val="00894116"/>
    <w:rsid w:val="008A7F84"/>
    <w:rsid w:val="0091702E"/>
    <w:rsid w:val="00923B0C"/>
    <w:rsid w:val="00930133"/>
    <w:rsid w:val="0094021C"/>
    <w:rsid w:val="00952F86"/>
    <w:rsid w:val="00982B28"/>
    <w:rsid w:val="009B209D"/>
    <w:rsid w:val="009D313F"/>
    <w:rsid w:val="009E15FB"/>
    <w:rsid w:val="00A058D9"/>
    <w:rsid w:val="00A47A5A"/>
    <w:rsid w:val="00A50C69"/>
    <w:rsid w:val="00A6173B"/>
    <w:rsid w:val="00A6683B"/>
    <w:rsid w:val="00A66989"/>
    <w:rsid w:val="00A728CC"/>
    <w:rsid w:val="00A763D7"/>
    <w:rsid w:val="00A857B7"/>
    <w:rsid w:val="00A97F94"/>
    <w:rsid w:val="00AA2F06"/>
    <w:rsid w:val="00B02106"/>
    <w:rsid w:val="00B03099"/>
    <w:rsid w:val="00B05BC8"/>
    <w:rsid w:val="00B64B47"/>
    <w:rsid w:val="00B93EDC"/>
    <w:rsid w:val="00BB5324"/>
    <w:rsid w:val="00BB7213"/>
    <w:rsid w:val="00BE1C9A"/>
    <w:rsid w:val="00C002DE"/>
    <w:rsid w:val="00C10254"/>
    <w:rsid w:val="00C21FEF"/>
    <w:rsid w:val="00C272D9"/>
    <w:rsid w:val="00C27AC0"/>
    <w:rsid w:val="00C302DC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05CB1"/>
    <w:rsid w:val="00D10CCF"/>
    <w:rsid w:val="00D34C34"/>
    <w:rsid w:val="00D74034"/>
    <w:rsid w:val="00D77D0F"/>
    <w:rsid w:val="00D90681"/>
    <w:rsid w:val="00DA1CF0"/>
    <w:rsid w:val="00DC1E02"/>
    <w:rsid w:val="00DC24B4"/>
    <w:rsid w:val="00DC5FB0"/>
    <w:rsid w:val="00DD664B"/>
    <w:rsid w:val="00DF16DC"/>
    <w:rsid w:val="00E10964"/>
    <w:rsid w:val="00E21FE7"/>
    <w:rsid w:val="00E244AA"/>
    <w:rsid w:val="00E45211"/>
    <w:rsid w:val="00E473C5"/>
    <w:rsid w:val="00E55165"/>
    <w:rsid w:val="00E92863"/>
    <w:rsid w:val="00EB5B64"/>
    <w:rsid w:val="00EB796D"/>
    <w:rsid w:val="00EC443C"/>
    <w:rsid w:val="00F058DC"/>
    <w:rsid w:val="00F24FC4"/>
    <w:rsid w:val="00F2676C"/>
    <w:rsid w:val="00F61DA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D977"/>
  <w15:chartTrackingRefBased/>
  <w15:docId w15:val="{6D92C6EB-BF1D-4D32-A88A-2DFD112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TableHead1">
    <w:name w:val="Table_Head"/>
    <w:basedOn w:val="Normal"/>
    <w:rsid w:val="0024583F"/>
    <w:pPr>
      <w:keepNext/>
      <w:tabs>
        <w:tab w:val="left" w:pos="284"/>
        <w:tab w:val="left" w:pos="567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SimSun" w:hAnsi="Times New Roman" w:cs="Times New Roman"/>
      <w:b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24583F"/>
    <w:pPr>
      <w:tabs>
        <w:tab w:val="left" w:pos="284"/>
        <w:tab w:val="left" w:pos="567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14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doc/gs/council/c00/docs/28rev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www.itu.int/hub/membership/our-members/exempted-entit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hub/membership/itu-family/organizations/exempted-entities/exemption-criteria/" TargetMode="External"/><Relationship Id="rId10" Type="http://schemas.openxmlformats.org/officeDocument/2006/relationships/hyperlink" Target="mailto:https://www.itu.int/md/S19-CL-C-0141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doc/gs/council/c00/docs/28rev1.html" TargetMode="External"/><Relationship Id="rId14" Type="http://schemas.openxmlformats.org/officeDocument/2006/relationships/hyperlink" Target="https://www.itu.int/hub/membership/itu-family/organizations/exempted-entiti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Exemptions from fees for organizations of an international character</dc:title>
  <dc:subject>Council 2022</dc:subject>
  <dc:creator>Alnatoor, Ehsan</dc:creator>
  <cp:keywords>C22, C2022, Council-22</cp:keywords>
  <dc:description/>
  <cp:lastModifiedBy>Xue, Kun</cp:lastModifiedBy>
  <cp:revision>2</cp:revision>
  <dcterms:created xsi:type="dcterms:W3CDTF">2022-03-16T11:08:00Z</dcterms:created>
  <dcterms:modified xsi:type="dcterms:W3CDTF">2022-03-16T11:08:00Z</dcterms:modified>
</cp:coreProperties>
</file>