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48362B45" w14:textId="77777777">
        <w:trPr>
          <w:cantSplit/>
        </w:trPr>
        <w:tc>
          <w:tcPr>
            <w:tcW w:w="6912" w:type="dxa"/>
          </w:tcPr>
          <w:p w14:paraId="36311E4E" w14:textId="77777777" w:rsidR="00520F36" w:rsidRPr="0092392D" w:rsidRDefault="00520F36" w:rsidP="001D32F6">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83391C">
              <w:rPr>
                <w:b/>
                <w:bCs/>
                <w:sz w:val="28"/>
                <w:szCs w:val="28"/>
                <w:lang w:val="fr-CH"/>
              </w:rPr>
              <w:t>Genève</w:t>
            </w:r>
            <w:r w:rsidRPr="004D1D50">
              <w:rPr>
                <w:b/>
                <w:bCs/>
                <w:sz w:val="28"/>
                <w:szCs w:val="28"/>
                <w:lang w:val="fr-CH"/>
              </w:rPr>
              <w:t xml:space="preserve">, </w:t>
            </w:r>
            <w:r w:rsidR="0083391C">
              <w:rPr>
                <w:b/>
                <w:bCs/>
                <w:sz w:val="28"/>
                <w:szCs w:val="28"/>
                <w:lang w:val="fr-CH"/>
              </w:rPr>
              <w:t>21</w:t>
            </w:r>
            <w:r w:rsidRPr="004D1D50">
              <w:rPr>
                <w:b/>
                <w:bCs/>
                <w:sz w:val="28"/>
                <w:szCs w:val="28"/>
                <w:lang w:val="fr-CH"/>
              </w:rPr>
              <w:t>-</w:t>
            </w:r>
            <w:r w:rsidR="0083391C">
              <w:rPr>
                <w:b/>
                <w:bCs/>
                <w:sz w:val="28"/>
                <w:szCs w:val="28"/>
                <w:lang w:val="fr-CH"/>
              </w:rPr>
              <w:t>31</w:t>
            </w:r>
            <w:r w:rsidR="00106B19" w:rsidRPr="004D1D50">
              <w:rPr>
                <w:b/>
                <w:bCs/>
                <w:sz w:val="28"/>
                <w:szCs w:val="28"/>
                <w:lang w:val="fr-CH"/>
              </w:rPr>
              <w:t xml:space="preserve"> </w:t>
            </w:r>
            <w:r w:rsidR="0083391C">
              <w:rPr>
                <w:b/>
                <w:bCs/>
                <w:sz w:val="28"/>
                <w:szCs w:val="28"/>
                <w:lang w:val="fr-CH"/>
              </w:rPr>
              <w:t>mars</w:t>
            </w:r>
            <w:r w:rsidRPr="004D1D50">
              <w:rPr>
                <w:b/>
                <w:bCs/>
                <w:sz w:val="28"/>
                <w:szCs w:val="28"/>
                <w:lang w:val="fr-CH"/>
              </w:rPr>
              <w:t xml:space="preserve"> 20</w:t>
            </w:r>
            <w:r w:rsidR="009C353C" w:rsidRPr="004D1D50">
              <w:rPr>
                <w:b/>
                <w:bCs/>
                <w:sz w:val="28"/>
                <w:szCs w:val="28"/>
                <w:lang w:val="fr-CH"/>
              </w:rPr>
              <w:t>2</w:t>
            </w:r>
            <w:r w:rsidR="0083391C">
              <w:rPr>
                <w:b/>
                <w:bCs/>
                <w:sz w:val="28"/>
                <w:szCs w:val="28"/>
                <w:lang w:val="fr-CH"/>
              </w:rPr>
              <w:t>2</w:t>
            </w:r>
          </w:p>
        </w:tc>
        <w:tc>
          <w:tcPr>
            <w:tcW w:w="3261" w:type="dxa"/>
          </w:tcPr>
          <w:p w14:paraId="156469A9" w14:textId="77777777" w:rsidR="00520F36" w:rsidRPr="0092392D" w:rsidRDefault="009C353C" w:rsidP="001D32F6">
            <w:pPr>
              <w:spacing w:before="0"/>
              <w:rPr>
                <w:lang w:val="fr-CH"/>
              </w:rPr>
            </w:pPr>
            <w:bookmarkStart w:id="1" w:name="ditulogo"/>
            <w:bookmarkEnd w:id="1"/>
            <w:r>
              <w:rPr>
                <w:noProof/>
                <w:lang w:val="en-US"/>
              </w:rPr>
              <w:drawing>
                <wp:inline distT="0" distB="0" distL="0" distR="0" wp14:anchorId="697C5A9C" wp14:editId="62AD12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13ECCD56" w14:textId="77777777" w:rsidTr="004515B9">
        <w:trPr>
          <w:cantSplit/>
          <w:trHeight w:val="20"/>
        </w:trPr>
        <w:tc>
          <w:tcPr>
            <w:tcW w:w="6912" w:type="dxa"/>
            <w:tcBorders>
              <w:bottom w:val="single" w:sz="12" w:space="0" w:color="auto"/>
            </w:tcBorders>
            <w:vAlign w:val="center"/>
          </w:tcPr>
          <w:p w14:paraId="6126DCB7" w14:textId="77777777" w:rsidR="00520F36" w:rsidRPr="00361350" w:rsidRDefault="00520F36" w:rsidP="001D32F6">
            <w:pPr>
              <w:spacing w:before="0"/>
              <w:rPr>
                <w:b/>
                <w:bCs/>
                <w:sz w:val="26"/>
                <w:szCs w:val="26"/>
                <w:lang w:val="fr-CH"/>
              </w:rPr>
            </w:pPr>
          </w:p>
        </w:tc>
        <w:tc>
          <w:tcPr>
            <w:tcW w:w="3261" w:type="dxa"/>
            <w:tcBorders>
              <w:bottom w:val="single" w:sz="12" w:space="0" w:color="auto"/>
            </w:tcBorders>
          </w:tcPr>
          <w:p w14:paraId="2AEE52D7" w14:textId="77777777" w:rsidR="00520F36" w:rsidRPr="0092392D" w:rsidRDefault="00520F36" w:rsidP="001D32F6">
            <w:pPr>
              <w:spacing w:before="0"/>
              <w:rPr>
                <w:b/>
                <w:bCs/>
              </w:rPr>
            </w:pPr>
          </w:p>
        </w:tc>
      </w:tr>
      <w:tr w:rsidR="00520F36" w:rsidRPr="0092392D" w14:paraId="62F77FEF" w14:textId="77777777">
        <w:trPr>
          <w:cantSplit/>
          <w:trHeight w:val="20"/>
        </w:trPr>
        <w:tc>
          <w:tcPr>
            <w:tcW w:w="6912" w:type="dxa"/>
            <w:tcBorders>
              <w:top w:val="single" w:sz="12" w:space="0" w:color="auto"/>
            </w:tcBorders>
          </w:tcPr>
          <w:p w14:paraId="7E8E1DCD" w14:textId="77777777" w:rsidR="00520F36" w:rsidRPr="0092392D" w:rsidRDefault="00520F36" w:rsidP="001D32F6">
            <w:pPr>
              <w:spacing w:before="0"/>
              <w:rPr>
                <w:smallCaps/>
                <w:sz w:val="22"/>
                <w:lang w:val="fr-CH"/>
              </w:rPr>
            </w:pPr>
          </w:p>
        </w:tc>
        <w:tc>
          <w:tcPr>
            <w:tcW w:w="3261" w:type="dxa"/>
            <w:tcBorders>
              <w:top w:val="single" w:sz="12" w:space="0" w:color="auto"/>
            </w:tcBorders>
          </w:tcPr>
          <w:p w14:paraId="2D1A3F34" w14:textId="77777777" w:rsidR="00520F36" w:rsidRPr="0092392D" w:rsidRDefault="00520F36" w:rsidP="001D32F6">
            <w:pPr>
              <w:spacing w:before="0"/>
              <w:rPr>
                <w:b/>
                <w:bCs/>
              </w:rPr>
            </w:pPr>
          </w:p>
        </w:tc>
      </w:tr>
      <w:tr w:rsidR="00520F36" w:rsidRPr="0092392D" w14:paraId="732D6529" w14:textId="77777777">
        <w:trPr>
          <w:cantSplit/>
          <w:trHeight w:val="20"/>
        </w:trPr>
        <w:tc>
          <w:tcPr>
            <w:tcW w:w="6912" w:type="dxa"/>
            <w:vMerge w:val="restart"/>
          </w:tcPr>
          <w:p w14:paraId="4BF3F00E" w14:textId="7CE4EB2E" w:rsidR="00520F36" w:rsidRPr="00520F36" w:rsidRDefault="0029041D" w:rsidP="001D32F6">
            <w:pPr>
              <w:spacing w:before="0"/>
              <w:rPr>
                <w:rFonts w:cs="Times"/>
                <w:b/>
                <w:bCs/>
                <w:szCs w:val="24"/>
                <w:lang w:val="fr-CH"/>
              </w:rPr>
            </w:pPr>
            <w:bookmarkStart w:id="2" w:name="dnum" w:colFirst="1" w:colLast="1"/>
            <w:bookmarkStart w:id="3" w:name="dmeeting" w:colFirst="0" w:colLast="0"/>
            <w:r w:rsidRPr="0029041D">
              <w:rPr>
                <w:rFonts w:cs="Times"/>
                <w:b/>
                <w:bCs/>
                <w:szCs w:val="24"/>
              </w:rPr>
              <w:t>Point de l</w:t>
            </w:r>
            <w:r w:rsidR="00E14E13">
              <w:rPr>
                <w:rFonts w:cs="Times"/>
                <w:b/>
                <w:bCs/>
                <w:szCs w:val="24"/>
              </w:rPr>
              <w:t>'</w:t>
            </w:r>
            <w:r w:rsidRPr="0029041D">
              <w:rPr>
                <w:rFonts w:cs="Times"/>
                <w:b/>
                <w:bCs/>
                <w:szCs w:val="24"/>
              </w:rPr>
              <w:t>ordre du jour: ADM 2</w:t>
            </w:r>
            <w:r>
              <w:rPr>
                <w:rFonts w:cs="Times"/>
                <w:b/>
                <w:bCs/>
                <w:szCs w:val="24"/>
              </w:rPr>
              <w:t>1</w:t>
            </w:r>
          </w:p>
        </w:tc>
        <w:tc>
          <w:tcPr>
            <w:tcW w:w="3261" w:type="dxa"/>
          </w:tcPr>
          <w:p w14:paraId="684D2911" w14:textId="1D454F09" w:rsidR="00520F36" w:rsidRPr="00520F36" w:rsidRDefault="00520F36" w:rsidP="001D32F6">
            <w:pPr>
              <w:spacing w:before="0"/>
              <w:rPr>
                <w:b/>
                <w:bCs/>
              </w:rPr>
            </w:pPr>
            <w:r>
              <w:rPr>
                <w:b/>
                <w:bCs/>
              </w:rPr>
              <w:t>Document C</w:t>
            </w:r>
            <w:r w:rsidR="009C353C">
              <w:rPr>
                <w:b/>
                <w:bCs/>
              </w:rPr>
              <w:t>2</w:t>
            </w:r>
            <w:r w:rsidR="0083391C">
              <w:rPr>
                <w:b/>
                <w:bCs/>
              </w:rPr>
              <w:t>2</w:t>
            </w:r>
            <w:r>
              <w:rPr>
                <w:b/>
                <w:bCs/>
              </w:rPr>
              <w:t>/</w:t>
            </w:r>
            <w:r w:rsidR="0029041D">
              <w:rPr>
                <w:b/>
                <w:bCs/>
              </w:rPr>
              <w:t>36</w:t>
            </w:r>
            <w:r>
              <w:rPr>
                <w:b/>
                <w:bCs/>
              </w:rPr>
              <w:t>-F</w:t>
            </w:r>
          </w:p>
        </w:tc>
      </w:tr>
      <w:tr w:rsidR="00520F36" w:rsidRPr="0092392D" w14:paraId="7C030950" w14:textId="77777777">
        <w:trPr>
          <w:cantSplit/>
          <w:trHeight w:val="20"/>
        </w:trPr>
        <w:tc>
          <w:tcPr>
            <w:tcW w:w="6912" w:type="dxa"/>
            <w:vMerge/>
          </w:tcPr>
          <w:p w14:paraId="2F8EDCFE" w14:textId="77777777" w:rsidR="00520F36" w:rsidRPr="0092392D" w:rsidRDefault="00520F36" w:rsidP="001D32F6">
            <w:pPr>
              <w:shd w:val="solid" w:color="FFFFFF" w:fill="FFFFFF"/>
              <w:spacing w:before="180"/>
              <w:rPr>
                <w:smallCaps/>
                <w:lang w:val="fr-CH"/>
              </w:rPr>
            </w:pPr>
            <w:bookmarkStart w:id="4" w:name="ddate" w:colFirst="1" w:colLast="1"/>
            <w:bookmarkEnd w:id="2"/>
            <w:bookmarkEnd w:id="3"/>
          </w:p>
        </w:tc>
        <w:tc>
          <w:tcPr>
            <w:tcW w:w="3261" w:type="dxa"/>
          </w:tcPr>
          <w:p w14:paraId="16C0C2EF" w14:textId="1EF6988B" w:rsidR="00520F36" w:rsidRPr="00520F36" w:rsidRDefault="0029041D" w:rsidP="001D32F6">
            <w:pPr>
              <w:spacing w:before="0"/>
              <w:rPr>
                <w:b/>
                <w:bCs/>
              </w:rPr>
            </w:pPr>
            <w:r>
              <w:rPr>
                <w:b/>
                <w:bCs/>
              </w:rPr>
              <w:t>1</w:t>
            </w:r>
            <w:r w:rsidR="00BB08BB">
              <w:rPr>
                <w:b/>
                <w:bCs/>
              </w:rPr>
              <w:t>8</w:t>
            </w:r>
            <w:r>
              <w:rPr>
                <w:b/>
                <w:bCs/>
              </w:rPr>
              <w:t xml:space="preserve"> février 2022</w:t>
            </w:r>
          </w:p>
        </w:tc>
      </w:tr>
      <w:tr w:rsidR="00520F36" w:rsidRPr="0092392D" w14:paraId="333448C8" w14:textId="77777777">
        <w:trPr>
          <w:cantSplit/>
          <w:trHeight w:val="20"/>
        </w:trPr>
        <w:tc>
          <w:tcPr>
            <w:tcW w:w="6912" w:type="dxa"/>
            <w:vMerge/>
          </w:tcPr>
          <w:p w14:paraId="1B892EA3" w14:textId="77777777" w:rsidR="00520F36" w:rsidRPr="0092392D" w:rsidRDefault="00520F36" w:rsidP="001D32F6">
            <w:pPr>
              <w:shd w:val="solid" w:color="FFFFFF" w:fill="FFFFFF"/>
              <w:spacing w:before="180"/>
              <w:rPr>
                <w:smallCaps/>
                <w:lang w:val="fr-CH"/>
              </w:rPr>
            </w:pPr>
            <w:bookmarkStart w:id="5" w:name="dorlang" w:colFirst="1" w:colLast="1"/>
            <w:bookmarkEnd w:id="4"/>
          </w:p>
        </w:tc>
        <w:tc>
          <w:tcPr>
            <w:tcW w:w="3261" w:type="dxa"/>
          </w:tcPr>
          <w:p w14:paraId="78CEDE55" w14:textId="77777777" w:rsidR="00520F36" w:rsidRPr="00520F36" w:rsidRDefault="00520F36" w:rsidP="001D32F6">
            <w:pPr>
              <w:spacing w:before="0"/>
              <w:rPr>
                <w:b/>
                <w:bCs/>
              </w:rPr>
            </w:pPr>
            <w:r>
              <w:rPr>
                <w:b/>
                <w:bCs/>
              </w:rPr>
              <w:t>Original: anglais</w:t>
            </w:r>
          </w:p>
        </w:tc>
      </w:tr>
      <w:tr w:rsidR="0029041D" w:rsidRPr="0092392D" w14:paraId="5A3CA9BD" w14:textId="77777777">
        <w:trPr>
          <w:cantSplit/>
        </w:trPr>
        <w:tc>
          <w:tcPr>
            <w:tcW w:w="10173" w:type="dxa"/>
            <w:gridSpan w:val="2"/>
          </w:tcPr>
          <w:p w14:paraId="77D8FBB1" w14:textId="57CE148E" w:rsidR="0029041D" w:rsidRPr="0092392D" w:rsidRDefault="0029041D" w:rsidP="001D32F6">
            <w:pPr>
              <w:pStyle w:val="Source"/>
            </w:pPr>
            <w:bookmarkStart w:id="6" w:name="dsource" w:colFirst="0" w:colLast="0"/>
            <w:bookmarkEnd w:id="5"/>
            <w:r w:rsidRPr="00B651E4">
              <w:t>Rapport du Secrétaire général</w:t>
            </w:r>
          </w:p>
        </w:tc>
      </w:tr>
      <w:tr w:rsidR="0029041D" w:rsidRPr="0092392D" w14:paraId="50951B11" w14:textId="77777777">
        <w:trPr>
          <w:cantSplit/>
        </w:trPr>
        <w:tc>
          <w:tcPr>
            <w:tcW w:w="10173" w:type="dxa"/>
            <w:gridSpan w:val="2"/>
          </w:tcPr>
          <w:p w14:paraId="64489BFD" w14:textId="483E7F34" w:rsidR="0029041D" w:rsidRPr="0092392D" w:rsidRDefault="0029041D" w:rsidP="001D32F6">
            <w:pPr>
              <w:pStyle w:val="Title1"/>
            </w:pPr>
            <w:bookmarkStart w:id="7" w:name="dtitle1" w:colFirst="0" w:colLast="0"/>
            <w:bookmarkStart w:id="8" w:name="_Hlk98232886"/>
            <w:bookmarkEnd w:id="6"/>
            <w:r w:rsidRPr="00B651E4">
              <w:t>Rapport d</w:t>
            </w:r>
            <w:r w:rsidR="00E14E13">
              <w:t>'</w:t>
            </w:r>
            <w:r w:rsidRPr="00B651E4">
              <w:t xml:space="preserve">activité sur la mise en œuvre du Plan stratégique pour </w:t>
            </w:r>
            <w:r w:rsidRPr="00B651E4">
              <w:br/>
              <w:t xml:space="preserve">les ressources humaines </w:t>
            </w:r>
            <w:r w:rsidRPr="00B651E4">
              <w:rPr>
                <w:bCs/>
              </w:rPr>
              <w:t xml:space="preserve">et de la Résolution 48 (Rév. Dubaï, 2018) </w:t>
            </w:r>
            <w:r w:rsidRPr="00B651E4">
              <w:rPr>
                <w:bCs/>
              </w:rPr>
              <w:br/>
              <w:t>de la Conférence de plénipotentiaires</w:t>
            </w:r>
            <w:bookmarkEnd w:id="8"/>
          </w:p>
        </w:tc>
      </w:tr>
      <w:bookmarkEnd w:id="7"/>
    </w:tbl>
    <w:p w14:paraId="033C3312" w14:textId="77777777" w:rsidR="00520F36" w:rsidRPr="0092392D" w:rsidRDefault="00520F36" w:rsidP="001D32F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65BA42A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77FEF7D" w14:textId="77777777" w:rsidR="00520F36" w:rsidRPr="0092392D" w:rsidRDefault="00520F36" w:rsidP="001D32F6">
            <w:pPr>
              <w:pStyle w:val="Headingb"/>
              <w:rPr>
                <w:lang w:val="fr-CH"/>
              </w:rPr>
            </w:pPr>
            <w:r w:rsidRPr="0092392D">
              <w:rPr>
                <w:lang w:val="fr-CH"/>
              </w:rPr>
              <w:t>Résumé</w:t>
            </w:r>
          </w:p>
          <w:p w14:paraId="2409146C" w14:textId="2956239E" w:rsidR="0029041D" w:rsidRPr="0029041D" w:rsidRDefault="0029041D" w:rsidP="001D32F6">
            <w:pPr>
              <w:rPr>
                <w:iCs/>
              </w:rPr>
            </w:pPr>
            <w:r w:rsidRPr="0029041D">
              <w:t>À sa session de 2019, le Conseil a approuvé une Stratégie centrée sur le personnel et un Plan stratégique quadriennal pour les ressources humaines (HRSP) pour la période 2020-2023, alignés sur les Plans stratégique et financier de l</w:t>
            </w:r>
            <w:r w:rsidR="00E14E13">
              <w:t>'</w:t>
            </w:r>
            <w:r w:rsidRPr="0029041D">
              <w:t>UIT, afin de répondre aux besoins de l</w:t>
            </w:r>
            <w:r w:rsidR="00E14E13">
              <w:t>'</w:t>
            </w:r>
            <w:r w:rsidRPr="0029041D">
              <w:t>Union, de ses membres et de son personnel.</w:t>
            </w:r>
          </w:p>
          <w:p w14:paraId="42135FDC" w14:textId="3285D45D" w:rsidR="00520F36" w:rsidRPr="009A4F65" w:rsidRDefault="009A4F65" w:rsidP="001D32F6">
            <w:r w:rsidRPr="009A4F65">
              <w:rPr>
                <w:iCs/>
              </w:rPr>
              <w:t>Le présent document rend compte de la mise en</w:t>
            </w:r>
            <w:r>
              <w:rPr>
                <w:iCs/>
              </w:rPr>
              <w:t xml:space="preserve"> œuvre du Plan stratégique pour les ressources humaines pour la période</w:t>
            </w:r>
            <w:r w:rsidR="0029041D" w:rsidRPr="009A4F65">
              <w:rPr>
                <w:iCs/>
              </w:rPr>
              <w:t xml:space="preserve"> 2019-2021.</w:t>
            </w:r>
          </w:p>
          <w:p w14:paraId="7C515668" w14:textId="77777777" w:rsidR="00520F36" w:rsidRPr="0092392D" w:rsidRDefault="00520F36" w:rsidP="001D32F6">
            <w:pPr>
              <w:pStyle w:val="Headingb"/>
              <w:rPr>
                <w:lang w:val="fr-CH"/>
              </w:rPr>
            </w:pPr>
            <w:r w:rsidRPr="0092392D">
              <w:rPr>
                <w:lang w:val="fr-CH"/>
              </w:rPr>
              <w:t>Suite à donner</w:t>
            </w:r>
          </w:p>
          <w:p w14:paraId="576CCBAA" w14:textId="4AC48701" w:rsidR="00520F36" w:rsidRPr="0092392D" w:rsidRDefault="0029041D" w:rsidP="001D32F6">
            <w:pPr>
              <w:rPr>
                <w:lang w:val="fr-CH"/>
              </w:rPr>
            </w:pPr>
            <w:r w:rsidRPr="0029041D">
              <w:t xml:space="preserve">Le Conseil est invité à </w:t>
            </w:r>
            <w:r w:rsidRPr="0029041D">
              <w:rPr>
                <w:b/>
              </w:rPr>
              <w:t>prendre note</w:t>
            </w:r>
            <w:r w:rsidRPr="0029041D">
              <w:t xml:space="preserve"> du rapport sur la mise en œuvre du plan HRSP.</w:t>
            </w:r>
          </w:p>
          <w:p w14:paraId="03CE2A94" w14:textId="77777777" w:rsidR="00520F36" w:rsidRPr="0092392D" w:rsidRDefault="00520F36" w:rsidP="001D32F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17441FDF" w14:textId="77777777" w:rsidR="00520F36" w:rsidRPr="0092392D" w:rsidRDefault="00520F36" w:rsidP="001D32F6">
            <w:pPr>
              <w:pStyle w:val="Headingb"/>
              <w:rPr>
                <w:lang w:val="fr-CH"/>
              </w:rPr>
            </w:pPr>
            <w:r w:rsidRPr="0092392D">
              <w:rPr>
                <w:lang w:val="fr-CH"/>
              </w:rPr>
              <w:t>Références</w:t>
            </w:r>
          </w:p>
          <w:p w14:paraId="073A617A" w14:textId="59F2A131" w:rsidR="00520F36" w:rsidRPr="0092392D" w:rsidRDefault="00BB08BB" w:rsidP="001D32F6">
            <w:pPr>
              <w:spacing w:after="120"/>
              <w:rPr>
                <w:i/>
                <w:iCs/>
                <w:lang w:val="fr-CH"/>
              </w:rPr>
            </w:pPr>
            <w:hyperlink r:id="rId8" w:history="1">
              <w:r w:rsidR="0029041D" w:rsidRPr="001D32F6">
                <w:rPr>
                  <w:rStyle w:val="Hyperlink"/>
                  <w:i/>
                  <w:iCs/>
                </w:rPr>
                <w:t>Résolution 48 (Rév. Dubaï, 2018)</w:t>
              </w:r>
            </w:hyperlink>
            <w:r w:rsidR="0029041D" w:rsidRPr="0029041D">
              <w:rPr>
                <w:i/>
                <w:iCs/>
              </w:rPr>
              <w:t>; Document</w:t>
            </w:r>
            <w:r w:rsidR="0029041D">
              <w:rPr>
                <w:i/>
                <w:iCs/>
              </w:rPr>
              <w:t>s</w:t>
            </w:r>
            <w:r w:rsidR="0029041D" w:rsidRPr="0029041D">
              <w:rPr>
                <w:i/>
                <w:iCs/>
              </w:rPr>
              <w:t xml:space="preserve"> </w:t>
            </w:r>
            <w:hyperlink r:id="rId9" w:history="1">
              <w:r w:rsidR="0029041D" w:rsidRPr="009A4F65">
                <w:rPr>
                  <w:rStyle w:val="Hyperlink"/>
                  <w:i/>
                  <w:iCs/>
                </w:rPr>
                <w:t>C21/54</w:t>
              </w:r>
            </w:hyperlink>
            <w:r w:rsidR="0029041D" w:rsidRPr="009A4F65">
              <w:rPr>
                <w:i/>
                <w:iCs/>
              </w:rPr>
              <w:t xml:space="preserve">; </w:t>
            </w:r>
            <w:hyperlink r:id="rId10" w:history="1">
              <w:r w:rsidR="0029041D" w:rsidRPr="009A4F65">
                <w:rPr>
                  <w:rStyle w:val="Hyperlink"/>
                  <w:i/>
                  <w:iCs/>
                </w:rPr>
                <w:t>C22/INF/6</w:t>
              </w:r>
            </w:hyperlink>
          </w:p>
        </w:tc>
      </w:tr>
    </w:tbl>
    <w:p w14:paraId="359D2AB6" w14:textId="3B12544F" w:rsidR="0029041D" w:rsidRDefault="0029041D" w:rsidP="001D32F6">
      <w:r>
        <w:br w:type="page"/>
      </w:r>
    </w:p>
    <w:p w14:paraId="51FD1168" w14:textId="77777777" w:rsidR="0029041D" w:rsidRPr="00B651E4" w:rsidRDefault="0029041D" w:rsidP="001D32F6">
      <w:pPr>
        <w:pStyle w:val="Title4"/>
      </w:pPr>
      <w:r w:rsidRPr="00B651E4">
        <w:lastRenderedPageBreak/>
        <w:t xml:space="preserve">Rapport sur la mise en œuvre du Plan stratégique </w:t>
      </w:r>
      <w:r w:rsidRPr="00B651E4">
        <w:br/>
        <w:t>pour les ressources humaines</w:t>
      </w:r>
    </w:p>
    <w:p w14:paraId="74919F3D" w14:textId="58E2508A" w:rsidR="0029041D" w:rsidRPr="00B651E4" w:rsidRDefault="0029041D" w:rsidP="001D32F6">
      <w:pPr>
        <w:spacing w:before="360"/>
      </w:pPr>
      <w:r w:rsidRPr="00B651E4">
        <w:t>Le Plan stratégique pour les ressources humaines (HRSP) est fondé sur les Plans stratégique et financier de l</w:t>
      </w:r>
      <w:r w:rsidR="00E14E13">
        <w:t>'</w:t>
      </w:r>
      <w:r w:rsidRPr="00B651E4">
        <w:t>UIT. La stratégie réaffirme que la ressource la plus précieuse de l</w:t>
      </w:r>
      <w:r w:rsidR="00E14E13">
        <w:t>'</w:t>
      </w:r>
      <w:r w:rsidRPr="00B651E4">
        <w:t>UIT tient à son personnel qualifié, motivé et dévoué possédant les plus hautes qualités de compétence et d</w:t>
      </w:r>
      <w:r w:rsidR="00E14E13">
        <w:t>'</w:t>
      </w:r>
      <w:r w:rsidRPr="00B651E4">
        <w:t>intégrité, au sein duquel la diversité géographique est bien représentée et la parité hommes</w:t>
      </w:r>
      <w:r w:rsidRPr="00B651E4">
        <w:noBreakHyphen/>
        <w:t>femmes est respectée, et qui permet à l</w:t>
      </w:r>
      <w:r w:rsidR="00E14E13">
        <w:t>'</w:t>
      </w:r>
      <w:r w:rsidRPr="00B651E4">
        <w:t>UIT d</w:t>
      </w:r>
      <w:r w:rsidR="00E14E13">
        <w:t>'</w:t>
      </w:r>
      <w:r w:rsidRPr="00B651E4">
        <w:t>accomplir sa mission et d</w:t>
      </w:r>
      <w:r w:rsidR="00E14E13">
        <w:t>'</w:t>
      </w:r>
      <w:r w:rsidRPr="00B651E4">
        <w:t>atteindre ses objectifs stratégiques grâce à un engagement en faveur de la gestion des résultats. Elle met également en évidence la nécessité de moderniser les capacités, processus, procédures et outils de l</w:t>
      </w:r>
      <w:r w:rsidR="00E14E13">
        <w:t>'</w:t>
      </w:r>
      <w:r w:rsidRPr="00B651E4">
        <w:t>UIT dans le domaine des ressources humaines, mais aussi d</w:t>
      </w:r>
      <w:r w:rsidR="00E14E13">
        <w:t>'</w:t>
      </w:r>
      <w:r w:rsidRPr="00B651E4">
        <w:t xml:space="preserve">assurer une intégration et une harmonisation avec le régime commun des Nations Unies et les valeurs de la fonction publique internationale. </w:t>
      </w:r>
    </w:p>
    <w:p w14:paraId="1196ECE9" w14:textId="63FEC294" w:rsidR="0029041D" w:rsidRPr="00B651E4" w:rsidRDefault="0029041D" w:rsidP="001D32F6">
      <w:r w:rsidRPr="00B651E4">
        <w:t>Il convient de mentionner que le Plan stratégique de l</w:t>
      </w:r>
      <w:r w:rsidR="00E14E13">
        <w:t>'</w:t>
      </w:r>
      <w:r w:rsidRPr="00B651E4">
        <w:t>UIT pour les ressources humaines est une stratégie continue, qui peut être adaptée selon les besoins, dans l</w:t>
      </w:r>
      <w:r w:rsidR="00E14E13">
        <w:t>'</w:t>
      </w:r>
      <w:r w:rsidRPr="00B651E4">
        <w:t>éventualité où de nouveaux défis ou de nouvelles perspectives se feraient jour.</w:t>
      </w:r>
    </w:p>
    <w:p w14:paraId="660B62F6" w14:textId="7FFEB4AB" w:rsidR="0029041D" w:rsidRPr="00B651E4" w:rsidRDefault="0029041D" w:rsidP="001D32F6">
      <w:r w:rsidRPr="00B651E4">
        <w:t>Un certain nombre d</w:t>
      </w:r>
      <w:r w:rsidR="00E14E13">
        <w:t>'</w:t>
      </w:r>
      <w:r w:rsidRPr="00B651E4">
        <w:t>améliorations ont été apportées sur le plan des processus. De nouvelles politiques ont été mises en place et des politiques existantes ont été actualisées. Le présent rapport rend compte de l</w:t>
      </w:r>
      <w:r w:rsidR="00E14E13">
        <w:t>'</w:t>
      </w:r>
      <w:r w:rsidRPr="00B651E4">
        <w:t>évolution de la situation jusqu</w:t>
      </w:r>
      <w:r w:rsidR="00E14E13">
        <w:t>'</w:t>
      </w:r>
      <w:r w:rsidRPr="00B651E4">
        <w:t xml:space="preserve">à </w:t>
      </w:r>
      <w:r w:rsidR="002F551E">
        <w:t>février 2022</w:t>
      </w:r>
      <w:r w:rsidRPr="00B651E4">
        <w:t>.</w:t>
      </w:r>
    </w:p>
    <w:p w14:paraId="5DE059AC" w14:textId="12507CD4" w:rsidR="0029041D" w:rsidRPr="00B651E4" w:rsidRDefault="0029041D" w:rsidP="001D32F6">
      <w:r w:rsidRPr="00B651E4">
        <w:t>Dans la droite ligne des buts et objectifs liés aux ressources humaines consistant à améliorer la capacité de l</w:t>
      </w:r>
      <w:r w:rsidR="00E14E13">
        <w:t>'</w:t>
      </w:r>
      <w:r w:rsidRPr="00B651E4">
        <w:t>UIT de produire des résultats, des activités ont été menées à bien au regard de quatre piliers: 1) Disposer d</w:t>
      </w:r>
      <w:r w:rsidR="00E14E13">
        <w:t>'</w:t>
      </w:r>
      <w:r w:rsidRPr="00B651E4">
        <w:t>un personnel en adéquation avec les objectifs de l</w:t>
      </w:r>
      <w:r w:rsidR="00E14E13">
        <w:t>'</w:t>
      </w:r>
      <w:r w:rsidRPr="00B651E4">
        <w:t>organisation et intégrant diversité et souplesse (le personnel de l</w:t>
      </w:r>
      <w:r w:rsidR="00E14E13">
        <w:t>'</w:t>
      </w:r>
      <w:r w:rsidRPr="00B651E4">
        <w:t>UIT travaille dans le sens des buts de l</w:t>
      </w:r>
      <w:r w:rsidR="00E14E13">
        <w:t>'</w:t>
      </w:r>
      <w:r w:rsidRPr="00B651E4">
        <w:t>Union); 2) Personnel motivé; 3) Services RH tournés vers l</w:t>
      </w:r>
      <w:r w:rsidR="00E14E13">
        <w:t>'</w:t>
      </w:r>
      <w:r w:rsidRPr="00B651E4">
        <w:t>excellence; et 4) Cadre de travail porteur; les activités ont été mises en œuvre et ont abouti aux résultats décrits dans la colonne F (</w:t>
      </w:r>
      <w:r w:rsidR="002F551E" w:rsidRPr="00B651E4">
        <w:t>jusqu</w:t>
      </w:r>
      <w:r w:rsidR="00E14E13">
        <w:t>'</w:t>
      </w:r>
      <w:r w:rsidR="002F551E" w:rsidRPr="00B651E4">
        <w:t xml:space="preserve">à </w:t>
      </w:r>
      <w:r w:rsidR="002F551E">
        <w:t>février 2022</w:t>
      </w:r>
      <w:r w:rsidRPr="00B651E4">
        <w:t>).</w:t>
      </w:r>
    </w:p>
    <w:p w14:paraId="02DD0151" w14:textId="77777777" w:rsidR="0029041D" w:rsidRPr="00B651E4" w:rsidRDefault="0029041D" w:rsidP="001D32F6"/>
    <w:p w14:paraId="73882E21" w14:textId="77777777" w:rsidR="0029041D" w:rsidRPr="00B651E4" w:rsidRDefault="0029041D" w:rsidP="001D32F6">
      <w:pPr>
        <w:sectPr w:rsidR="0029041D" w:rsidRPr="00B651E4"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pPr>
    </w:p>
    <w:tbl>
      <w:tblPr>
        <w:tblStyle w:val="TableGrid"/>
        <w:tblW w:w="13887" w:type="dxa"/>
        <w:jc w:val="center"/>
        <w:tblLook w:val="04A0" w:firstRow="1" w:lastRow="0" w:firstColumn="1" w:lastColumn="0" w:noHBand="0" w:noVBand="1"/>
      </w:tblPr>
      <w:tblGrid>
        <w:gridCol w:w="495"/>
        <w:gridCol w:w="1300"/>
        <w:gridCol w:w="2127"/>
        <w:gridCol w:w="2425"/>
        <w:gridCol w:w="1591"/>
        <w:gridCol w:w="1555"/>
        <w:gridCol w:w="4394"/>
      </w:tblGrid>
      <w:tr w:rsidR="008F0EA4" w:rsidRPr="00B651E4" w14:paraId="4CC1818F" w14:textId="77777777" w:rsidTr="007F43CA">
        <w:trPr>
          <w:tblHeader/>
          <w:jc w:val="center"/>
        </w:trPr>
        <w:tc>
          <w:tcPr>
            <w:tcW w:w="1795" w:type="dxa"/>
            <w:gridSpan w:val="2"/>
            <w:shd w:val="pct10" w:color="auto" w:fill="auto"/>
          </w:tcPr>
          <w:p w14:paraId="4A5EA08D" w14:textId="77777777" w:rsidR="008F0EA4" w:rsidRPr="00B651E4" w:rsidRDefault="008F0EA4" w:rsidP="001D32F6">
            <w:pPr>
              <w:pStyle w:val="Tablehead"/>
              <w:rPr>
                <w:sz w:val="18"/>
                <w:szCs w:val="18"/>
              </w:rPr>
            </w:pPr>
            <w:r w:rsidRPr="00B651E4">
              <w:rPr>
                <w:sz w:val="18"/>
                <w:szCs w:val="18"/>
              </w:rPr>
              <w:lastRenderedPageBreak/>
              <w:t>A</w:t>
            </w:r>
          </w:p>
        </w:tc>
        <w:tc>
          <w:tcPr>
            <w:tcW w:w="2127" w:type="dxa"/>
            <w:shd w:val="pct10" w:color="auto" w:fill="auto"/>
          </w:tcPr>
          <w:p w14:paraId="2B4215AB" w14:textId="77777777" w:rsidR="008F0EA4" w:rsidRPr="00B651E4" w:rsidRDefault="008F0EA4" w:rsidP="001D32F6">
            <w:pPr>
              <w:pStyle w:val="Tablehead"/>
              <w:rPr>
                <w:sz w:val="18"/>
                <w:szCs w:val="18"/>
              </w:rPr>
            </w:pPr>
            <w:r w:rsidRPr="00B651E4">
              <w:rPr>
                <w:sz w:val="18"/>
                <w:szCs w:val="18"/>
              </w:rPr>
              <w:t>B</w:t>
            </w:r>
          </w:p>
        </w:tc>
        <w:tc>
          <w:tcPr>
            <w:tcW w:w="2425" w:type="dxa"/>
            <w:shd w:val="pct10" w:color="auto" w:fill="auto"/>
          </w:tcPr>
          <w:p w14:paraId="21460FCC" w14:textId="77777777" w:rsidR="008F0EA4" w:rsidRPr="00B651E4" w:rsidRDefault="008F0EA4" w:rsidP="001D32F6">
            <w:pPr>
              <w:pStyle w:val="Tablehead"/>
              <w:rPr>
                <w:sz w:val="18"/>
                <w:szCs w:val="18"/>
              </w:rPr>
            </w:pPr>
            <w:r w:rsidRPr="00B651E4">
              <w:rPr>
                <w:sz w:val="18"/>
                <w:szCs w:val="18"/>
              </w:rPr>
              <w:t>C</w:t>
            </w:r>
          </w:p>
        </w:tc>
        <w:tc>
          <w:tcPr>
            <w:tcW w:w="1591" w:type="dxa"/>
            <w:shd w:val="pct10" w:color="auto" w:fill="auto"/>
          </w:tcPr>
          <w:p w14:paraId="17D8D450" w14:textId="77777777" w:rsidR="008F0EA4" w:rsidRPr="00B651E4" w:rsidRDefault="008F0EA4" w:rsidP="001D32F6">
            <w:pPr>
              <w:pStyle w:val="Tablehead"/>
              <w:rPr>
                <w:sz w:val="18"/>
                <w:szCs w:val="18"/>
              </w:rPr>
            </w:pPr>
            <w:r w:rsidRPr="00B651E4">
              <w:rPr>
                <w:sz w:val="18"/>
                <w:szCs w:val="18"/>
              </w:rPr>
              <w:t>D</w:t>
            </w:r>
          </w:p>
        </w:tc>
        <w:tc>
          <w:tcPr>
            <w:tcW w:w="1555" w:type="dxa"/>
            <w:shd w:val="pct10" w:color="auto" w:fill="auto"/>
          </w:tcPr>
          <w:p w14:paraId="7455B450" w14:textId="77777777" w:rsidR="008F0EA4" w:rsidRPr="00B651E4" w:rsidRDefault="008F0EA4" w:rsidP="001D32F6">
            <w:pPr>
              <w:pStyle w:val="Tablehead"/>
              <w:rPr>
                <w:sz w:val="18"/>
                <w:szCs w:val="18"/>
              </w:rPr>
            </w:pPr>
            <w:r w:rsidRPr="00B651E4">
              <w:rPr>
                <w:sz w:val="18"/>
                <w:szCs w:val="18"/>
              </w:rPr>
              <w:t>E</w:t>
            </w:r>
          </w:p>
        </w:tc>
        <w:tc>
          <w:tcPr>
            <w:tcW w:w="4394" w:type="dxa"/>
            <w:shd w:val="pct10" w:color="auto" w:fill="auto"/>
          </w:tcPr>
          <w:p w14:paraId="24FDAADC" w14:textId="5225AEBF" w:rsidR="008F0EA4" w:rsidRPr="00B651E4" w:rsidRDefault="008F0EA4" w:rsidP="001D32F6">
            <w:pPr>
              <w:pStyle w:val="Tablehead"/>
              <w:rPr>
                <w:sz w:val="18"/>
                <w:szCs w:val="18"/>
              </w:rPr>
            </w:pPr>
            <w:r w:rsidRPr="00B651E4">
              <w:rPr>
                <w:sz w:val="18"/>
                <w:szCs w:val="18"/>
              </w:rPr>
              <w:t>F</w:t>
            </w:r>
          </w:p>
        </w:tc>
      </w:tr>
      <w:tr w:rsidR="008F0EA4" w:rsidRPr="00B651E4" w14:paraId="68D37930" w14:textId="77777777" w:rsidTr="007F43CA">
        <w:trPr>
          <w:tblHeader/>
          <w:jc w:val="center"/>
        </w:trPr>
        <w:tc>
          <w:tcPr>
            <w:tcW w:w="1795" w:type="dxa"/>
            <w:gridSpan w:val="2"/>
            <w:shd w:val="pct10" w:color="auto" w:fill="auto"/>
          </w:tcPr>
          <w:p w14:paraId="36941D25" w14:textId="77777777" w:rsidR="008F0EA4" w:rsidRPr="00B651E4" w:rsidRDefault="008F0EA4" w:rsidP="001D32F6">
            <w:pPr>
              <w:pStyle w:val="Tablehead"/>
              <w:rPr>
                <w:sz w:val="18"/>
                <w:szCs w:val="18"/>
              </w:rPr>
            </w:pPr>
            <w:bookmarkStart w:id="9" w:name="_Hlk41982536"/>
            <w:r w:rsidRPr="00B651E4">
              <w:rPr>
                <w:sz w:val="18"/>
                <w:szCs w:val="18"/>
              </w:rPr>
              <w:t xml:space="preserve">Pilier et </w:t>
            </w:r>
            <w:r w:rsidRPr="00B651E4">
              <w:rPr>
                <w:bCs/>
                <w:sz w:val="18"/>
                <w:szCs w:val="18"/>
              </w:rPr>
              <w:t>élément</w:t>
            </w:r>
            <w:r w:rsidRPr="00B651E4">
              <w:rPr>
                <w:sz w:val="18"/>
                <w:szCs w:val="18"/>
              </w:rPr>
              <w:t xml:space="preserve"> correspondants</w:t>
            </w:r>
          </w:p>
        </w:tc>
        <w:tc>
          <w:tcPr>
            <w:tcW w:w="2127" w:type="dxa"/>
            <w:shd w:val="pct10" w:color="auto" w:fill="auto"/>
          </w:tcPr>
          <w:p w14:paraId="6B2EF83E" w14:textId="77777777" w:rsidR="008F0EA4" w:rsidRPr="00B651E4" w:rsidRDefault="008F0EA4" w:rsidP="001D32F6">
            <w:pPr>
              <w:pStyle w:val="Tablehead"/>
              <w:rPr>
                <w:sz w:val="18"/>
                <w:szCs w:val="18"/>
              </w:rPr>
            </w:pPr>
            <w:r w:rsidRPr="00B651E4">
              <w:rPr>
                <w:sz w:val="18"/>
                <w:szCs w:val="18"/>
              </w:rPr>
              <w:t>Intitulé et activités concrètes (de haut niveau)</w:t>
            </w:r>
          </w:p>
        </w:tc>
        <w:tc>
          <w:tcPr>
            <w:tcW w:w="2425" w:type="dxa"/>
            <w:shd w:val="pct10" w:color="auto" w:fill="auto"/>
          </w:tcPr>
          <w:p w14:paraId="03F660A2" w14:textId="77777777" w:rsidR="008F0EA4" w:rsidRPr="00B651E4" w:rsidRDefault="008F0EA4" w:rsidP="001D32F6">
            <w:pPr>
              <w:pStyle w:val="Tablehead"/>
              <w:rPr>
                <w:sz w:val="18"/>
                <w:szCs w:val="18"/>
              </w:rPr>
            </w:pPr>
            <w:r w:rsidRPr="00B651E4">
              <w:rPr>
                <w:sz w:val="18"/>
                <w:szCs w:val="18"/>
              </w:rPr>
              <w:t>Indicateurs fondamentaux de performance institutionnels</w:t>
            </w:r>
          </w:p>
        </w:tc>
        <w:tc>
          <w:tcPr>
            <w:tcW w:w="1591" w:type="dxa"/>
            <w:shd w:val="pct10" w:color="auto" w:fill="auto"/>
          </w:tcPr>
          <w:p w14:paraId="1DE5CEF1" w14:textId="77777777" w:rsidR="008F0EA4" w:rsidRPr="00B651E4" w:rsidRDefault="008F0EA4" w:rsidP="001D32F6">
            <w:pPr>
              <w:pStyle w:val="Tablehead"/>
              <w:rPr>
                <w:sz w:val="18"/>
                <w:szCs w:val="18"/>
              </w:rPr>
            </w:pPr>
            <w:r w:rsidRPr="00B651E4">
              <w:rPr>
                <w:sz w:val="18"/>
                <w:szCs w:val="18"/>
              </w:rPr>
              <w:t>Unités organisationnelles et partenaires du Département HRMD</w:t>
            </w:r>
          </w:p>
        </w:tc>
        <w:tc>
          <w:tcPr>
            <w:tcW w:w="1555" w:type="dxa"/>
            <w:shd w:val="pct10" w:color="auto" w:fill="auto"/>
          </w:tcPr>
          <w:p w14:paraId="1440ADD9" w14:textId="77777777" w:rsidR="008F0EA4" w:rsidRPr="00B651E4" w:rsidRDefault="008F0EA4" w:rsidP="001D32F6">
            <w:pPr>
              <w:pStyle w:val="Tablehead"/>
              <w:rPr>
                <w:sz w:val="18"/>
                <w:szCs w:val="18"/>
              </w:rPr>
            </w:pPr>
            <w:r w:rsidRPr="00B651E4">
              <w:rPr>
                <w:sz w:val="18"/>
                <w:szCs w:val="18"/>
              </w:rPr>
              <w:t>Échéances</w:t>
            </w:r>
          </w:p>
        </w:tc>
        <w:tc>
          <w:tcPr>
            <w:tcW w:w="4394" w:type="dxa"/>
            <w:shd w:val="pct10" w:color="auto" w:fill="auto"/>
          </w:tcPr>
          <w:p w14:paraId="6E340083" w14:textId="64870AEF" w:rsidR="008F0EA4" w:rsidRPr="00B651E4" w:rsidRDefault="008F0EA4" w:rsidP="001D32F6">
            <w:pPr>
              <w:pStyle w:val="Tablehead"/>
              <w:rPr>
                <w:sz w:val="18"/>
                <w:szCs w:val="18"/>
              </w:rPr>
            </w:pPr>
            <w:r>
              <w:rPr>
                <w:sz w:val="18"/>
                <w:szCs w:val="18"/>
              </w:rPr>
              <w:t>R</w:t>
            </w:r>
            <w:r w:rsidRPr="00B651E4">
              <w:rPr>
                <w:sz w:val="18"/>
                <w:szCs w:val="18"/>
              </w:rPr>
              <w:t>apports (état d</w:t>
            </w:r>
            <w:r w:rsidR="00E14E13">
              <w:rPr>
                <w:sz w:val="18"/>
                <w:szCs w:val="18"/>
              </w:rPr>
              <w:t>'</w:t>
            </w:r>
            <w:r w:rsidRPr="00B651E4">
              <w:rPr>
                <w:sz w:val="18"/>
                <w:szCs w:val="18"/>
              </w:rPr>
              <w:t xml:space="preserve">avancement </w:t>
            </w:r>
            <w:r w:rsidR="004515B9">
              <w:rPr>
                <w:sz w:val="18"/>
                <w:szCs w:val="18"/>
              </w:rPr>
              <w:t>en</w:t>
            </w:r>
            <w:r w:rsidR="00BE1098">
              <w:rPr>
                <w:sz w:val="18"/>
                <w:szCs w:val="18"/>
              </w:rPr>
              <w:t xml:space="preserve"> </w:t>
            </w:r>
            <w:r>
              <w:rPr>
                <w:sz w:val="18"/>
                <w:szCs w:val="18"/>
              </w:rPr>
              <w:t>février</w:t>
            </w:r>
            <w:r w:rsidR="009A4F65">
              <w:rPr>
                <w:sz w:val="18"/>
                <w:szCs w:val="18"/>
              </w:rPr>
              <w:t xml:space="preserve"> </w:t>
            </w:r>
            <w:r w:rsidRPr="00B651E4">
              <w:rPr>
                <w:sz w:val="18"/>
                <w:szCs w:val="18"/>
              </w:rPr>
              <w:t>202</w:t>
            </w:r>
            <w:r>
              <w:rPr>
                <w:sz w:val="18"/>
                <w:szCs w:val="18"/>
              </w:rPr>
              <w:t>2</w:t>
            </w:r>
            <w:r w:rsidRPr="00B651E4">
              <w:rPr>
                <w:sz w:val="18"/>
                <w:szCs w:val="18"/>
              </w:rPr>
              <w:t>)</w:t>
            </w:r>
          </w:p>
        </w:tc>
      </w:tr>
      <w:tr w:rsidR="008F0EA4" w:rsidRPr="00B651E4" w14:paraId="21FE62D8" w14:textId="77777777" w:rsidTr="007F43CA">
        <w:trPr>
          <w:jc w:val="center"/>
        </w:trPr>
        <w:tc>
          <w:tcPr>
            <w:tcW w:w="13887" w:type="dxa"/>
            <w:gridSpan w:val="7"/>
            <w:shd w:val="clear" w:color="auto" w:fill="DBE5F1" w:themeFill="accent1" w:themeFillTint="33"/>
          </w:tcPr>
          <w:p w14:paraId="35951EF7" w14:textId="097B172F" w:rsidR="008F0EA4" w:rsidRPr="00B651E4" w:rsidRDefault="007F43CA" w:rsidP="001D32F6">
            <w:pPr>
              <w:pStyle w:val="Tabletext"/>
              <w:tabs>
                <w:tab w:val="left" w:pos="347"/>
              </w:tabs>
              <w:spacing w:before="0" w:after="0"/>
              <w:rPr>
                <w:b/>
                <w:sz w:val="18"/>
                <w:szCs w:val="18"/>
              </w:rPr>
            </w:pPr>
            <w:r w:rsidRPr="007F43CA">
              <w:rPr>
                <w:b/>
                <w:sz w:val="18"/>
                <w:szCs w:val="18"/>
              </w:rPr>
              <w:t>Pilier 1 – Amélioration de la diversité et de la souplesse du personnel (adéquation entre le personnel de l</w:t>
            </w:r>
            <w:r w:rsidR="00E14E13">
              <w:rPr>
                <w:b/>
                <w:sz w:val="18"/>
                <w:szCs w:val="18"/>
              </w:rPr>
              <w:t>'</w:t>
            </w:r>
            <w:r w:rsidRPr="007F43CA">
              <w:rPr>
                <w:b/>
                <w:sz w:val="18"/>
                <w:szCs w:val="18"/>
              </w:rPr>
              <w:t>UIT et les objectifs de l</w:t>
            </w:r>
            <w:r w:rsidR="00E14E13">
              <w:rPr>
                <w:b/>
                <w:sz w:val="18"/>
                <w:szCs w:val="18"/>
              </w:rPr>
              <w:t>'</w:t>
            </w:r>
            <w:r w:rsidRPr="007F43CA">
              <w:rPr>
                <w:b/>
                <w:sz w:val="18"/>
                <w:szCs w:val="18"/>
              </w:rPr>
              <w:t>Union)</w:t>
            </w:r>
          </w:p>
        </w:tc>
        <w:bookmarkEnd w:id="9"/>
      </w:tr>
      <w:tr w:rsidR="008F0EA4" w:rsidRPr="00B651E4" w14:paraId="40C93869" w14:textId="77777777" w:rsidTr="007F43CA">
        <w:trPr>
          <w:jc w:val="center"/>
        </w:trPr>
        <w:tc>
          <w:tcPr>
            <w:tcW w:w="495" w:type="dxa"/>
            <w:tcBorders>
              <w:bottom w:val="nil"/>
            </w:tcBorders>
            <w:shd w:val="clear" w:color="auto" w:fill="DBE5F1" w:themeFill="accent1" w:themeFillTint="33"/>
          </w:tcPr>
          <w:p w14:paraId="3722BFE0" w14:textId="77777777" w:rsidR="008F0EA4" w:rsidRPr="00B651E4" w:rsidRDefault="008F0EA4" w:rsidP="001D32F6">
            <w:pPr>
              <w:pStyle w:val="Tabletext"/>
              <w:rPr>
                <w:sz w:val="18"/>
                <w:szCs w:val="18"/>
              </w:rPr>
            </w:pPr>
            <w:r w:rsidRPr="00B651E4">
              <w:rPr>
                <w:sz w:val="18"/>
                <w:szCs w:val="18"/>
              </w:rPr>
              <w:t>1.1</w:t>
            </w:r>
          </w:p>
        </w:tc>
        <w:tc>
          <w:tcPr>
            <w:tcW w:w="1300" w:type="dxa"/>
            <w:tcBorders>
              <w:bottom w:val="single" w:sz="4" w:space="0" w:color="auto"/>
            </w:tcBorders>
            <w:shd w:val="clear" w:color="auto" w:fill="DBE5F1" w:themeFill="accent1" w:themeFillTint="33"/>
          </w:tcPr>
          <w:p w14:paraId="4B27D22F" w14:textId="595E90B0"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Personnel en adéquation avec les objectifs de l</w:t>
            </w:r>
            <w:r w:rsidR="00E14E13">
              <w:rPr>
                <w:rFonts w:asciiTheme="minorHAnsi" w:hAnsiTheme="minorHAnsi" w:cstheme="minorHAnsi"/>
                <w:sz w:val="18"/>
                <w:szCs w:val="18"/>
              </w:rPr>
              <w:t>'</w:t>
            </w:r>
            <w:r w:rsidRPr="00B651E4">
              <w:rPr>
                <w:rFonts w:asciiTheme="minorHAnsi" w:hAnsiTheme="minorHAnsi" w:cstheme="minorHAnsi"/>
                <w:sz w:val="18"/>
                <w:szCs w:val="18"/>
              </w:rPr>
              <w:t>organisation</w:t>
            </w:r>
          </w:p>
        </w:tc>
        <w:tc>
          <w:tcPr>
            <w:tcW w:w="2127" w:type="dxa"/>
            <w:tcBorders>
              <w:bottom w:val="nil"/>
            </w:tcBorders>
            <w:shd w:val="clear" w:color="auto" w:fill="DBE5F1" w:themeFill="accent1" w:themeFillTint="33"/>
          </w:tcPr>
          <w:p w14:paraId="51B73ECC" w14:textId="66A6AEAC" w:rsidR="008F0EA4" w:rsidRPr="00B651E4" w:rsidRDefault="008F0EA4" w:rsidP="00470104">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Examiner, analyser et classer les descriptions d</w:t>
            </w:r>
            <w:r w:rsidR="00E14E13">
              <w:rPr>
                <w:rFonts w:asciiTheme="minorHAnsi" w:hAnsiTheme="minorHAnsi" w:cstheme="minorHAnsi"/>
                <w:sz w:val="18"/>
                <w:szCs w:val="18"/>
              </w:rPr>
              <w:t>'</w:t>
            </w:r>
            <w:r w:rsidRPr="00B651E4">
              <w:rPr>
                <w:rFonts w:asciiTheme="minorHAnsi" w:hAnsiTheme="minorHAnsi" w:cstheme="minorHAnsi"/>
                <w:sz w:val="18"/>
                <w:szCs w:val="18"/>
              </w:rPr>
              <w:t>emploi sur la base des normes de classement des emplois, et veiller à réduire au minimum les double-emplois ou le chevauchement des tâches et responsabilités</w:t>
            </w:r>
          </w:p>
        </w:tc>
        <w:tc>
          <w:tcPr>
            <w:tcW w:w="2425" w:type="dxa"/>
            <w:shd w:val="clear" w:color="auto" w:fill="DBE5F1" w:themeFill="accent1" w:themeFillTint="33"/>
          </w:tcPr>
          <w:p w14:paraId="7DF0FD42" w14:textId="7AA43631" w:rsidR="008F0EA4" w:rsidRPr="00B651E4" w:rsidRDefault="008F0EA4" w:rsidP="001D32F6">
            <w:pPr>
              <w:pStyle w:val="Tabletext"/>
              <w:tabs>
                <w:tab w:val="left" w:pos="320"/>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Pr>
                <w:rFonts w:asciiTheme="minorHAnsi" w:hAnsiTheme="minorHAnsi" w:cstheme="minorHAnsi"/>
                <w:sz w:val="18"/>
                <w:szCs w:val="18"/>
              </w:rPr>
              <w:tab/>
            </w:r>
            <w:r w:rsidRPr="00B651E4">
              <w:rPr>
                <w:rFonts w:asciiTheme="minorHAnsi" w:hAnsiTheme="minorHAnsi" w:cstheme="minorHAnsi"/>
                <w:sz w:val="18"/>
                <w:szCs w:val="18"/>
                <w:lang w:bidi="en-US"/>
              </w:rPr>
              <w:t>Analyse qualitative et quantitative du mouvement des emplois (examen, reclassement, déclassement, transfert et création) par rapport au nombre total d</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emplois qui ont fait l</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objet d</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une opération de classement.</w:t>
            </w:r>
          </w:p>
          <w:p w14:paraId="2130D56C" w14:textId="77777777" w:rsidR="008F0EA4" w:rsidRPr="00B651E4" w:rsidRDefault="008F0EA4" w:rsidP="001D32F6">
            <w:pPr>
              <w:pStyle w:val="Tabletext"/>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lang w:bidi="en-US"/>
              </w:rPr>
              <w:t>•</w:t>
            </w:r>
            <w:r>
              <w:rPr>
                <w:rFonts w:asciiTheme="minorHAnsi" w:hAnsiTheme="minorHAnsi" w:cstheme="minorHAnsi"/>
                <w:sz w:val="18"/>
                <w:szCs w:val="18"/>
                <w:lang w:bidi="en-US"/>
              </w:rPr>
              <w:tab/>
            </w:r>
            <w:r w:rsidRPr="00B651E4">
              <w:rPr>
                <w:rFonts w:asciiTheme="minorHAnsi" w:hAnsiTheme="minorHAnsi" w:cstheme="minorHAnsi"/>
                <w:sz w:val="18"/>
                <w:szCs w:val="18"/>
                <w:lang w:bidi="en-US"/>
              </w:rPr>
              <w:t>Utilisation des normes</w:t>
            </w:r>
            <w:r>
              <w:rPr>
                <w:rFonts w:asciiTheme="minorHAnsi" w:hAnsiTheme="minorHAnsi" w:cstheme="minorHAnsi"/>
                <w:sz w:val="18"/>
                <w:szCs w:val="18"/>
                <w:lang w:bidi="en-US"/>
              </w:rPr>
              <w:t xml:space="preserve"> </w:t>
            </w:r>
            <w:r w:rsidRPr="00B651E4">
              <w:rPr>
                <w:rFonts w:asciiTheme="minorHAnsi" w:hAnsiTheme="minorHAnsi" w:cstheme="minorHAnsi"/>
                <w:sz w:val="18"/>
                <w:szCs w:val="18"/>
                <w:lang w:bidi="en-US"/>
              </w:rPr>
              <w:t>de classement des emplois de la CFPI</w:t>
            </w:r>
          </w:p>
        </w:tc>
        <w:tc>
          <w:tcPr>
            <w:tcW w:w="1591" w:type="dxa"/>
            <w:shd w:val="clear" w:color="auto" w:fill="DBE5F1" w:themeFill="accent1" w:themeFillTint="33"/>
          </w:tcPr>
          <w:p w14:paraId="6978613B"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HRMD</w:t>
            </w:r>
          </w:p>
        </w:tc>
        <w:tc>
          <w:tcPr>
            <w:tcW w:w="1555" w:type="dxa"/>
            <w:shd w:val="clear" w:color="auto" w:fill="DBE5F1" w:themeFill="accent1" w:themeFillTint="33"/>
          </w:tcPr>
          <w:p w14:paraId="4A36FBD6"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En cours</w:t>
            </w:r>
          </w:p>
        </w:tc>
        <w:tc>
          <w:tcPr>
            <w:tcW w:w="4394" w:type="dxa"/>
            <w:shd w:val="clear" w:color="auto" w:fill="DBE5F1" w:themeFill="accent1" w:themeFillTint="33"/>
          </w:tcPr>
          <w:p w14:paraId="76499C06" w14:textId="47A951F9"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Au total, 1</w:t>
            </w:r>
            <w:r>
              <w:rPr>
                <w:rFonts w:asciiTheme="minorHAnsi" w:hAnsiTheme="minorHAnsi" w:cstheme="minorHAnsi"/>
                <w:sz w:val="18"/>
                <w:szCs w:val="18"/>
              </w:rPr>
              <w:t>4</w:t>
            </w:r>
            <w:r w:rsidRPr="00B651E4">
              <w:rPr>
                <w:rFonts w:asciiTheme="minorHAnsi" w:hAnsiTheme="minorHAnsi" w:cstheme="minorHAnsi"/>
                <w:sz w:val="18"/>
                <w:szCs w:val="18"/>
              </w:rPr>
              <w:t>2 activités de classement ont été effectuées entre le 1er</w:t>
            </w:r>
            <w:r w:rsidRPr="00B651E4">
              <w:rPr>
                <w:rFonts w:asciiTheme="minorHAnsi" w:hAnsiTheme="minorHAnsi" w:cstheme="minorHAnsi"/>
                <w:sz w:val="18"/>
                <w:szCs w:val="18"/>
                <w:vertAlign w:val="superscript"/>
              </w:rPr>
              <w:t xml:space="preserve"> </w:t>
            </w:r>
            <w:r w:rsidRPr="00B651E4">
              <w:rPr>
                <w:rFonts w:asciiTheme="minorHAnsi" w:hAnsiTheme="minorHAnsi" w:cstheme="minorHAnsi"/>
                <w:sz w:val="18"/>
                <w:szCs w:val="18"/>
              </w:rPr>
              <w:t>janvier 202</w:t>
            </w:r>
            <w:r>
              <w:rPr>
                <w:rFonts w:asciiTheme="minorHAnsi" w:hAnsiTheme="minorHAnsi" w:cstheme="minorHAnsi"/>
                <w:sz w:val="18"/>
                <w:szCs w:val="18"/>
              </w:rPr>
              <w:t>1</w:t>
            </w:r>
            <w:r w:rsidRPr="00B651E4">
              <w:rPr>
                <w:rFonts w:asciiTheme="minorHAnsi" w:hAnsiTheme="minorHAnsi" w:cstheme="minorHAnsi"/>
                <w:sz w:val="18"/>
                <w:szCs w:val="18"/>
              </w:rPr>
              <w:t xml:space="preserve"> et </w:t>
            </w:r>
            <w:r>
              <w:rPr>
                <w:rFonts w:asciiTheme="minorHAnsi" w:hAnsiTheme="minorHAnsi" w:cstheme="minorHAnsi"/>
                <w:sz w:val="18"/>
                <w:szCs w:val="18"/>
              </w:rPr>
              <w:t>le </w:t>
            </w:r>
            <w:r w:rsidRPr="00B651E4">
              <w:rPr>
                <w:rFonts w:asciiTheme="minorHAnsi" w:hAnsiTheme="minorHAnsi" w:cstheme="minorHAnsi"/>
                <w:sz w:val="18"/>
                <w:szCs w:val="18"/>
              </w:rPr>
              <w:t>31 décembre 202</w:t>
            </w:r>
            <w:r>
              <w:rPr>
                <w:rFonts w:asciiTheme="minorHAnsi" w:hAnsiTheme="minorHAnsi" w:cstheme="minorHAnsi"/>
                <w:sz w:val="18"/>
                <w:szCs w:val="18"/>
              </w:rPr>
              <w:t>1</w:t>
            </w:r>
            <w:r w:rsidRPr="00B651E4">
              <w:rPr>
                <w:rFonts w:asciiTheme="minorHAnsi" w:hAnsiTheme="minorHAnsi" w:cstheme="minorHAnsi"/>
                <w:sz w:val="18"/>
                <w:szCs w:val="18"/>
              </w:rPr>
              <w:t>, à l</w:t>
            </w:r>
            <w:r w:rsidR="00E14E13">
              <w:rPr>
                <w:rFonts w:asciiTheme="minorHAnsi" w:hAnsiTheme="minorHAnsi" w:cstheme="minorHAnsi"/>
                <w:sz w:val="18"/>
                <w:szCs w:val="18"/>
              </w:rPr>
              <w:t>'</w:t>
            </w:r>
            <w:r w:rsidRPr="00B651E4">
              <w:rPr>
                <w:rFonts w:asciiTheme="minorHAnsi" w:hAnsiTheme="minorHAnsi" w:cstheme="minorHAnsi"/>
                <w:sz w:val="18"/>
                <w:szCs w:val="18"/>
              </w:rPr>
              <w:t xml:space="preserve">exception de la validation des grades pour les contrats de courte durée: </w:t>
            </w:r>
          </w:p>
          <w:p w14:paraId="00F38400" w14:textId="58F4C285" w:rsidR="008F0EA4" w:rsidRPr="00B651E4" w:rsidRDefault="008F0EA4" w:rsidP="001D32F6">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Pr>
                <w:rFonts w:asciiTheme="minorHAnsi" w:hAnsiTheme="minorHAnsi" w:cstheme="minorHAnsi"/>
                <w:sz w:val="18"/>
                <w:szCs w:val="18"/>
              </w:rPr>
              <w:t>34</w:t>
            </w:r>
            <w:r w:rsidRPr="00B651E4">
              <w:rPr>
                <w:rFonts w:asciiTheme="minorHAnsi" w:hAnsiTheme="minorHAnsi" w:cstheme="minorHAnsi"/>
                <w:sz w:val="18"/>
                <w:szCs w:val="18"/>
              </w:rPr>
              <w:t xml:space="preserve"> créations</w:t>
            </w:r>
          </w:p>
          <w:p w14:paraId="191BA42E" w14:textId="71E6DFE6" w:rsidR="008F0EA4" w:rsidRPr="00B651E4" w:rsidRDefault="008F0EA4" w:rsidP="001D32F6">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Pr>
                <w:rFonts w:asciiTheme="minorHAnsi" w:hAnsiTheme="minorHAnsi" w:cstheme="minorHAnsi"/>
                <w:sz w:val="18"/>
                <w:szCs w:val="18"/>
              </w:rPr>
              <w:t>1</w:t>
            </w:r>
            <w:r w:rsidRPr="00B651E4">
              <w:rPr>
                <w:rFonts w:asciiTheme="minorHAnsi" w:hAnsiTheme="minorHAnsi" w:cstheme="minorHAnsi"/>
                <w:sz w:val="18"/>
                <w:szCs w:val="18"/>
              </w:rPr>
              <w:t xml:space="preserve"> déclassement</w:t>
            </w:r>
          </w:p>
          <w:p w14:paraId="54764AAF" w14:textId="1449F8C6" w:rsidR="008F0EA4" w:rsidRPr="00B651E4" w:rsidRDefault="008F0EA4" w:rsidP="001D32F6">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Pr>
                <w:rFonts w:asciiTheme="minorHAnsi" w:hAnsiTheme="minorHAnsi" w:cstheme="minorHAnsi"/>
                <w:sz w:val="18"/>
                <w:szCs w:val="18"/>
              </w:rPr>
              <w:t>17</w:t>
            </w:r>
            <w:r w:rsidRPr="00B651E4">
              <w:rPr>
                <w:rFonts w:asciiTheme="minorHAnsi" w:hAnsiTheme="minorHAnsi" w:cstheme="minorHAnsi"/>
                <w:sz w:val="18"/>
                <w:szCs w:val="18"/>
              </w:rPr>
              <w:t xml:space="preserve"> reclassements</w:t>
            </w:r>
          </w:p>
          <w:p w14:paraId="591BF5F9" w14:textId="7AB80FB2" w:rsidR="008F0EA4" w:rsidRPr="00B651E4" w:rsidRDefault="008F0EA4" w:rsidP="001D32F6">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Pr>
                <w:rFonts w:asciiTheme="minorHAnsi" w:hAnsiTheme="minorHAnsi" w:cstheme="minorHAnsi"/>
                <w:sz w:val="18"/>
                <w:szCs w:val="18"/>
              </w:rPr>
              <w:t>5</w:t>
            </w:r>
            <w:r w:rsidRPr="00B651E4">
              <w:rPr>
                <w:rFonts w:asciiTheme="minorHAnsi" w:hAnsiTheme="minorHAnsi" w:cstheme="minorHAnsi"/>
                <w:sz w:val="18"/>
                <w:szCs w:val="18"/>
              </w:rPr>
              <w:t xml:space="preserve"> transferts</w:t>
            </w:r>
          </w:p>
          <w:p w14:paraId="20B84440" w14:textId="0EDFEBEF" w:rsidR="008F0EA4" w:rsidRPr="00B651E4" w:rsidRDefault="008F0EA4" w:rsidP="001D32F6">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Pr>
                <w:rFonts w:asciiTheme="minorHAnsi" w:hAnsiTheme="minorHAnsi" w:cstheme="minorHAnsi"/>
                <w:sz w:val="18"/>
                <w:szCs w:val="18"/>
              </w:rPr>
              <w:t>72</w:t>
            </w:r>
            <w:r w:rsidRPr="00B651E4">
              <w:rPr>
                <w:rFonts w:asciiTheme="minorHAnsi" w:hAnsiTheme="minorHAnsi" w:cstheme="minorHAnsi"/>
                <w:sz w:val="18"/>
                <w:szCs w:val="18"/>
              </w:rPr>
              <w:t xml:space="preserve"> examens</w:t>
            </w:r>
          </w:p>
          <w:p w14:paraId="581F0937" w14:textId="598B901F" w:rsidR="008F0EA4" w:rsidRPr="00B651E4" w:rsidRDefault="008F0EA4" w:rsidP="001D32F6">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Pr>
                <w:rFonts w:asciiTheme="minorHAnsi" w:hAnsiTheme="minorHAnsi" w:cstheme="minorHAnsi"/>
                <w:sz w:val="18"/>
                <w:szCs w:val="18"/>
              </w:rPr>
              <w:t>13</w:t>
            </w:r>
            <w:r w:rsidRPr="00B651E4">
              <w:rPr>
                <w:rFonts w:asciiTheme="minorHAnsi" w:hAnsiTheme="minorHAnsi" w:cstheme="minorHAnsi"/>
                <w:sz w:val="18"/>
                <w:szCs w:val="18"/>
              </w:rPr>
              <w:t xml:space="preserve"> indemnités spéciales de fonctions</w:t>
            </w:r>
          </w:p>
          <w:p w14:paraId="6B320D46" w14:textId="20C14200"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Toutes les descriptions d</w:t>
            </w:r>
            <w:r w:rsidR="00E14E13">
              <w:rPr>
                <w:rFonts w:asciiTheme="minorHAnsi" w:hAnsiTheme="minorHAnsi" w:cstheme="minorHAnsi"/>
                <w:sz w:val="18"/>
                <w:szCs w:val="18"/>
              </w:rPr>
              <w:t>'</w:t>
            </w:r>
            <w:r w:rsidRPr="00B651E4">
              <w:rPr>
                <w:rFonts w:asciiTheme="minorHAnsi" w:hAnsiTheme="minorHAnsi" w:cstheme="minorHAnsi"/>
                <w:sz w:val="18"/>
                <w:szCs w:val="18"/>
              </w:rPr>
              <w:t>emploi/tous les postes ont été évalués au regard des normes de classement de la CFPI.</w:t>
            </w:r>
          </w:p>
        </w:tc>
      </w:tr>
      <w:tr w:rsidR="008F0EA4" w:rsidRPr="00B651E4" w14:paraId="6AF05E8B" w14:textId="77777777" w:rsidTr="007F43CA">
        <w:trPr>
          <w:jc w:val="center"/>
        </w:trPr>
        <w:tc>
          <w:tcPr>
            <w:tcW w:w="495" w:type="dxa"/>
            <w:vMerge w:val="restart"/>
            <w:shd w:val="clear" w:color="auto" w:fill="DBE5F1" w:themeFill="accent1" w:themeFillTint="33"/>
          </w:tcPr>
          <w:p w14:paraId="0285FA80" w14:textId="77777777" w:rsidR="008F0EA4" w:rsidRPr="00B651E4" w:rsidRDefault="008F0EA4" w:rsidP="001D32F6">
            <w:pPr>
              <w:pStyle w:val="Tabletext"/>
              <w:rPr>
                <w:sz w:val="18"/>
                <w:szCs w:val="18"/>
              </w:rPr>
            </w:pPr>
            <w:r w:rsidRPr="00B651E4">
              <w:rPr>
                <w:sz w:val="18"/>
                <w:szCs w:val="18"/>
              </w:rPr>
              <w:t>1.2</w:t>
            </w:r>
          </w:p>
        </w:tc>
        <w:tc>
          <w:tcPr>
            <w:tcW w:w="1300" w:type="dxa"/>
            <w:vMerge w:val="restart"/>
            <w:tcBorders>
              <w:bottom w:val="single" w:sz="4" w:space="0" w:color="auto"/>
            </w:tcBorders>
            <w:shd w:val="clear" w:color="auto" w:fill="DBE5F1" w:themeFill="accent1" w:themeFillTint="33"/>
          </w:tcPr>
          <w:p w14:paraId="68E7B89E" w14:textId="78D2A44D"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Harmonisation entre les priorités stratégiques de l</w:t>
            </w:r>
            <w:r w:rsidR="00E14E13">
              <w:rPr>
                <w:rFonts w:asciiTheme="minorHAnsi" w:hAnsiTheme="minorHAnsi" w:cstheme="minorHAnsi"/>
                <w:sz w:val="18"/>
                <w:szCs w:val="18"/>
              </w:rPr>
              <w:t>'</w:t>
            </w:r>
            <w:r w:rsidRPr="00B651E4">
              <w:rPr>
                <w:rFonts w:asciiTheme="minorHAnsi" w:hAnsiTheme="minorHAnsi" w:cstheme="minorHAnsi"/>
                <w:sz w:val="18"/>
                <w:szCs w:val="18"/>
              </w:rPr>
              <w:t>Union et les fonctions et les emplois</w:t>
            </w:r>
          </w:p>
        </w:tc>
        <w:tc>
          <w:tcPr>
            <w:tcW w:w="2127" w:type="dxa"/>
            <w:tcBorders>
              <w:bottom w:val="single" w:sz="4" w:space="0" w:color="auto"/>
            </w:tcBorders>
            <w:shd w:val="clear" w:color="auto" w:fill="DBE5F1" w:themeFill="accent1" w:themeFillTint="33"/>
          </w:tcPr>
          <w:p w14:paraId="1CA2877B" w14:textId="2A1853F5" w:rsidR="008F0EA4" w:rsidRPr="00B651E4" w:rsidRDefault="008F0EA4" w:rsidP="001D32F6">
            <w:pPr>
              <w:pStyle w:val="Tabletext"/>
              <w:tabs>
                <w:tab w:val="left" w:pos="276"/>
              </w:tabs>
              <w:ind w:left="225" w:hanging="225"/>
              <w:rPr>
                <w:rFonts w:asciiTheme="minorHAnsi" w:hAnsiTheme="minorHAnsi" w:cstheme="minorHAnsi"/>
                <w:sz w:val="18"/>
                <w:szCs w:val="18"/>
              </w:rPr>
            </w:pPr>
            <w:r w:rsidRPr="00B651E4">
              <w:rPr>
                <w:rFonts w:asciiTheme="minorHAnsi" w:hAnsiTheme="minorHAnsi" w:cstheme="minorHAnsi"/>
                <w:sz w:val="18"/>
                <w:szCs w:val="18"/>
              </w:rPr>
              <w:t>1</w:t>
            </w:r>
            <w:r>
              <w:rPr>
                <w:rFonts w:asciiTheme="minorHAnsi" w:hAnsiTheme="minorHAnsi" w:cstheme="minorHAnsi"/>
                <w:sz w:val="18"/>
                <w:szCs w:val="18"/>
              </w:rPr>
              <w:tab/>
            </w:r>
            <w:r w:rsidRPr="00B651E4">
              <w:rPr>
                <w:rFonts w:asciiTheme="minorHAnsi" w:hAnsiTheme="minorHAnsi" w:cstheme="minorHAnsi"/>
                <w:sz w:val="18"/>
                <w:szCs w:val="18"/>
              </w:rPr>
              <w:t>Aligner la conception au niveau de l</w:t>
            </w:r>
            <w:r w:rsidR="00E14E13">
              <w:rPr>
                <w:rFonts w:asciiTheme="minorHAnsi" w:hAnsiTheme="minorHAnsi" w:cstheme="minorHAnsi"/>
                <w:sz w:val="18"/>
                <w:szCs w:val="18"/>
              </w:rPr>
              <w:t>'</w:t>
            </w:r>
            <w:r w:rsidRPr="00B651E4">
              <w:rPr>
                <w:rFonts w:asciiTheme="minorHAnsi" w:hAnsiTheme="minorHAnsi" w:cstheme="minorHAnsi"/>
                <w:sz w:val="18"/>
                <w:szCs w:val="18"/>
              </w:rPr>
              <w:t>organisation avec la mission et les stratégies de</w:t>
            </w:r>
            <w:r>
              <w:rPr>
                <w:rFonts w:asciiTheme="minorHAnsi" w:hAnsiTheme="minorHAnsi" w:cstheme="minorHAnsi"/>
                <w:sz w:val="18"/>
                <w:szCs w:val="18"/>
              </w:rPr>
              <w:t> </w:t>
            </w:r>
            <w:r w:rsidRPr="00B651E4">
              <w:rPr>
                <w:rFonts w:asciiTheme="minorHAnsi" w:hAnsiTheme="minorHAnsi" w:cstheme="minorHAnsi"/>
                <w:sz w:val="18"/>
                <w:szCs w:val="18"/>
              </w:rPr>
              <w:t>l</w:t>
            </w:r>
            <w:r w:rsidR="00E14E13">
              <w:rPr>
                <w:rFonts w:asciiTheme="minorHAnsi" w:hAnsiTheme="minorHAnsi" w:cstheme="minorHAnsi"/>
                <w:sz w:val="18"/>
                <w:szCs w:val="18"/>
              </w:rPr>
              <w:t>'</w:t>
            </w:r>
            <w:r w:rsidRPr="00B651E4">
              <w:rPr>
                <w:rFonts w:asciiTheme="minorHAnsi" w:hAnsiTheme="minorHAnsi" w:cstheme="minorHAnsi"/>
                <w:sz w:val="18"/>
                <w:szCs w:val="18"/>
              </w:rPr>
              <w:t>organisation</w:t>
            </w:r>
          </w:p>
        </w:tc>
        <w:tc>
          <w:tcPr>
            <w:tcW w:w="2425" w:type="dxa"/>
            <w:tcBorders>
              <w:bottom w:val="single" w:sz="4" w:space="0" w:color="auto"/>
            </w:tcBorders>
            <w:shd w:val="clear" w:color="auto" w:fill="DBE5F1" w:themeFill="accent1" w:themeFillTint="33"/>
          </w:tcPr>
          <w:p w14:paraId="22342A64" w14:textId="77777777" w:rsidR="008F0EA4" w:rsidRPr="00B651E4" w:rsidRDefault="008F0EA4" w:rsidP="001D32F6">
            <w:pPr>
              <w:pStyle w:val="Tabletext"/>
              <w:tabs>
                <w:tab w:val="left" w:pos="178"/>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Structure organisationnelle propre à appuyer les objectifs</w:t>
            </w:r>
          </w:p>
          <w:p w14:paraId="464AF45A" w14:textId="77777777" w:rsidR="008F0EA4" w:rsidRPr="00B651E4" w:rsidRDefault="008F0EA4" w:rsidP="001D32F6">
            <w:pPr>
              <w:pStyle w:val="Tabletext"/>
              <w:tabs>
                <w:tab w:val="left" w:pos="178"/>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Rapports hiérarchiques clairs avec une répartition appropriée des tâches et des emplois classés</w:t>
            </w:r>
          </w:p>
        </w:tc>
        <w:tc>
          <w:tcPr>
            <w:tcW w:w="1591" w:type="dxa"/>
            <w:tcBorders>
              <w:bottom w:val="single" w:sz="4" w:space="0" w:color="auto"/>
            </w:tcBorders>
            <w:shd w:val="clear" w:color="auto" w:fill="DBE5F1" w:themeFill="accent1" w:themeFillTint="33"/>
          </w:tcPr>
          <w:p w14:paraId="448CF91C" w14:textId="77777777" w:rsidR="008F0EA4" w:rsidRPr="00B651E4" w:rsidRDefault="008F0EA4" w:rsidP="001D32F6">
            <w:pPr>
              <w:spacing w:before="60" w:after="60"/>
              <w:rPr>
                <w:rFonts w:asciiTheme="minorHAnsi" w:hAnsiTheme="minorHAnsi" w:cstheme="minorHAnsi"/>
                <w:sz w:val="18"/>
                <w:szCs w:val="18"/>
              </w:rPr>
            </w:pPr>
            <w:r w:rsidRPr="00B651E4">
              <w:rPr>
                <w:rFonts w:asciiTheme="minorHAnsi" w:hAnsiTheme="minorHAnsi" w:cstheme="minorHAnsi"/>
                <w:sz w:val="18"/>
                <w:szCs w:val="18"/>
              </w:rPr>
              <w:t>HRMD</w:t>
            </w:r>
          </w:p>
          <w:p w14:paraId="6F3D8DE5"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Bureaux et Départements du Secrétariat général </w:t>
            </w:r>
          </w:p>
        </w:tc>
        <w:tc>
          <w:tcPr>
            <w:tcW w:w="1555" w:type="dxa"/>
            <w:tcBorders>
              <w:bottom w:val="single" w:sz="4" w:space="0" w:color="auto"/>
            </w:tcBorders>
            <w:shd w:val="clear" w:color="auto" w:fill="DBE5F1" w:themeFill="accent1" w:themeFillTint="33"/>
          </w:tcPr>
          <w:p w14:paraId="27798B85" w14:textId="77777777" w:rsidR="008F0EA4" w:rsidRPr="00B651E4" w:rsidRDefault="008F0EA4" w:rsidP="001D32F6">
            <w:pPr>
              <w:spacing w:before="60" w:after="60"/>
              <w:rPr>
                <w:rFonts w:asciiTheme="minorHAnsi" w:hAnsiTheme="minorHAnsi" w:cstheme="minorHAnsi"/>
                <w:sz w:val="18"/>
                <w:szCs w:val="18"/>
              </w:rPr>
            </w:pPr>
            <w:r w:rsidRPr="00B651E4">
              <w:rPr>
                <w:rFonts w:asciiTheme="minorHAnsi" w:hAnsiTheme="minorHAnsi" w:cstheme="minorHAnsi"/>
                <w:sz w:val="18"/>
                <w:szCs w:val="18"/>
              </w:rPr>
              <w:t>En cours</w:t>
            </w:r>
          </w:p>
        </w:tc>
        <w:tc>
          <w:tcPr>
            <w:tcW w:w="4394" w:type="dxa"/>
            <w:tcBorders>
              <w:bottom w:val="single" w:sz="4" w:space="0" w:color="auto"/>
            </w:tcBorders>
            <w:shd w:val="clear" w:color="auto" w:fill="DBE5F1" w:themeFill="accent1" w:themeFillTint="33"/>
          </w:tcPr>
          <w:p w14:paraId="3D6BF5D7" w14:textId="314FA849"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Le Département HRMD </w:t>
            </w:r>
            <w:r w:rsidR="009A4F65">
              <w:rPr>
                <w:rFonts w:asciiTheme="minorHAnsi" w:hAnsiTheme="minorHAnsi" w:cstheme="minorHAnsi"/>
                <w:sz w:val="18"/>
                <w:szCs w:val="18"/>
              </w:rPr>
              <w:t>continue de fournir</w:t>
            </w:r>
            <w:r w:rsidRPr="00B651E4">
              <w:rPr>
                <w:rFonts w:asciiTheme="minorHAnsi" w:hAnsiTheme="minorHAnsi" w:cstheme="minorHAnsi"/>
                <w:sz w:val="18"/>
                <w:szCs w:val="18"/>
              </w:rPr>
              <w:t xml:space="preserve"> un appui dans le cadre des réorganisations, notamment en ce qui concerne l</w:t>
            </w:r>
            <w:r w:rsidR="00E14E13">
              <w:rPr>
                <w:rFonts w:asciiTheme="minorHAnsi" w:hAnsiTheme="minorHAnsi" w:cstheme="minorHAnsi"/>
                <w:sz w:val="18"/>
                <w:szCs w:val="18"/>
              </w:rPr>
              <w:t>'</w:t>
            </w:r>
            <w:r w:rsidRPr="00B651E4">
              <w:rPr>
                <w:rFonts w:asciiTheme="minorHAnsi" w:hAnsiTheme="minorHAnsi" w:cstheme="minorHAnsi"/>
                <w:sz w:val="18"/>
                <w:szCs w:val="18"/>
              </w:rPr>
              <w:t>examen des structures organisationnelles et le classement des emplois ayant fait l</w:t>
            </w:r>
            <w:r w:rsidR="00E14E13">
              <w:rPr>
                <w:rFonts w:asciiTheme="minorHAnsi" w:hAnsiTheme="minorHAnsi" w:cstheme="minorHAnsi"/>
                <w:sz w:val="18"/>
                <w:szCs w:val="18"/>
              </w:rPr>
              <w:t>'</w:t>
            </w:r>
            <w:r w:rsidRPr="00B651E4">
              <w:rPr>
                <w:rFonts w:asciiTheme="minorHAnsi" w:hAnsiTheme="minorHAnsi" w:cstheme="minorHAnsi"/>
                <w:sz w:val="18"/>
                <w:szCs w:val="18"/>
              </w:rPr>
              <w:t>objet d</w:t>
            </w:r>
            <w:r w:rsidR="00E14E13">
              <w:rPr>
                <w:rFonts w:asciiTheme="minorHAnsi" w:hAnsiTheme="minorHAnsi" w:cstheme="minorHAnsi"/>
                <w:sz w:val="18"/>
                <w:szCs w:val="18"/>
              </w:rPr>
              <w:t>'</w:t>
            </w:r>
            <w:r w:rsidRPr="00B651E4">
              <w:rPr>
                <w:rFonts w:asciiTheme="minorHAnsi" w:hAnsiTheme="minorHAnsi" w:cstheme="minorHAnsi"/>
                <w:sz w:val="18"/>
                <w:szCs w:val="18"/>
              </w:rPr>
              <w:t>un examen, compte tenu de la mission et des stratégies de l</w:t>
            </w:r>
            <w:r w:rsidR="00E14E13">
              <w:rPr>
                <w:rFonts w:asciiTheme="minorHAnsi" w:hAnsiTheme="minorHAnsi" w:cstheme="minorHAnsi"/>
                <w:sz w:val="18"/>
                <w:szCs w:val="18"/>
              </w:rPr>
              <w:t>'</w:t>
            </w:r>
            <w:r w:rsidRPr="00B651E4">
              <w:rPr>
                <w:rFonts w:asciiTheme="minorHAnsi" w:hAnsiTheme="minorHAnsi" w:cstheme="minorHAnsi"/>
                <w:sz w:val="18"/>
                <w:szCs w:val="18"/>
              </w:rPr>
              <w:t>organisation ainsi que des rapports hiérarchiques.</w:t>
            </w:r>
          </w:p>
        </w:tc>
      </w:tr>
      <w:tr w:rsidR="008F0EA4" w:rsidRPr="00B651E4" w14:paraId="4C598D7E" w14:textId="77777777" w:rsidTr="007F43CA">
        <w:trPr>
          <w:jc w:val="center"/>
        </w:trPr>
        <w:tc>
          <w:tcPr>
            <w:tcW w:w="495" w:type="dxa"/>
            <w:vMerge/>
            <w:tcBorders>
              <w:bottom w:val="single" w:sz="4" w:space="0" w:color="auto"/>
            </w:tcBorders>
            <w:shd w:val="clear" w:color="auto" w:fill="DBE5F1" w:themeFill="accent1" w:themeFillTint="33"/>
          </w:tcPr>
          <w:p w14:paraId="2267ECD7" w14:textId="77777777" w:rsidR="008F0EA4" w:rsidRPr="00B651E4" w:rsidRDefault="008F0EA4" w:rsidP="001D32F6">
            <w:pPr>
              <w:pStyle w:val="Tabletext"/>
              <w:rPr>
                <w:sz w:val="18"/>
                <w:szCs w:val="18"/>
              </w:rPr>
            </w:pPr>
          </w:p>
        </w:tc>
        <w:tc>
          <w:tcPr>
            <w:tcW w:w="1300" w:type="dxa"/>
            <w:vMerge/>
            <w:tcBorders>
              <w:bottom w:val="single" w:sz="4" w:space="0" w:color="auto"/>
            </w:tcBorders>
            <w:shd w:val="clear" w:color="auto" w:fill="DBE5F1" w:themeFill="accent1" w:themeFillTint="33"/>
          </w:tcPr>
          <w:p w14:paraId="07F5AEC7" w14:textId="77777777" w:rsidR="008F0EA4" w:rsidRPr="00B651E4" w:rsidRDefault="008F0EA4" w:rsidP="001D32F6">
            <w:pPr>
              <w:pStyle w:val="Tabletext"/>
              <w:rPr>
                <w:sz w:val="18"/>
                <w:szCs w:val="18"/>
              </w:rPr>
            </w:pPr>
          </w:p>
        </w:tc>
        <w:tc>
          <w:tcPr>
            <w:tcW w:w="2127" w:type="dxa"/>
            <w:tcBorders>
              <w:bottom w:val="single" w:sz="4" w:space="0" w:color="auto"/>
            </w:tcBorders>
            <w:shd w:val="clear" w:color="auto" w:fill="DBE5F1" w:themeFill="accent1" w:themeFillTint="33"/>
          </w:tcPr>
          <w:p w14:paraId="773EC462" w14:textId="7904FD1F" w:rsidR="008F0EA4" w:rsidRPr="00B651E4" w:rsidRDefault="008F0EA4" w:rsidP="001D32F6">
            <w:pPr>
              <w:pStyle w:val="Tabletext"/>
              <w:tabs>
                <w:tab w:val="left" w:pos="276"/>
              </w:tabs>
              <w:ind w:left="225" w:hanging="225"/>
              <w:rPr>
                <w:sz w:val="18"/>
                <w:szCs w:val="18"/>
              </w:rPr>
            </w:pPr>
            <w:r w:rsidRPr="00B651E4">
              <w:rPr>
                <w:sz w:val="18"/>
                <w:szCs w:val="18"/>
              </w:rPr>
              <w:t>2</w:t>
            </w:r>
            <w:r>
              <w:rPr>
                <w:rFonts w:asciiTheme="minorHAnsi" w:hAnsiTheme="minorHAnsi" w:cstheme="minorHAnsi"/>
                <w:sz w:val="18"/>
                <w:szCs w:val="18"/>
              </w:rPr>
              <w:tab/>
            </w:r>
            <w:r w:rsidRPr="00B651E4">
              <w:rPr>
                <w:sz w:val="18"/>
                <w:szCs w:val="18"/>
              </w:rPr>
              <w:t>Révision régulière des procédures de classement pour assurer la cohérence stratégique entre les tâches et les</w:t>
            </w:r>
            <w:r>
              <w:rPr>
                <w:sz w:val="18"/>
                <w:szCs w:val="18"/>
              </w:rPr>
              <w:t> </w:t>
            </w:r>
            <w:r w:rsidRPr="00B651E4">
              <w:rPr>
                <w:sz w:val="18"/>
                <w:szCs w:val="18"/>
              </w:rPr>
              <w:t xml:space="preserve">responsabilités (nécessaires pour atteindre les objectifs) et les emplois ainsi </w:t>
            </w:r>
            <w:r w:rsidRPr="00B651E4">
              <w:rPr>
                <w:sz w:val="18"/>
                <w:szCs w:val="18"/>
              </w:rPr>
              <w:lastRenderedPageBreak/>
              <w:t>que pour</w:t>
            </w:r>
            <w:r>
              <w:rPr>
                <w:sz w:val="18"/>
                <w:szCs w:val="18"/>
              </w:rPr>
              <w:t xml:space="preserve"> </w:t>
            </w:r>
            <w:r w:rsidRPr="00B651E4">
              <w:rPr>
                <w:sz w:val="18"/>
                <w:szCs w:val="18"/>
              </w:rPr>
              <w:t>simplifier les activités</w:t>
            </w:r>
          </w:p>
        </w:tc>
        <w:tc>
          <w:tcPr>
            <w:tcW w:w="2425" w:type="dxa"/>
            <w:tcBorders>
              <w:bottom w:val="single" w:sz="4" w:space="0" w:color="auto"/>
            </w:tcBorders>
            <w:shd w:val="clear" w:color="auto" w:fill="DBE5F1" w:themeFill="accent1" w:themeFillTint="33"/>
          </w:tcPr>
          <w:p w14:paraId="3E00D75E" w14:textId="38D8C324" w:rsidR="008F0EA4" w:rsidRPr="008C4811" w:rsidRDefault="008F0EA4" w:rsidP="001D32F6">
            <w:pPr>
              <w:pStyle w:val="Tabletext"/>
              <w:tabs>
                <w:tab w:val="left" w:pos="178"/>
              </w:tabs>
              <w:ind w:left="178" w:hanging="178"/>
              <w:rPr>
                <w:rFonts w:asciiTheme="minorHAnsi" w:hAnsiTheme="minorHAnsi" w:cstheme="minorHAnsi"/>
                <w:sz w:val="18"/>
                <w:szCs w:val="18"/>
                <w:lang w:bidi="en-US"/>
              </w:rPr>
            </w:pPr>
            <w:r w:rsidRPr="008C4811">
              <w:rPr>
                <w:rFonts w:asciiTheme="minorHAnsi" w:hAnsiTheme="minorHAnsi" w:cstheme="minorHAnsi"/>
                <w:sz w:val="18"/>
                <w:szCs w:val="18"/>
                <w:lang w:bidi="en-US"/>
              </w:rPr>
              <w:lastRenderedPageBreak/>
              <w:t>•</w:t>
            </w:r>
            <w:r w:rsidRPr="008C4811">
              <w:rPr>
                <w:rFonts w:asciiTheme="minorHAnsi" w:hAnsiTheme="minorHAnsi" w:cstheme="minorHAnsi"/>
                <w:sz w:val="18"/>
                <w:szCs w:val="18"/>
                <w:lang w:bidi="en-US"/>
              </w:rPr>
              <w:tab/>
              <w:t>Procédures révisées (rapport qualitatif sur l</w:t>
            </w:r>
            <w:r w:rsidR="00E14E13">
              <w:rPr>
                <w:rFonts w:asciiTheme="minorHAnsi" w:hAnsiTheme="minorHAnsi" w:cstheme="minorHAnsi"/>
                <w:sz w:val="18"/>
                <w:szCs w:val="18"/>
                <w:lang w:bidi="en-US"/>
              </w:rPr>
              <w:t>'</w:t>
            </w:r>
            <w:r w:rsidRPr="008C4811">
              <w:rPr>
                <w:rFonts w:asciiTheme="minorHAnsi" w:hAnsiTheme="minorHAnsi" w:cstheme="minorHAnsi"/>
                <w:sz w:val="18"/>
                <w:szCs w:val="18"/>
                <w:lang w:bidi="en-US"/>
              </w:rPr>
              <w:t>élaboration et rapport quantitatif sur la mise en œuvre, c</w:t>
            </w:r>
            <w:r w:rsidR="00E14E13">
              <w:rPr>
                <w:rFonts w:asciiTheme="minorHAnsi" w:hAnsiTheme="minorHAnsi" w:cstheme="minorHAnsi"/>
                <w:sz w:val="18"/>
                <w:szCs w:val="18"/>
                <w:lang w:bidi="en-US"/>
              </w:rPr>
              <w:t>'</w:t>
            </w:r>
            <w:r w:rsidRPr="008C4811">
              <w:rPr>
                <w:rFonts w:asciiTheme="minorHAnsi" w:hAnsiTheme="minorHAnsi" w:cstheme="minorHAnsi"/>
                <w:sz w:val="18"/>
                <w:szCs w:val="18"/>
                <w:lang w:bidi="en-US"/>
              </w:rPr>
              <w:t>est-à-dire nombre d</w:t>
            </w:r>
            <w:r w:rsidR="00E14E13">
              <w:rPr>
                <w:rFonts w:asciiTheme="minorHAnsi" w:hAnsiTheme="minorHAnsi" w:cstheme="minorHAnsi"/>
                <w:sz w:val="18"/>
                <w:szCs w:val="18"/>
                <w:lang w:bidi="en-US"/>
              </w:rPr>
              <w:t>'</w:t>
            </w:r>
            <w:r w:rsidRPr="008C4811">
              <w:rPr>
                <w:rFonts w:asciiTheme="minorHAnsi" w:hAnsiTheme="minorHAnsi" w:cstheme="minorHAnsi"/>
                <w:sz w:val="18"/>
                <w:szCs w:val="18"/>
                <w:lang w:bidi="en-US"/>
              </w:rPr>
              <w:t>emplois ayant fait l</w:t>
            </w:r>
            <w:r w:rsidR="00E14E13">
              <w:rPr>
                <w:rFonts w:asciiTheme="minorHAnsi" w:hAnsiTheme="minorHAnsi" w:cstheme="minorHAnsi"/>
                <w:sz w:val="18"/>
                <w:szCs w:val="18"/>
                <w:lang w:bidi="en-US"/>
              </w:rPr>
              <w:t>'</w:t>
            </w:r>
            <w:r w:rsidRPr="008C4811">
              <w:rPr>
                <w:rFonts w:asciiTheme="minorHAnsi" w:hAnsiTheme="minorHAnsi" w:cstheme="minorHAnsi"/>
                <w:sz w:val="18"/>
                <w:szCs w:val="18"/>
                <w:lang w:bidi="en-US"/>
              </w:rPr>
              <w:t>objet d</w:t>
            </w:r>
            <w:r w:rsidR="00E14E13">
              <w:rPr>
                <w:rFonts w:asciiTheme="minorHAnsi" w:hAnsiTheme="minorHAnsi" w:cstheme="minorHAnsi"/>
                <w:sz w:val="18"/>
                <w:szCs w:val="18"/>
                <w:lang w:bidi="en-US"/>
              </w:rPr>
              <w:t>'</w:t>
            </w:r>
            <w:r w:rsidRPr="008C4811">
              <w:rPr>
                <w:rFonts w:asciiTheme="minorHAnsi" w:hAnsiTheme="minorHAnsi" w:cstheme="minorHAnsi"/>
                <w:sz w:val="18"/>
                <w:szCs w:val="18"/>
                <w:lang w:bidi="en-US"/>
              </w:rPr>
              <w:t>un classement et durée moyenne (en jours) pour mener à bien un processus de classement</w:t>
            </w:r>
          </w:p>
          <w:p w14:paraId="4152FD0D" w14:textId="77777777" w:rsidR="008F0EA4" w:rsidRPr="00B651E4" w:rsidRDefault="008F0EA4" w:rsidP="001D32F6">
            <w:pPr>
              <w:pStyle w:val="Tabletext"/>
              <w:tabs>
                <w:tab w:val="left" w:pos="178"/>
                <w:tab w:val="left" w:pos="347"/>
              </w:tabs>
              <w:ind w:left="178" w:hanging="178"/>
              <w:rPr>
                <w:sz w:val="18"/>
                <w:szCs w:val="18"/>
              </w:rPr>
            </w:pPr>
            <w:r w:rsidRPr="008C4811">
              <w:rPr>
                <w:rFonts w:asciiTheme="minorHAnsi" w:hAnsiTheme="minorHAnsi" w:cstheme="minorHAnsi"/>
                <w:sz w:val="18"/>
                <w:szCs w:val="18"/>
                <w:lang w:bidi="en-US"/>
              </w:rPr>
              <w:lastRenderedPageBreak/>
              <w:t>•</w:t>
            </w:r>
            <w:r w:rsidRPr="008C4811">
              <w:rPr>
                <w:rFonts w:asciiTheme="minorHAnsi" w:hAnsiTheme="minorHAnsi" w:cstheme="minorHAnsi"/>
                <w:sz w:val="18"/>
                <w:szCs w:val="18"/>
                <w:lang w:bidi="en-US"/>
              </w:rPr>
              <w:tab/>
              <w:t>Procédures révisées: les procédures existantes sont tenues à jour (nombre de révisions adaptées et mises en œuvre)</w:t>
            </w:r>
          </w:p>
        </w:tc>
        <w:tc>
          <w:tcPr>
            <w:tcW w:w="1591" w:type="dxa"/>
            <w:tcBorders>
              <w:bottom w:val="single" w:sz="4" w:space="0" w:color="auto"/>
            </w:tcBorders>
            <w:shd w:val="clear" w:color="auto" w:fill="DBE5F1" w:themeFill="accent1" w:themeFillTint="33"/>
          </w:tcPr>
          <w:p w14:paraId="27C2B5A3" w14:textId="77777777" w:rsidR="008F0EA4" w:rsidRPr="00B651E4" w:rsidRDefault="008F0EA4" w:rsidP="001D32F6">
            <w:pPr>
              <w:pStyle w:val="Tabletext"/>
              <w:rPr>
                <w:sz w:val="18"/>
              </w:rPr>
            </w:pPr>
            <w:r w:rsidRPr="00B651E4">
              <w:rPr>
                <w:sz w:val="18"/>
              </w:rPr>
              <w:lastRenderedPageBreak/>
              <w:t>HRMD</w:t>
            </w:r>
          </w:p>
          <w:p w14:paraId="73BF06DA" w14:textId="77777777" w:rsidR="008F0EA4" w:rsidRPr="00B651E4" w:rsidRDefault="008F0EA4" w:rsidP="001D32F6">
            <w:pPr>
              <w:pStyle w:val="Tabletext"/>
              <w:rPr>
                <w:sz w:val="18"/>
              </w:rPr>
            </w:pPr>
            <w:r w:rsidRPr="00B651E4">
              <w:rPr>
                <w:sz w:val="18"/>
              </w:rPr>
              <w:t>Conseil du personnel</w:t>
            </w:r>
          </w:p>
          <w:p w14:paraId="0276D4D5" w14:textId="77777777" w:rsidR="008F0EA4" w:rsidRPr="00B651E4" w:rsidRDefault="008F0EA4" w:rsidP="001D32F6">
            <w:pPr>
              <w:pStyle w:val="Tabletext"/>
              <w:rPr>
                <w:sz w:val="18"/>
              </w:rPr>
            </w:pPr>
            <w:r w:rsidRPr="00B651E4">
              <w:rPr>
                <w:sz w:val="18"/>
              </w:rPr>
              <w:t xml:space="preserve">Unité des affaires juridiques </w:t>
            </w:r>
          </w:p>
          <w:p w14:paraId="23CF97C4" w14:textId="77777777" w:rsidR="008F0EA4" w:rsidRPr="00B651E4" w:rsidRDefault="008F0EA4" w:rsidP="001D32F6">
            <w:pPr>
              <w:pStyle w:val="Tabletext"/>
              <w:rPr>
                <w:sz w:val="18"/>
              </w:rPr>
            </w:pPr>
            <w:r w:rsidRPr="00B651E4">
              <w:rPr>
                <w:sz w:val="18"/>
              </w:rPr>
              <w:t>Comité consultatif mixte</w:t>
            </w:r>
          </w:p>
          <w:p w14:paraId="6DFE105F" w14:textId="77777777" w:rsidR="008F0EA4" w:rsidRPr="00B651E4" w:rsidRDefault="008F0EA4" w:rsidP="001D32F6">
            <w:pPr>
              <w:pStyle w:val="Tabletext"/>
              <w:rPr>
                <w:sz w:val="18"/>
              </w:rPr>
            </w:pPr>
            <w:r w:rsidRPr="00B651E4">
              <w:rPr>
                <w:sz w:val="18"/>
              </w:rPr>
              <w:t>Comité de coordination</w:t>
            </w:r>
          </w:p>
        </w:tc>
        <w:tc>
          <w:tcPr>
            <w:tcW w:w="1555" w:type="dxa"/>
            <w:tcBorders>
              <w:bottom w:val="single" w:sz="4" w:space="0" w:color="auto"/>
            </w:tcBorders>
            <w:shd w:val="clear" w:color="auto" w:fill="DBE5F1" w:themeFill="accent1" w:themeFillTint="33"/>
          </w:tcPr>
          <w:p w14:paraId="46C6F902" w14:textId="152E2E75" w:rsidR="008F0EA4" w:rsidRPr="00B651E4" w:rsidRDefault="008F0EA4" w:rsidP="001D32F6">
            <w:pPr>
              <w:pStyle w:val="Tabletext"/>
              <w:rPr>
                <w:sz w:val="18"/>
              </w:rPr>
            </w:pPr>
            <w:r w:rsidRPr="00B651E4">
              <w:rPr>
                <w:sz w:val="18"/>
              </w:rPr>
              <w:t>202</w:t>
            </w:r>
            <w:r>
              <w:rPr>
                <w:sz w:val="18"/>
              </w:rPr>
              <w:t>2</w:t>
            </w:r>
          </w:p>
        </w:tc>
        <w:tc>
          <w:tcPr>
            <w:tcW w:w="4394" w:type="dxa"/>
            <w:tcBorders>
              <w:bottom w:val="single" w:sz="4" w:space="0" w:color="auto"/>
            </w:tcBorders>
            <w:shd w:val="clear" w:color="auto" w:fill="DBE5F1" w:themeFill="accent1" w:themeFillTint="33"/>
          </w:tcPr>
          <w:p w14:paraId="618539A8" w14:textId="49EB0F8C" w:rsidR="008F0EA4" w:rsidRDefault="008F0EA4" w:rsidP="001D32F6">
            <w:pPr>
              <w:pStyle w:val="Tabletext"/>
              <w:rPr>
                <w:sz w:val="18"/>
              </w:rPr>
            </w:pPr>
            <w:r w:rsidRPr="00B651E4">
              <w:rPr>
                <w:sz w:val="18"/>
              </w:rPr>
              <w:t>Une formation sera dispensée aux responsables et aux coordonnateurs des ressources humaines</w:t>
            </w:r>
            <w:r w:rsidR="00E63488">
              <w:rPr>
                <w:sz w:val="18"/>
              </w:rPr>
              <w:t>,</w:t>
            </w:r>
            <w:r w:rsidRPr="00B651E4">
              <w:rPr>
                <w:sz w:val="18"/>
              </w:rPr>
              <w:t xml:space="preserve"> afin de renforcer leurs compétences en matière de rédaction des descriptions d</w:t>
            </w:r>
            <w:r w:rsidR="00E14E13">
              <w:rPr>
                <w:sz w:val="18"/>
              </w:rPr>
              <w:t>'</w:t>
            </w:r>
            <w:r w:rsidRPr="00B651E4">
              <w:rPr>
                <w:sz w:val="18"/>
              </w:rPr>
              <w:t>emploi.</w:t>
            </w:r>
          </w:p>
          <w:p w14:paraId="2573BF6F" w14:textId="38F208B2" w:rsidR="008F0EA4" w:rsidRPr="00FB066B" w:rsidRDefault="00FB066B" w:rsidP="001D32F6">
            <w:pPr>
              <w:pStyle w:val="Tabletext"/>
              <w:rPr>
                <w:sz w:val="18"/>
              </w:rPr>
            </w:pPr>
            <w:r w:rsidRPr="00FB066B">
              <w:rPr>
                <w:sz w:val="18"/>
              </w:rPr>
              <w:t>Des descriptions d</w:t>
            </w:r>
            <w:r w:rsidR="00E14E13">
              <w:rPr>
                <w:sz w:val="18"/>
              </w:rPr>
              <w:t>'</w:t>
            </w:r>
            <w:r w:rsidRPr="00FB066B">
              <w:rPr>
                <w:sz w:val="18"/>
              </w:rPr>
              <w:t>emploi génériques sont en cours d</w:t>
            </w:r>
            <w:r w:rsidR="00E14E13">
              <w:rPr>
                <w:sz w:val="18"/>
              </w:rPr>
              <w:t>'</w:t>
            </w:r>
            <w:r>
              <w:rPr>
                <w:sz w:val="18"/>
              </w:rPr>
              <w:t>élaboration de sorte que les processus de classement soient simplifiés</w:t>
            </w:r>
            <w:r w:rsidR="008F0EA4" w:rsidRPr="00FB066B">
              <w:rPr>
                <w:sz w:val="18"/>
              </w:rPr>
              <w:t>.</w:t>
            </w:r>
          </w:p>
          <w:p w14:paraId="651F0F8C" w14:textId="34729AFC" w:rsidR="008F0EA4" w:rsidRPr="00EC2030" w:rsidRDefault="008F0EA4" w:rsidP="001D32F6">
            <w:pPr>
              <w:pStyle w:val="Tabletext"/>
              <w:rPr>
                <w:sz w:val="18"/>
              </w:rPr>
            </w:pPr>
            <w:r w:rsidRPr="00B651E4">
              <w:rPr>
                <w:sz w:val="18"/>
              </w:rPr>
              <w:t>L</w:t>
            </w:r>
            <w:r w:rsidR="00E14E13">
              <w:rPr>
                <w:sz w:val="18"/>
              </w:rPr>
              <w:t>'</w:t>
            </w:r>
            <w:r w:rsidRPr="00B651E4">
              <w:rPr>
                <w:sz w:val="18"/>
              </w:rPr>
              <w:t>Ordre de service N</w:t>
            </w:r>
            <w:r>
              <w:rPr>
                <w:sz w:val="18"/>
              </w:rPr>
              <w:t>°</w:t>
            </w:r>
            <w:r w:rsidRPr="00B651E4">
              <w:rPr>
                <w:sz w:val="18"/>
              </w:rPr>
              <w:t xml:space="preserve"> 19/16 relatif au classement des emplois, qui a été publié e</w:t>
            </w:r>
            <w:r>
              <w:rPr>
                <w:sz w:val="18"/>
              </w:rPr>
              <w:t>n </w:t>
            </w:r>
            <w:r w:rsidRPr="00B651E4">
              <w:rPr>
                <w:sz w:val="18"/>
              </w:rPr>
              <w:t xml:space="preserve">2019, sera modifié afin de rechercher un alignement avec les enseignements tirés </w:t>
            </w:r>
            <w:r w:rsidRPr="00B651E4">
              <w:rPr>
                <w:sz w:val="18"/>
              </w:rPr>
              <w:lastRenderedPageBreak/>
              <w:t>de la pratique et avec les autres organisations appliqua</w:t>
            </w:r>
            <w:r>
              <w:rPr>
                <w:sz w:val="18"/>
              </w:rPr>
              <w:t>nt le régime commun des Nations </w:t>
            </w:r>
            <w:r w:rsidRPr="00B651E4">
              <w:rPr>
                <w:sz w:val="18"/>
              </w:rPr>
              <w:t>Unies.</w:t>
            </w:r>
          </w:p>
        </w:tc>
      </w:tr>
      <w:tr w:rsidR="008F0EA4" w:rsidRPr="00FB066B" w14:paraId="2AA8862B" w14:textId="77777777" w:rsidTr="007F43CA">
        <w:trPr>
          <w:jc w:val="center"/>
        </w:trPr>
        <w:tc>
          <w:tcPr>
            <w:tcW w:w="495" w:type="dxa"/>
            <w:tcBorders>
              <w:bottom w:val="single" w:sz="4" w:space="0" w:color="auto"/>
            </w:tcBorders>
            <w:shd w:val="clear" w:color="auto" w:fill="DBE5F1" w:themeFill="accent1" w:themeFillTint="33"/>
          </w:tcPr>
          <w:p w14:paraId="22960AA5"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1.3</w:t>
            </w:r>
          </w:p>
        </w:tc>
        <w:tc>
          <w:tcPr>
            <w:tcW w:w="1300" w:type="dxa"/>
            <w:tcBorders>
              <w:top w:val="single" w:sz="4" w:space="0" w:color="auto"/>
              <w:bottom w:val="single" w:sz="4" w:space="0" w:color="auto"/>
            </w:tcBorders>
            <w:shd w:val="clear" w:color="auto" w:fill="DBE5F1" w:themeFill="accent1" w:themeFillTint="33"/>
          </w:tcPr>
          <w:p w14:paraId="712316AF"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Effectifs équilibrés et diversifiés</w:t>
            </w:r>
          </w:p>
        </w:tc>
        <w:tc>
          <w:tcPr>
            <w:tcW w:w="2127" w:type="dxa"/>
            <w:tcBorders>
              <w:bottom w:val="single" w:sz="4" w:space="0" w:color="auto"/>
            </w:tcBorders>
            <w:shd w:val="clear" w:color="auto" w:fill="DBE5F1" w:themeFill="accent1" w:themeFillTint="33"/>
          </w:tcPr>
          <w:p w14:paraId="6A2A20FF" w14:textId="65917672" w:rsidR="008F0EA4" w:rsidRPr="00B651E4" w:rsidRDefault="008F0EA4" w:rsidP="00470104">
            <w:pPr>
              <w:pStyle w:val="Tabletext"/>
              <w:tabs>
                <w:tab w:val="left" w:pos="314"/>
                <w:tab w:val="left" w:pos="679"/>
              </w:tabs>
              <w:rPr>
                <w:rFonts w:asciiTheme="minorHAnsi" w:hAnsiTheme="minorHAnsi" w:cstheme="minorHAnsi"/>
                <w:sz w:val="18"/>
                <w:szCs w:val="18"/>
              </w:rPr>
            </w:pPr>
            <w:r w:rsidRPr="00B651E4">
              <w:rPr>
                <w:rFonts w:asciiTheme="minorHAnsi" w:hAnsiTheme="minorHAnsi" w:cstheme="minorHAnsi"/>
                <w:sz w:val="18"/>
                <w:szCs w:val="18"/>
              </w:rPr>
              <w:t>Veiller à ce que les statistiques établies concernant la parité hommes-femmes et la représentation géographique aillent dans le sens des décisions et des processus de recrutement</w:t>
            </w:r>
          </w:p>
        </w:tc>
        <w:tc>
          <w:tcPr>
            <w:tcW w:w="2425" w:type="dxa"/>
            <w:tcBorders>
              <w:bottom w:val="single" w:sz="4" w:space="0" w:color="auto"/>
            </w:tcBorders>
            <w:shd w:val="clear" w:color="auto" w:fill="DBE5F1" w:themeFill="accent1" w:themeFillTint="33"/>
          </w:tcPr>
          <w:p w14:paraId="6D40C65A" w14:textId="2DBEEE8E"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Proportion de fonctionnaires pour lesquels il est tenu compte de la répartition géographique et de la parité hommes-femmes, par lieu d</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affectation, Secteur, grade (%)</w:t>
            </w:r>
          </w:p>
          <w:p w14:paraId="6906643A" w14:textId="2EDBB600"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Représentation des sexes par groupe professionnel</w:t>
            </w:r>
            <w:r w:rsidR="005A7175">
              <w:rPr>
                <w:rFonts w:asciiTheme="minorHAnsi" w:hAnsiTheme="minorHAnsi" w:cstheme="minorHAnsi"/>
                <w:sz w:val="18"/>
                <w:szCs w:val="18"/>
                <w:lang w:bidi="en-US"/>
              </w:rPr>
              <w:t> </w:t>
            </w:r>
            <w:r w:rsidRPr="00B651E4">
              <w:rPr>
                <w:rFonts w:asciiTheme="minorHAnsi" w:hAnsiTheme="minorHAnsi" w:cstheme="minorHAnsi"/>
                <w:sz w:val="18"/>
                <w:szCs w:val="18"/>
                <w:lang w:bidi="en-US"/>
              </w:rPr>
              <w:t>(%)</w:t>
            </w:r>
          </w:p>
          <w:p w14:paraId="353FF6E3" w14:textId="7777777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Suivi régulier des principaux critères de mesure de la diversité du personnel, tels que la répartition g</w:t>
            </w:r>
            <w:r>
              <w:rPr>
                <w:rFonts w:asciiTheme="minorHAnsi" w:hAnsiTheme="minorHAnsi" w:cstheme="minorHAnsi"/>
                <w:sz w:val="18"/>
                <w:szCs w:val="18"/>
                <w:lang w:bidi="en-US"/>
              </w:rPr>
              <w:t>éographique et la parité hommes</w:t>
            </w:r>
            <w:r>
              <w:rPr>
                <w:rFonts w:asciiTheme="minorHAnsi" w:hAnsiTheme="minorHAnsi" w:cstheme="minorHAnsi"/>
                <w:sz w:val="18"/>
                <w:szCs w:val="18"/>
                <w:lang w:bidi="en-US"/>
              </w:rPr>
              <w:noBreakHyphen/>
            </w:r>
            <w:r w:rsidRPr="00B651E4">
              <w:rPr>
                <w:rFonts w:asciiTheme="minorHAnsi" w:hAnsiTheme="minorHAnsi" w:cstheme="minorHAnsi"/>
                <w:sz w:val="18"/>
                <w:szCs w:val="18"/>
                <w:lang w:bidi="en-US"/>
              </w:rPr>
              <w:t>femmes</w:t>
            </w:r>
          </w:p>
        </w:tc>
        <w:tc>
          <w:tcPr>
            <w:tcW w:w="1591" w:type="dxa"/>
            <w:tcBorders>
              <w:bottom w:val="single" w:sz="4" w:space="0" w:color="auto"/>
            </w:tcBorders>
            <w:shd w:val="clear" w:color="auto" w:fill="DBE5F1" w:themeFill="accent1" w:themeFillTint="33"/>
          </w:tcPr>
          <w:p w14:paraId="71EF38EE"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HRMD</w:t>
            </w:r>
          </w:p>
        </w:tc>
        <w:tc>
          <w:tcPr>
            <w:tcW w:w="1555" w:type="dxa"/>
            <w:tcBorders>
              <w:bottom w:val="single" w:sz="4" w:space="0" w:color="auto"/>
            </w:tcBorders>
            <w:shd w:val="clear" w:color="auto" w:fill="DBE5F1" w:themeFill="accent1" w:themeFillTint="33"/>
          </w:tcPr>
          <w:p w14:paraId="0167F3D5"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En cours</w:t>
            </w:r>
          </w:p>
        </w:tc>
        <w:tc>
          <w:tcPr>
            <w:tcW w:w="4394" w:type="dxa"/>
            <w:tcBorders>
              <w:bottom w:val="single" w:sz="4" w:space="0" w:color="auto"/>
            </w:tcBorders>
            <w:shd w:val="clear" w:color="auto" w:fill="DBE5F1" w:themeFill="accent1" w:themeFillTint="33"/>
          </w:tcPr>
          <w:p w14:paraId="30B97248" w14:textId="77777777" w:rsidR="008F0EA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Les statistiques relatives à la parité hommes-femmes et à la répartition géographique sont mises à jour de façon régulière et établies systématiquement dans le cadre des processus de recrutement.</w:t>
            </w:r>
          </w:p>
          <w:p w14:paraId="043C4337" w14:textId="30776976" w:rsidR="008F0EA4" w:rsidRPr="00FB066B" w:rsidRDefault="00FB066B" w:rsidP="001D32F6">
            <w:pPr>
              <w:pStyle w:val="Tabletext"/>
              <w:rPr>
                <w:rFonts w:asciiTheme="minorHAnsi" w:hAnsiTheme="minorHAnsi" w:cstheme="minorHAnsi"/>
                <w:sz w:val="18"/>
                <w:szCs w:val="18"/>
              </w:rPr>
            </w:pPr>
            <w:r w:rsidRPr="00FB066B">
              <w:rPr>
                <w:rFonts w:asciiTheme="minorHAnsi" w:hAnsiTheme="minorHAnsi" w:cstheme="minorHAnsi"/>
                <w:sz w:val="18"/>
                <w:szCs w:val="18"/>
              </w:rPr>
              <w:t xml:space="preserve">En outre, le Département HRMD a </w:t>
            </w:r>
            <w:r w:rsidR="005628C7">
              <w:rPr>
                <w:rFonts w:asciiTheme="minorHAnsi" w:hAnsiTheme="minorHAnsi" w:cstheme="minorHAnsi"/>
                <w:sz w:val="18"/>
                <w:szCs w:val="18"/>
              </w:rPr>
              <w:t>mis</w:t>
            </w:r>
            <w:r w:rsidR="009D5E39">
              <w:rPr>
                <w:rFonts w:asciiTheme="minorHAnsi" w:hAnsiTheme="minorHAnsi" w:cstheme="minorHAnsi"/>
                <w:sz w:val="18"/>
                <w:szCs w:val="18"/>
              </w:rPr>
              <w:t xml:space="preserve"> en place</w:t>
            </w:r>
            <w:r w:rsidR="009D5E39" w:rsidRPr="00FB066B">
              <w:rPr>
                <w:rFonts w:asciiTheme="minorHAnsi" w:hAnsiTheme="minorHAnsi" w:cstheme="minorHAnsi"/>
                <w:sz w:val="18"/>
                <w:szCs w:val="18"/>
              </w:rPr>
              <w:t xml:space="preserve"> </w:t>
            </w:r>
            <w:r w:rsidRPr="00FB066B">
              <w:rPr>
                <w:rFonts w:asciiTheme="minorHAnsi" w:hAnsiTheme="minorHAnsi" w:cstheme="minorHAnsi"/>
                <w:sz w:val="18"/>
                <w:szCs w:val="18"/>
              </w:rPr>
              <w:t>un entrepôt de donné</w:t>
            </w:r>
            <w:r>
              <w:rPr>
                <w:rFonts w:asciiTheme="minorHAnsi" w:hAnsiTheme="minorHAnsi" w:cstheme="minorHAnsi"/>
                <w:sz w:val="18"/>
                <w:szCs w:val="18"/>
              </w:rPr>
              <w:t>es et un nouveau tableau de bord électronique pour l</w:t>
            </w:r>
            <w:r w:rsidR="00E14E13">
              <w:rPr>
                <w:rFonts w:asciiTheme="minorHAnsi" w:hAnsiTheme="minorHAnsi" w:cstheme="minorHAnsi"/>
                <w:sz w:val="18"/>
                <w:szCs w:val="18"/>
              </w:rPr>
              <w:t>'</w:t>
            </w:r>
            <w:r>
              <w:rPr>
                <w:rFonts w:asciiTheme="minorHAnsi" w:hAnsiTheme="minorHAnsi" w:cstheme="minorHAnsi"/>
                <w:sz w:val="18"/>
                <w:szCs w:val="18"/>
              </w:rPr>
              <w:t>établissement de rapports.</w:t>
            </w:r>
          </w:p>
        </w:tc>
      </w:tr>
      <w:tr w:rsidR="008F0EA4" w:rsidRPr="00B16CB8" w14:paraId="6A83F8FA" w14:textId="77777777" w:rsidTr="007F43CA">
        <w:trPr>
          <w:jc w:val="center"/>
        </w:trPr>
        <w:tc>
          <w:tcPr>
            <w:tcW w:w="495" w:type="dxa"/>
            <w:vMerge w:val="restart"/>
            <w:shd w:val="clear" w:color="auto" w:fill="DBE5F1" w:themeFill="accent1" w:themeFillTint="33"/>
          </w:tcPr>
          <w:p w14:paraId="1E2FDAD1"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1.4</w:t>
            </w:r>
          </w:p>
        </w:tc>
        <w:tc>
          <w:tcPr>
            <w:tcW w:w="1300" w:type="dxa"/>
            <w:vMerge w:val="restart"/>
            <w:shd w:val="clear" w:color="auto" w:fill="DBE5F1" w:themeFill="accent1" w:themeFillTint="33"/>
          </w:tcPr>
          <w:p w14:paraId="2CEA4A6F"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Modèle et procédures de recrutement équilibrés, renforcés et simplifiés et réduction des délais de recrutement </w:t>
            </w:r>
          </w:p>
        </w:tc>
        <w:tc>
          <w:tcPr>
            <w:tcW w:w="2127" w:type="dxa"/>
            <w:tcBorders>
              <w:bottom w:val="single" w:sz="4" w:space="0" w:color="auto"/>
            </w:tcBorders>
            <w:shd w:val="clear" w:color="auto" w:fill="DBE5F1" w:themeFill="accent1" w:themeFillTint="33"/>
          </w:tcPr>
          <w:p w14:paraId="33365B3E" w14:textId="244F0AF5" w:rsidR="008F0EA4" w:rsidRPr="00B651E4" w:rsidRDefault="008F0EA4" w:rsidP="001D32F6">
            <w:pPr>
              <w:pStyle w:val="Tabletext"/>
              <w:tabs>
                <w:tab w:val="left" w:pos="314"/>
              </w:tabs>
              <w:ind w:left="225" w:hanging="225"/>
              <w:rPr>
                <w:rFonts w:asciiTheme="minorHAnsi" w:hAnsiTheme="minorHAnsi" w:cstheme="minorHAnsi"/>
                <w:sz w:val="18"/>
                <w:szCs w:val="18"/>
              </w:rPr>
            </w:pPr>
            <w:r w:rsidRPr="00B651E4">
              <w:rPr>
                <w:rFonts w:asciiTheme="minorHAnsi" w:hAnsiTheme="minorHAnsi" w:cstheme="minorHAnsi"/>
                <w:sz w:val="18"/>
                <w:szCs w:val="18"/>
              </w:rPr>
              <w:t>1</w:t>
            </w:r>
            <w:r w:rsidRPr="00B651E4">
              <w:rPr>
                <w:rFonts w:asciiTheme="minorHAnsi" w:hAnsiTheme="minorHAnsi" w:cstheme="minorHAnsi"/>
                <w:sz w:val="18"/>
                <w:szCs w:val="18"/>
              </w:rPr>
              <w:tab/>
              <w:t>Examiner le processus de recrutement actuel à la lumière des bonnes pratiques d</w:t>
            </w:r>
            <w:r w:rsidR="00E14E13">
              <w:rPr>
                <w:rFonts w:asciiTheme="minorHAnsi" w:hAnsiTheme="minorHAnsi" w:cstheme="minorHAnsi"/>
                <w:sz w:val="18"/>
                <w:szCs w:val="18"/>
              </w:rPr>
              <w:t>'</w:t>
            </w:r>
            <w:r w:rsidRPr="00B651E4">
              <w:rPr>
                <w:rFonts w:asciiTheme="minorHAnsi" w:hAnsiTheme="minorHAnsi" w:cstheme="minorHAnsi"/>
                <w:sz w:val="18"/>
                <w:szCs w:val="18"/>
              </w:rPr>
              <w:t>autres organisations du système des Nations Unies, en vue de renforcer, de simplifier et d</w:t>
            </w:r>
            <w:r w:rsidR="00E14E13">
              <w:rPr>
                <w:rFonts w:asciiTheme="minorHAnsi" w:hAnsiTheme="minorHAnsi" w:cstheme="minorHAnsi"/>
                <w:sz w:val="18"/>
                <w:szCs w:val="18"/>
              </w:rPr>
              <w:t>'</w:t>
            </w:r>
            <w:r w:rsidRPr="00B651E4">
              <w:rPr>
                <w:rFonts w:asciiTheme="minorHAnsi" w:hAnsiTheme="minorHAnsi" w:cstheme="minorHAnsi"/>
                <w:sz w:val="18"/>
                <w:szCs w:val="18"/>
              </w:rPr>
              <w:t>accélérer le processus de recrutement opérationnel à l</w:t>
            </w:r>
            <w:r w:rsidR="00E14E13">
              <w:rPr>
                <w:rFonts w:asciiTheme="minorHAnsi" w:hAnsiTheme="minorHAnsi" w:cstheme="minorHAnsi"/>
                <w:sz w:val="18"/>
                <w:szCs w:val="18"/>
              </w:rPr>
              <w:t>'</w:t>
            </w:r>
            <w:r w:rsidRPr="00B651E4">
              <w:rPr>
                <w:rFonts w:asciiTheme="minorHAnsi" w:hAnsiTheme="minorHAnsi" w:cstheme="minorHAnsi"/>
                <w:sz w:val="18"/>
                <w:szCs w:val="18"/>
              </w:rPr>
              <w:t>UIT et d</w:t>
            </w:r>
            <w:r w:rsidR="00E14E13">
              <w:rPr>
                <w:rFonts w:asciiTheme="minorHAnsi" w:hAnsiTheme="minorHAnsi" w:cstheme="minorHAnsi"/>
                <w:sz w:val="18"/>
                <w:szCs w:val="18"/>
              </w:rPr>
              <w:t>'</w:t>
            </w:r>
            <w:r w:rsidRPr="00B651E4">
              <w:rPr>
                <w:rFonts w:asciiTheme="minorHAnsi" w:hAnsiTheme="minorHAnsi" w:cstheme="minorHAnsi"/>
                <w:sz w:val="18"/>
                <w:szCs w:val="18"/>
              </w:rPr>
              <w:t>intégrer des solutions et des moyens de recrutement innovants</w:t>
            </w:r>
          </w:p>
        </w:tc>
        <w:tc>
          <w:tcPr>
            <w:tcW w:w="2425" w:type="dxa"/>
            <w:tcBorders>
              <w:bottom w:val="single" w:sz="4" w:space="0" w:color="auto"/>
            </w:tcBorders>
            <w:shd w:val="clear" w:color="auto" w:fill="DBE5F1" w:themeFill="accent1" w:themeFillTint="33"/>
          </w:tcPr>
          <w:p w14:paraId="475727F9" w14:textId="7777777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 xml:space="preserve">Mise en œuvre du processus de recrutement </w:t>
            </w:r>
            <w:r>
              <w:rPr>
                <w:rFonts w:asciiTheme="minorHAnsi" w:hAnsiTheme="minorHAnsi" w:cstheme="minorHAnsi"/>
                <w:sz w:val="18"/>
                <w:szCs w:val="18"/>
                <w:lang w:bidi="en-US"/>
              </w:rPr>
              <w:t>opérationnel révisé</w:t>
            </w:r>
          </w:p>
          <w:p w14:paraId="75A55C1D" w14:textId="7777777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Blocages recensés et traités</w:t>
            </w:r>
          </w:p>
        </w:tc>
        <w:tc>
          <w:tcPr>
            <w:tcW w:w="1591" w:type="dxa"/>
            <w:tcBorders>
              <w:bottom w:val="single" w:sz="4" w:space="0" w:color="auto"/>
            </w:tcBorders>
            <w:shd w:val="clear" w:color="auto" w:fill="DBE5F1" w:themeFill="accent1" w:themeFillTint="33"/>
          </w:tcPr>
          <w:p w14:paraId="63CBAA83" w14:textId="77777777" w:rsidR="008F0EA4" w:rsidRPr="00B651E4" w:rsidRDefault="008F0EA4" w:rsidP="001D32F6">
            <w:pPr>
              <w:pStyle w:val="Tabletext"/>
              <w:keepLines/>
              <w:rPr>
                <w:rFonts w:asciiTheme="minorHAnsi" w:hAnsiTheme="minorHAnsi" w:cstheme="minorHAnsi"/>
                <w:sz w:val="18"/>
                <w:szCs w:val="18"/>
              </w:rPr>
            </w:pPr>
            <w:r w:rsidRPr="00B651E4">
              <w:rPr>
                <w:rFonts w:asciiTheme="minorHAnsi" w:hAnsiTheme="minorHAnsi" w:cstheme="minorHAnsi"/>
                <w:sz w:val="18"/>
                <w:szCs w:val="18"/>
              </w:rPr>
              <w:t>HRMD</w:t>
            </w:r>
          </w:p>
          <w:p w14:paraId="175945AC" w14:textId="77777777" w:rsidR="008F0EA4" w:rsidRPr="00B651E4" w:rsidRDefault="008F0EA4" w:rsidP="001D32F6">
            <w:pPr>
              <w:pStyle w:val="Tabletext"/>
              <w:keepLines/>
              <w:rPr>
                <w:rFonts w:asciiTheme="minorHAnsi" w:hAnsiTheme="minorHAnsi" w:cstheme="minorHAnsi"/>
                <w:sz w:val="18"/>
                <w:szCs w:val="18"/>
              </w:rPr>
            </w:pPr>
            <w:r w:rsidRPr="00B651E4">
              <w:rPr>
                <w:rFonts w:asciiTheme="minorHAnsi" w:hAnsiTheme="minorHAnsi" w:cstheme="minorHAnsi"/>
                <w:sz w:val="18"/>
                <w:szCs w:val="18"/>
              </w:rPr>
              <w:t>Unité des affaires juridiques</w:t>
            </w:r>
          </w:p>
          <w:p w14:paraId="56D2A868"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Comité de coordination</w:t>
            </w:r>
          </w:p>
        </w:tc>
        <w:tc>
          <w:tcPr>
            <w:tcW w:w="1555" w:type="dxa"/>
            <w:tcBorders>
              <w:bottom w:val="single" w:sz="4" w:space="0" w:color="auto"/>
            </w:tcBorders>
            <w:shd w:val="clear" w:color="auto" w:fill="DBE5F1" w:themeFill="accent1" w:themeFillTint="33"/>
          </w:tcPr>
          <w:p w14:paraId="6A937E36"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2020-2021</w:t>
            </w:r>
          </w:p>
        </w:tc>
        <w:tc>
          <w:tcPr>
            <w:tcW w:w="4394" w:type="dxa"/>
            <w:tcBorders>
              <w:bottom w:val="single" w:sz="4" w:space="0" w:color="auto"/>
            </w:tcBorders>
            <w:shd w:val="clear" w:color="auto" w:fill="DBE5F1" w:themeFill="accent1" w:themeFillTint="33"/>
          </w:tcPr>
          <w:p w14:paraId="2D16C72A" w14:textId="0228A49C" w:rsidR="008F0EA4" w:rsidRDefault="008F0EA4" w:rsidP="001D32F6">
            <w:pPr>
              <w:pStyle w:val="Tabletext"/>
              <w:keepLines/>
              <w:rPr>
                <w:rFonts w:asciiTheme="minorHAnsi" w:hAnsiTheme="minorHAnsi" w:cstheme="minorHAnsi"/>
                <w:sz w:val="18"/>
                <w:szCs w:val="18"/>
              </w:rPr>
            </w:pPr>
            <w:r w:rsidRPr="00B651E4">
              <w:rPr>
                <w:rFonts w:asciiTheme="minorHAnsi" w:hAnsiTheme="minorHAnsi" w:cstheme="minorHAnsi"/>
                <w:sz w:val="18"/>
                <w:szCs w:val="18"/>
              </w:rPr>
              <w:t xml:space="preserve">Le Département HRMD </w:t>
            </w:r>
            <w:r w:rsidR="00B16CB8">
              <w:rPr>
                <w:rFonts w:asciiTheme="minorHAnsi" w:hAnsiTheme="minorHAnsi" w:cstheme="minorHAnsi"/>
                <w:sz w:val="18"/>
                <w:szCs w:val="18"/>
              </w:rPr>
              <w:t>continue de participer aux travaux du</w:t>
            </w:r>
            <w:r w:rsidRPr="00B651E4">
              <w:rPr>
                <w:rFonts w:asciiTheme="minorHAnsi" w:hAnsiTheme="minorHAnsi" w:cstheme="minorHAnsi"/>
                <w:sz w:val="18"/>
                <w:szCs w:val="18"/>
              </w:rPr>
              <w:t xml:space="preserve"> Groupe de travail sur le recrutement et la prospection </w:t>
            </w:r>
            <w:r w:rsidR="00B16CB8">
              <w:rPr>
                <w:rFonts w:asciiTheme="minorHAnsi" w:hAnsiTheme="minorHAnsi" w:cstheme="minorHAnsi"/>
                <w:sz w:val="18"/>
                <w:szCs w:val="18"/>
              </w:rPr>
              <w:t xml:space="preserve">du Conseil des chefs de secrétariat des organismes </w:t>
            </w:r>
            <w:r w:rsidR="00B65E51">
              <w:rPr>
                <w:rFonts w:asciiTheme="minorHAnsi" w:hAnsiTheme="minorHAnsi" w:cstheme="minorHAnsi"/>
                <w:sz w:val="18"/>
                <w:szCs w:val="18"/>
              </w:rPr>
              <w:t xml:space="preserve">du système </w:t>
            </w:r>
            <w:r w:rsidR="00B16CB8">
              <w:rPr>
                <w:rFonts w:asciiTheme="minorHAnsi" w:hAnsiTheme="minorHAnsi" w:cstheme="minorHAnsi"/>
                <w:sz w:val="18"/>
                <w:szCs w:val="18"/>
              </w:rPr>
              <w:t xml:space="preserve">des Nations Unies </w:t>
            </w:r>
            <w:r w:rsidRPr="00B651E4">
              <w:rPr>
                <w:rFonts w:asciiTheme="minorHAnsi" w:hAnsiTheme="minorHAnsi" w:cstheme="minorHAnsi"/>
                <w:sz w:val="18"/>
                <w:szCs w:val="18"/>
              </w:rPr>
              <w:t>chargé de recueillir des informations sur les pratiques appliquées par différentes entités du système des Nations Unies dans les domaines de la planification des effectifs, du recrutement, de la prospection et de l</w:t>
            </w:r>
            <w:r w:rsidR="00E14E13">
              <w:rPr>
                <w:rFonts w:asciiTheme="minorHAnsi" w:hAnsiTheme="minorHAnsi" w:cstheme="minorHAnsi"/>
                <w:sz w:val="18"/>
                <w:szCs w:val="18"/>
              </w:rPr>
              <w:t>'</w:t>
            </w:r>
            <w:r w:rsidRPr="00B651E4">
              <w:rPr>
                <w:rFonts w:asciiTheme="minorHAnsi" w:hAnsiTheme="minorHAnsi" w:cstheme="minorHAnsi"/>
                <w:sz w:val="18"/>
                <w:szCs w:val="18"/>
              </w:rPr>
              <w:t>évaluation, dans le but d</w:t>
            </w:r>
            <w:r w:rsidR="00E14E13">
              <w:rPr>
                <w:rFonts w:asciiTheme="minorHAnsi" w:hAnsiTheme="minorHAnsi" w:cstheme="minorHAnsi"/>
                <w:sz w:val="18"/>
                <w:szCs w:val="18"/>
              </w:rPr>
              <w:t>'</w:t>
            </w:r>
            <w:r w:rsidRPr="00B651E4">
              <w:rPr>
                <w:rFonts w:asciiTheme="minorHAnsi" w:hAnsiTheme="minorHAnsi" w:cstheme="minorHAnsi"/>
                <w:sz w:val="18"/>
                <w:szCs w:val="18"/>
              </w:rPr>
              <w:t>examiner et d</w:t>
            </w:r>
            <w:r w:rsidR="00E14E13">
              <w:rPr>
                <w:rFonts w:asciiTheme="minorHAnsi" w:hAnsiTheme="minorHAnsi" w:cstheme="minorHAnsi"/>
                <w:sz w:val="18"/>
                <w:szCs w:val="18"/>
              </w:rPr>
              <w:t>'</w:t>
            </w:r>
            <w:r w:rsidRPr="00B651E4">
              <w:rPr>
                <w:rFonts w:asciiTheme="minorHAnsi" w:hAnsiTheme="minorHAnsi" w:cstheme="minorHAnsi"/>
                <w:sz w:val="18"/>
                <w:szCs w:val="18"/>
              </w:rPr>
              <w:t>identifier les pratiques, outils et systèmes qui pourraient être adoptés à l</w:t>
            </w:r>
            <w:r w:rsidR="00E14E13">
              <w:rPr>
                <w:rFonts w:asciiTheme="minorHAnsi" w:hAnsiTheme="minorHAnsi" w:cstheme="minorHAnsi"/>
                <w:sz w:val="18"/>
                <w:szCs w:val="18"/>
              </w:rPr>
              <w:t>'</w:t>
            </w:r>
            <w:r w:rsidRPr="00B651E4">
              <w:rPr>
                <w:rFonts w:asciiTheme="minorHAnsi" w:hAnsiTheme="minorHAnsi" w:cstheme="minorHAnsi"/>
                <w:sz w:val="18"/>
                <w:szCs w:val="18"/>
              </w:rPr>
              <w:t>échelle du système de manière à produire des économies d</w:t>
            </w:r>
            <w:r w:rsidR="00E14E13">
              <w:rPr>
                <w:rFonts w:asciiTheme="minorHAnsi" w:hAnsiTheme="minorHAnsi" w:cstheme="minorHAnsi"/>
                <w:sz w:val="18"/>
                <w:szCs w:val="18"/>
              </w:rPr>
              <w:t>'</w:t>
            </w:r>
            <w:r w:rsidRPr="00B651E4">
              <w:rPr>
                <w:rFonts w:asciiTheme="minorHAnsi" w:hAnsiTheme="minorHAnsi" w:cstheme="minorHAnsi"/>
                <w:sz w:val="18"/>
                <w:szCs w:val="18"/>
              </w:rPr>
              <w:t>échelle et à assurer une normalisation et une harmonisation.</w:t>
            </w:r>
          </w:p>
          <w:p w14:paraId="5B80FF96" w14:textId="7CB17423" w:rsidR="008F0EA4" w:rsidRPr="00B16CB8" w:rsidRDefault="00B16CB8" w:rsidP="001D32F6">
            <w:pPr>
              <w:pStyle w:val="Tabletext"/>
              <w:keepLines/>
              <w:rPr>
                <w:rFonts w:asciiTheme="minorHAnsi" w:hAnsiTheme="minorHAnsi" w:cstheme="minorHAnsi"/>
                <w:sz w:val="18"/>
                <w:szCs w:val="18"/>
              </w:rPr>
            </w:pPr>
            <w:r w:rsidRPr="00B16CB8">
              <w:rPr>
                <w:rFonts w:asciiTheme="minorHAnsi" w:hAnsiTheme="minorHAnsi" w:cstheme="minorHAnsi"/>
                <w:sz w:val="18"/>
                <w:szCs w:val="18"/>
              </w:rPr>
              <w:t xml:space="preserve">Dans ce contexte, le Département HRMD a continué de proposer de </w:t>
            </w:r>
            <w:r>
              <w:rPr>
                <w:rFonts w:asciiTheme="minorHAnsi" w:hAnsiTheme="minorHAnsi" w:cstheme="minorHAnsi"/>
                <w:sz w:val="18"/>
                <w:szCs w:val="18"/>
              </w:rPr>
              <w:t>ramener de deux à un mois</w:t>
            </w:r>
            <w:r w:rsidRPr="00B16CB8">
              <w:rPr>
                <w:rFonts w:asciiTheme="minorHAnsi" w:hAnsiTheme="minorHAnsi" w:cstheme="minorHAnsi"/>
                <w:sz w:val="18"/>
                <w:szCs w:val="18"/>
              </w:rPr>
              <w:t xml:space="preserve"> la période de </w:t>
            </w:r>
            <w:r w:rsidR="009D5E39">
              <w:rPr>
                <w:rFonts w:asciiTheme="minorHAnsi" w:hAnsiTheme="minorHAnsi" w:cstheme="minorHAnsi"/>
                <w:sz w:val="18"/>
                <w:szCs w:val="18"/>
              </w:rPr>
              <w:t>publication des postes désignés pour faire l</w:t>
            </w:r>
            <w:r w:rsidR="00E14E13">
              <w:rPr>
                <w:rFonts w:asciiTheme="minorHAnsi" w:hAnsiTheme="minorHAnsi" w:cstheme="minorHAnsi"/>
                <w:sz w:val="18"/>
                <w:szCs w:val="18"/>
              </w:rPr>
              <w:t>'</w:t>
            </w:r>
            <w:r w:rsidR="009D5E39">
              <w:rPr>
                <w:rFonts w:asciiTheme="minorHAnsi" w:hAnsiTheme="minorHAnsi" w:cstheme="minorHAnsi"/>
                <w:sz w:val="18"/>
                <w:szCs w:val="18"/>
              </w:rPr>
              <w:t>objet d</w:t>
            </w:r>
            <w:r w:rsidR="00E14E13">
              <w:rPr>
                <w:rFonts w:asciiTheme="minorHAnsi" w:hAnsiTheme="minorHAnsi" w:cstheme="minorHAnsi"/>
                <w:sz w:val="18"/>
                <w:szCs w:val="18"/>
              </w:rPr>
              <w:t>'</w:t>
            </w:r>
            <w:r w:rsidR="009D5E39">
              <w:rPr>
                <w:rFonts w:asciiTheme="minorHAnsi" w:hAnsiTheme="minorHAnsi" w:cstheme="minorHAnsi"/>
                <w:sz w:val="18"/>
                <w:szCs w:val="18"/>
              </w:rPr>
              <w:t xml:space="preserve">un </w:t>
            </w:r>
            <w:r>
              <w:rPr>
                <w:rFonts w:asciiTheme="minorHAnsi" w:hAnsiTheme="minorHAnsi" w:cstheme="minorHAnsi"/>
                <w:sz w:val="18"/>
                <w:szCs w:val="18"/>
              </w:rPr>
              <w:t xml:space="preserve">recrutement externe </w:t>
            </w:r>
            <w:r w:rsidRPr="00B16CB8">
              <w:rPr>
                <w:rFonts w:asciiTheme="minorHAnsi" w:hAnsiTheme="minorHAnsi" w:cstheme="minorHAnsi"/>
                <w:sz w:val="18"/>
                <w:szCs w:val="18"/>
              </w:rPr>
              <w:t xml:space="preserve">sur </w:t>
            </w:r>
            <w:r w:rsidR="009D5E39">
              <w:rPr>
                <w:rFonts w:asciiTheme="minorHAnsi" w:hAnsiTheme="minorHAnsi" w:cstheme="minorHAnsi"/>
                <w:sz w:val="18"/>
                <w:szCs w:val="18"/>
              </w:rPr>
              <w:t xml:space="preserve">concours </w:t>
            </w:r>
            <w:r w:rsidRPr="00B16CB8">
              <w:rPr>
                <w:rFonts w:asciiTheme="minorHAnsi" w:hAnsiTheme="minorHAnsi" w:cstheme="minorHAnsi"/>
                <w:sz w:val="18"/>
                <w:szCs w:val="18"/>
              </w:rPr>
              <w:t>international</w:t>
            </w:r>
            <w:r w:rsidR="008F0EA4" w:rsidRPr="00B16CB8">
              <w:rPr>
                <w:rFonts w:asciiTheme="minorHAnsi" w:hAnsiTheme="minorHAnsi" w:cstheme="minorHAnsi"/>
                <w:sz w:val="18"/>
                <w:szCs w:val="18"/>
              </w:rPr>
              <w:t>.</w:t>
            </w:r>
          </w:p>
        </w:tc>
      </w:tr>
      <w:tr w:rsidR="008F0EA4" w:rsidRPr="008C41F6" w14:paraId="5D6545AC" w14:textId="77777777" w:rsidTr="007F43CA">
        <w:trPr>
          <w:jc w:val="center"/>
        </w:trPr>
        <w:tc>
          <w:tcPr>
            <w:tcW w:w="495" w:type="dxa"/>
            <w:vMerge/>
            <w:shd w:val="clear" w:color="auto" w:fill="DBE5F1" w:themeFill="accent1" w:themeFillTint="33"/>
          </w:tcPr>
          <w:p w14:paraId="63F376F8" w14:textId="77777777" w:rsidR="008F0EA4" w:rsidRPr="00B16CB8" w:rsidRDefault="008F0EA4" w:rsidP="001D32F6">
            <w:pPr>
              <w:pStyle w:val="Tabletext"/>
              <w:keepLines/>
              <w:spacing w:before="0" w:after="0"/>
              <w:rPr>
                <w:sz w:val="18"/>
                <w:szCs w:val="18"/>
              </w:rPr>
            </w:pPr>
          </w:p>
        </w:tc>
        <w:tc>
          <w:tcPr>
            <w:tcW w:w="1300" w:type="dxa"/>
            <w:vMerge/>
            <w:shd w:val="clear" w:color="auto" w:fill="DBE5F1" w:themeFill="accent1" w:themeFillTint="33"/>
          </w:tcPr>
          <w:p w14:paraId="0E27F45E" w14:textId="77777777" w:rsidR="008F0EA4" w:rsidRPr="00B16CB8" w:rsidRDefault="008F0EA4" w:rsidP="001D32F6">
            <w:pPr>
              <w:pStyle w:val="Tablet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2DD67FAF" w14:textId="1C5E5EB9" w:rsidR="008F0EA4" w:rsidRPr="00B651E4" w:rsidRDefault="008F0EA4" w:rsidP="001D32F6">
            <w:pPr>
              <w:pStyle w:val="Tabletext"/>
              <w:keepLines/>
              <w:tabs>
                <w:tab w:val="left" w:pos="314"/>
              </w:tabs>
              <w:ind w:left="225" w:hanging="225"/>
              <w:rPr>
                <w:sz w:val="18"/>
                <w:szCs w:val="18"/>
              </w:rPr>
            </w:pPr>
            <w:r w:rsidRPr="00B651E4">
              <w:rPr>
                <w:sz w:val="18"/>
                <w:szCs w:val="18"/>
              </w:rPr>
              <w:t>2</w:t>
            </w:r>
            <w:r w:rsidRPr="00B651E4">
              <w:rPr>
                <w:sz w:val="18"/>
                <w:szCs w:val="18"/>
              </w:rPr>
              <w:tab/>
              <w:t>Établir et utiliser des lignes directrices relatives au recrutement à l</w:t>
            </w:r>
            <w:r w:rsidR="00E14E13">
              <w:rPr>
                <w:sz w:val="18"/>
                <w:szCs w:val="18"/>
              </w:rPr>
              <w:t>'</w:t>
            </w:r>
            <w:r w:rsidRPr="00B651E4">
              <w:rPr>
                <w:sz w:val="18"/>
                <w:szCs w:val="18"/>
              </w:rPr>
              <w:t>UIT décrivant clairement les processus de recrutement opérationnels, compte tenu des exigences énoncées dans la Résolut</w:t>
            </w:r>
            <w:r>
              <w:rPr>
                <w:sz w:val="18"/>
                <w:szCs w:val="18"/>
              </w:rPr>
              <w:t>ion 48 (Rév. Dubaï, 2018) de la </w:t>
            </w:r>
            <w:r w:rsidRPr="00B651E4">
              <w:rPr>
                <w:sz w:val="18"/>
                <w:szCs w:val="18"/>
              </w:rPr>
              <w:t>PP</w:t>
            </w:r>
          </w:p>
        </w:tc>
        <w:tc>
          <w:tcPr>
            <w:tcW w:w="2425" w:type="dxa"/>
            <w:tcBorders>
              <w:top w:val="single" w:sz="4" w:space="0" w:color="auto"/>
            </w:tcBorders>
            <w:shd w:val="clear" w:color="auto" w:fill="DBE5F1" w:themeFill="accent1" w:themeFillTint="33"/>
          </w:tcPr>
          <w:p w14:paraId="18ED25A2" w14:textId="0F55D2FA" w:rsidR="008F0EA4" w:rsidRPr="008C4811"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t>Guide établi (rapport qualitatif pour mesurer l</w:t>
            </w:r>
            <w:r w:rsidR="00E14E13">
              <w:rPr>
                <w:rFonts w:asciiTheme="minorHAnsi" w:hAnsiTheme="minorHAnsi" w:cstheme="minorHAnsi"/>
                <w:sz w:val="18"/>
                <w:szCs w:val="18"/>
                <w:lang w:bidi="en-US"/>
              </w:rPr>
              <w:t>'</w:t>
            </w:r>
            <w:r w:rsidRPr="008C4811">
              <w:rPr>
                <w:rFonts w:asciiTheme="minorHAnsi" w:hAnsiTheme="minorHAnsi" w:cstheme="minorHAnsi"/>
                <w:sz w:val="18"/>
                <w:szCs w:val="18"/>
                <w:lang w:bidi="en-US"/>
              </w:rPr>
              <w:t>évolution dans le temps)</w:t>
            </w:r>
          </w:p>
          <w:p w14:paraId="5CC96F26" w14:textId="05FBB6A0" w:rsidR="008F0EA4" w:rsidRPr="008C4811"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t>Diffuser le guide et organiser des sessions d</w:t>
            </w:r>
            <w:r w:rsidR="00E14E13">
              <w:rPr>
                <w:rFonts w:asciiTheme="minorHAnsi" w:hAnsiTheme="minorHAnsi" w:cstheme="minorHAnsi"/>
                <w:sz w:val="18"/>
                <w:szCs w:val="18"/>
                <w:lang w:bidi="en-US"/>
              </w:rPr>
              <w:t>'</w:t>
            </w:r>
            <w:r w:rsidRPr="008C4811">
              <w:rPr>
                <w:rFonts w:asciiTheme="minorHAnsi" w:hAnsiTheme="minorHAnsi" w:cstheme="minorHAnsi"/>
                <w:sz w:val="18"/>
                <w:szCs w:val="18"/>
                <w:lang w:bidi="en-US"/>
              </w:rPr>
              <w:t>information</w:t>
            </w:r>
          </w:p>
          <w:p w14:paraId="36B9E098" w14:textId="77777777" w:rsidR="008F0EA4" w:rsidRPr="008C4811"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t>Délai moyen pour recruter une personne/pourvoir un emploi</w:t>
            </w:r>
          </w:p>
          <w:p w14:paraId="13E9EE41" w14:textId="77777777" w:rsidR="008F0EA4" w:rsidRPr="00B651E4" w:rsidRDefault="008F0EA4" w:rsidP="001D32F6">
            <w:pPr>
              <w:pStyle w:val="Tabletext"/>
              <w:tabs>
                <w:tab w:val="left" w:pos="178"/>
                <w:tab w:val="left" w:pos="347"/>
              </w:tabs>
              <w:ind w:left="178" w:hanging="178"/>
              <w:rPr>
                <w:sz w:val="18"/>
                <w:szCs w:val="18"/>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t>Temps consacré par le responsable au processus de recrutement</w:t>
            </w:r>
          </w:p>
        </w:tc>
        <w:tc>
          <w:tcPr>
            <w:tcW w:w="1591" w:type="dxa"/>
            <w:tcBorders>
              <w:top w:val="single" w:sz="4" w:space="0" w:color="auto"/>
            </w:tcBorders>
            <w:shd w:val="clear" w:color="auto" w:fill="DBE5F1" w:themeFill="accent1" w:themeFillTint="33"/>
          </w:tcPr>
          <w:p w14:paraId="1065EE96" w14:textId="77777777" w:rsidR="008F0EA4" w:rsidRPr="00B651E4" w:rsidRDefault="008F0EA4" w:rsidP="001D32F6">
            <w:pPr>
              <w:pStyle w:val="Tabletext"/>
              <w:rPr>
                <w:sz w:val="18"/>
              </w:rPr>
            </w:pPr>
            <w:r w:rsidRPr="00B651E4">
              <w:rPr>
                <w:sz w:val="18"/>
              </w:rPr>
              <w:t>HRMD</w:t>
            </w:r>
          </w:p>
          <w:p w14:paraId="317EA219" w14:textId="77777777" w:rsidR="008F0EA4" w:rsidRPr="00B651E4" w:rsidRDefault="008F0EA4" w:rsidP="001D32F6">
            <w:pPr>
              <w:pStyle w:val="Tabletext"/>
              <w:rPr>
                <w:sz w:val="18"/>
              </w:rPr>
            </w:pPr>
            <w:r w:rsidRPr="00B651E4">
              <w:rPr>
                <w:sz w:val="18"/>
              </w:rPr>
              <w:t>Unité des affaires juridiques</w:t>
            </w:r>
          </w:p>
          <w:p w14:paraId="621D55FF" w14:textId="77777777" w:rsidR="008F0EA4" w:rsidRPr="00B651E4" w:rsidRDefault="008F0EA4" w:rsidP="001D32F6">
            <w:pPr>
              <w:pStyle w:val="Tabletext"/>
              <w:keepLines/>
              <w:rPr>
                <w:sz w:val="18"/>
              </w:rPr>
            </w:pPr>
            <w:r w:rsidRPr="00B651E4">
              <w:rPr>
                <w:sz w:val="18"/>
              </w:rPr>
              <w:t>Comité de coordination</w:t>
            </w:r>
          </w:p>
        </w:tc>
        <w:tc>
          <w:tcPr>
            <w:tcW w:w="1555" w:type="dxa"/>
            <w:tcBorders>
              <w:top w:val="single" w:sz="4" w:space="0" w:color="auto"/>
            </w:tcBorders>
            <w:shd w:val="clear" w:color="auto" w:fill="DBE5F1" w:themeFill="accent1" w:themeFillTint="33"/>
          </w:tcPr>
          <w:p w14:paraId="1A790B54" w14:textId="77777777" w:rsidR="008F0EA4" w:rsidRPr="00B651E4" w:rsidRDefault="008F0EA4" w:rsidP="001D32F6">
            <w:pPr>
              <w:pStyle w:val="Tabletext"/>
              <w:keepLines/>
              <w:rPr>
                <w:sz w:val="18"/>
              </w:rPr>
            </w:pPr>
            <w:r w:rsidRPr="00B651E4">
              <w:rPr>
                <w:sz w:val="18"/>
              </w:rPr>
              <w:t>2020-2021</w:t>
            </w:r>
          </w:p>
        </w:tc>
        <w:tc>
          <w:tcPr>
            <w:tcW w:w="4394" w:type="dxa"/>
            <w:tcBorders>
              <w:top w:val="single" w:sz="4" w:space="0" w:color="auto"/>
            </w:tcBorders>
            <w:shd w:val="clear" w:color="auto" w:fill="DBE5F1" w:themeFill="accent1" w:themeFillTint="33"/>
          </w:tcPr>
          <w:p w14:paraId="7609171F" w14:textId="049501A8" w:rsidR="008F0EA4" w:rsidRPr="00EB0160" w:rsidRDefault="008F0EA4" w:rsidP="001D32F6">
            <w:pPr>
              <w:pStyle w:val="Tabletext"/>
              <w:keepLines/>
              <w:rPr>
                <w:sz w:val="18"/>
              </w:rPr>
            </w:pPr>
            <w:r w:rsidRPr="00B651E4">
              <w:rPr>
                <w:sz w:val="18"/>
              </w:rPr>
              <w:t>Le Département HRMD a analysé de façon détaillée le processus de recrutement de l</w:t>
            </w:r>
            <w:r w:rsidR="00E14E13">
              <w:rPr>
                <w:sz w:val="18"/>
              </w:rPr>
              <w:t>'</w:t>
            </w:r>
            <w:r w:rsidRPr="00B651E4">
              <w:rPr>
                <w:sz w:val="18"/>
              </w:rPr>
              <w:t xml:space="preserve">UIT </w:t>
            </w:r>
            <w:r>
              <w:rPr>
                <w:sz w:val="18"/>
              </w:rPr>
              <w:t>et du régime commun des Nations </w:t>
            </w:r>
            <w:r w:rsidRPr="00B651E4">
              <w:rPr>
                <w:sz w:val="18"/>
              </w:rPr>
              <w:t>Unies et a élaboré un Rapport sur le processus de recrutement et de sélection et sur l</w:t>
            </w:r>
            <w:r w:rsidR="00E14E13">
              <w:rPr>
                <w:sz w:val="18"/>
              </w:rPr>
              <w:t>'</w:t>
            </w:r>
            <w:r w:rsidRPr="00B651E4">
              <w:rPr>
                <w:sz w:val="18"/>
              </w:rPr>
              <w:t xml:space="preserve">analyse comparative avec les autres organisations appliquant le régime commun des Nations Unies. </w:t>
            </w:r>
            <w:r w:rsidR="00EB0160" w:rsidRPr="00EB0160">
              <w:rPr>
                <w:sz w:val="18"/>
              </w:rPr>
              <w:t>Les</w:t>
            </w:r>
            <w:r w:rsidRPr="00EB0160">
              <w:rPr>
                <w:sz w:val="18"/>
              </w:rPr>
              <w:t xml:space="preserve"> recommandations </w:t>
            </w:r>
            <w:r w:rsidR="00EB0160" w:rsidRPr="00EB0160">
              <w:rPr>
                <w:sz w:val="18"/>
              </w:rPr>
              <w:t xml:space="preserve">figurant dans ce rapport, qui visent </w:t>
            </w:r>
            <w:r w:rsidRPr="00EB0160">
              <w:rPr>
                <w:sz w:val="18"/>
              </w:rPr>
              <w:t>à préciser, simplifier et accélérer le processus de recrutement à l</w:t>
            </w:r>
            <w:r w:rsidR="00E14E13">
              <w:rPr>
                <w:sz w:val="18"/>
              </w:rPr>
              <w:t>'</w:t>
            </w:r>
            <w:r w:rsidRPr="00EB0160">
              <w:rPr>
                <w:sz w:val="18"/>
              </w:rPr>
              <w:t xml:space="preserve">UIT </w:t>
            </w:r>
            <w:r w:rsidR="00EB0160" w:rsidRPr="00EB0160">
              <w:rPr>
                <w:sz w:val="18"/>
              </w:rPr>
              <w:t>ont</w:t>
            </w:r>
            <w:r w:rsidR="00EB0160">
              <w:rPr>
                <w:sz w:val="18"/>
              </w:rPr>
              <w:t xml:space="preserve"> été prises en considération dans les nouvelles Lignes directrices relatives au recrutement, qui ont </w:t>
            </w:r>
            <w:r w:rsidR="009D5E39">
              <w:rPr>
                <w:sz w:val="18"/>
              </w:rPr>
              <w:t xml:space="preserve">été amplement débattues </w:t>
            </w:r>
            <w:r w:rsidR="00EB0160">
              <w:rPr>
                <w:sz w:val="18"/>
              </w:rPr>
              <w:t xml:space="preserve">à tous les niveaux, </w:t>
            </w:r>
            <w:r w:rsidR="005628C7">
              <w:rPr>
                <w:sz w:val="18"/>
              </w:rPr>
              <w:t>y </w:t>
            </w:r>
            <w:r w:rsidR="009D5E39">
              <w:rPr>
                <w:sz w:val="18"/>
              </w:rPr>
              <w:t xml:space="preserve">compris au </w:t>
            </w:r>
            <w:r w:rsidR="00E152D7">
              <w:rPr>
                <w:sz w:val="18"/>
              </w:rPr>
              <w:t xml:space="preserve">Comité de coordination, </w:t>
            </w:r>
            <w:r w:rsidR="009D5E39">
              <w:rPr>
                <w:sz w:val="18"/>
              </w:rPr>
              <w:t xml:space="preserve">au </w:t>
            </w:r>
            <w:r w:rsidR="00E152D7">
              <w:rPr>
                <w:sz w:val="18"/>
              </w:rPr>
              <w:t xml:space="preserve">Groupe de coordination de la gestion, </w:t>
            </w:r>
            <w:r w:rsidR="009D5E39">
              <w:rPr>
                <w:sz w:val="18"/>
              </w:rPr>
              <w:t xml:space="preserve">au </w:t>
            </w:r>
            <w:r w:rsidR="00E152D7">
              <w:rPr>
                <w:sz w:val="18"/>
              </w:rPr>
              <w:t xml:space="preserve">Conseil du personnel et </w:t>
            </w:r>
            <w:r w:rsidR="009D5E39">
              <w:rPr>
                <w:sz w:val="18"/>
              </w:rPr>
              <w:t xml:space="preserve">à </w:t>
            </w:r>
            <w:r w:rsidR="00E152D7">
              <w:rPr>
                <w:sz w:val="18"/>
              </w:rPr>
              <w:t>l</w:t>
            </w:r>
            <w:r w:rsidR="00E14E13">
              <w:rPr>
                <w:sz w:val="18"/>
              </w:rPr>
              <w:t>'</w:t>
            </w:r>
            <w:r w:rsidR="00E152D7">
              <w:rPr>
                <w:sz w:val="18"/>
              </w:rPr>
              <w:t xml:space="preserve">Unité des affaires juridiques, et </w:t>
            </w:r>
            <w:r w:rsidR="009D5E39">
              <w:rPr>
                <w:sz w:val="18"/>
              </w:rPr>
              <w:t>d</w:t>
            </w:r>
            <w:r w:rsidR="00E152D7">
              <w:rPr>
                <w:sz w:val="18"/>
              </w:rPr>
              <w:t xml:space="preserve">ont </w:t>
            </w:r>
            <w:r w:rsidR="009D5E39">
              <w:rPr>
                <w:sz w:val="18"/>
              </w:rPr>
              <w:t>l</w:t>
            </w:r>
            <w:r w:rsidR="00E14E13">
              <w:rPr>
                <w:sz w:val="18"/>
              </w:rPr>
              <w:t>'</w:t>
            </w:r>
            <w:r w:rsidR="009D5E39">
              <w:rPr>
                <w:sz w:val="18"/>
              </w:rPr>
              <w:t xml:space="preserve">application a été approuvée à compter du </w:t>
            </w:r>
            <w:r w:rsidR="00E152D7">
              <w:rPr>
                <w:sz w:val="18"/>
              </w:rPr>
              <w:t>8 février 2022</w:t>
            </w:r>
            <w:r w:rsidRPr="00EB0160">
              <w:rPr>
                <w:sz w:val="18"/>
              </w:rPr>
              <w:t>.</w:t>
            </w:r>
          </w:p>
          <w:p w14:paraId="0FC651F2" w14:textId="1A934EE5" w:rsidR="008F0EA4" w:rsidRPr="008C41F6" w:rsidRDefault="008C41F6" w:rsidP="001D32F6">
            <w:pPr>
              <w:pStyle w:val="Tabletext"/>
              <w:keepLines/>
              <w:rPr>
                <w:sz w:val="18"/>
              </w:rPr>
            </w:pPr>
            <w:r w:rsidRPr="008C41F6">
              <w:rPr>
                <w:sz w:val="18"/>
              </w:rPr>
              <w:lastRenderedPageBreak/>
              <w:t xml:space="preserve">Les nouvelles Lignes directrices relatives au recrutement </w:t>
            </w:r>
            <w:r w:rsidR="009D5E39">
              <w:rPr>
                <w:sz w:val="18"/>
              </w:rPr>
              <w:t>prévoient</w:t>
            </w:r>
            <w:r w:rsidR="009D5E39" w:rsidRPr="008C41F6">
              <w:rPr>
                <w:sz w:val="18"/>
              </w:rPr>
              <w:t xml:space="preserve"> </w:t>
            </w:r>
            <w:r w:rsidRPr="008C41F6">
              <w:rPr>
                <w:sz w:val="18"/>
              </w:rPr>
              <w:t>i) de nouveaux processus visant à améliorer l</w:t>
            </w:r>
            <w:r w:rsidR="00E14E13">
              <w:rPr>
                <w:sz w:val="18"/>
              </w:rPr>
              <w:t>'</w:t>
            </w:r>
            <w:r w:rsidRPr="008C41F6">
              <w:rPr>
                <w:sz w:val="18"/>
              </w:rPr>
              <w:t xml:space="preserve">autonomie et la responsabilisation des </w:t>
            </w:r>
            <w:r>
              <w:rPr>
                <w:sz w:val="18"/>
              </w:rPr>
              <w:t>cadres chargés du recrutement</w:t>
            </w:r>
            <w:r w:rsidR="008F0EA4" w:rsidRPr="008C41F6">
              <w:rPr>
                <w:sz w:val="18"/>
              </w:rPr>
              <w:t xml:space="preserve">, ii) </w:t>
            </w:r>
            <w:r w:rsidR="007844FA">
              <w:rPr>
                <w:sz w:val="18"/>
              </w:rPr>
              <w:t xml:space="preserve">des processus prévoyant un renforcement du contrôle exercé par le Département HRMD, conformément aux recommandations des vérificateurs, et iii) des processus visant à renforcer la vérification des </w:t>
            </w:r>
            <w:r w:rsidR="00805F55">
              <w:rPr>
                <w:sz w:val="18"/>
              </w:rPr>
              <w:t>titres</w:t>
            </w:r>
            <w:r w:rsidR="007844FA">
              <w:rPr>
                <w:sz w:val="18"/>
              </w:rPr>
              <w:t xml:space="preserve"> et des références</w:t>
            </w:r>
            <w:r w:rsidR="008F0EA4" w:rsidRPr="008C41F6">
              <w:rPr>
                <w:sz w:val="18"/>
              </w:rPr>
              <w:t>.</w:t>
            </w:r>
          </w:p>
        </w:tc>
      </w:tr>
      <w:tr w:rsidR="008F0EA4" w:rsidRPr="008C41F6" w14:paraId="09DB4A83" w14:textId="77777777" w:rsidTr="007F43CA">
        <w:trPr>
          <w:jc w:val="center"/>
        </w:trPr>
        <w:tc>
          <w:tcPr>
            <w:tcW w:w="495" w:type="dxa"/>
            <w:vMerge/>
            <w:shd w:val="clear" w:color="auto" w:fill="DBE5F1" w:themeFill="accent1" w:themeFillTint="33"/>
          </w:tcPr>
          <w:p w14:paraId="112EB273" w14:textId="77777777" w:rsidR="008F0EA4" w:rsidRPr="008C41F6" w:rsidRDefault="008F0EA4" w:rsidP="001D32F6">
            <w:pPr>
              <w:pStyle w:val="Tabletext"/>
              <w:keepLines/>
              <w:spacing w:before="0" w:after="0"/>
              <w:rPr>
                <w:sz w:val="18"/>
                <w:szCs w:val="18"/>
              </w:rPr>
            </w:pPr>
          </w:p>
        </w:tc>
        <w:tc>
          <w:tcPr>
            <w:tcW w:w="1300" w:type="dxa"/>
            <w:vMerge/>
            <w:shd w:val="clear" w:color="auto" w:fill="DBE5F1" w:themeFill="accent1" w:themeFillTint="33"/>
          </w:tcPr>
          <w:p w14:paraId="4780ACE2" w14:textId="77777777" w:rsidR="008F0EA4" w:rsidRPr="008C41F6" w:rsidRDefault="008F0EA4" w:rsidP="001D32F6">
            <w:pPr>
              <w:pStyle w:val="Tablet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2E754267" w14:textId="3A70DF20" w:rsidR="008F0EA4" w:rsidRPr="00B651E4" w:rsidRDefault="008F0EA4" w:rsidP="001D32F6">
            <w:pPr>
              <w:pStyle w:val="Tabletext"/>
              <w:keepLines/>
              <w:ind w:left="225" w:hanging="225"/>
              <w:rPr>
                <w:rFonts w:asciiTheme="minorHAnsi" w:hAnsiTheme="minorHAnsi" w:cstheme="minorHAnsi"/>
                <w:sz w:val="18"/>
                <w:szCs w:val="18"/>
              </w:rPr>
            </w:pPr>
            <w:r w:rsidRPr="00B651E4">
              <w:rPr>
                <w:rFonts w:asciiTheme="minorHAnsi" w:hAnsiTheme="minorHAnsi" w:cstheme="minorHAnsi"/>
                <w:sz w:val="18"/>
                <w:szCs w:val="18"/>
              </w:rPr>
              <w:t>3</w:t>
            </w:r>
            <w:r>
              <w:rPr>
                <w:rFonts w:asciiTheme="minorHAnsi" w:hAnsiTheme="minorHAnsi" w:cstheme="minorHAnsi"/>
                <w:sz w:val="18"/>
                <w:szCs w:val="18"/>
              </w:rPr>
              <w:tab/>
            </w:r>
            <w:r w:rsidRPr="00B651E4">
              <w:rPr>
                <w:rFonts w:asciiTheme="minorHAnsi" w:hAnsiTheme="minorHAnsi" w:cstheme="minorHAnsi"/>
                <w:sz w:val="18"/>
                <w:szCs w:val="18"/>
              </w:rPr>
              <w:t>Veiller à ce que le processus de recrutement et de sélection soit plus rapide,</w:t>
            </w:r>
            <w:r>
              <w:rPr>
                <w:rFonts w:asciiTheme="minorHAnsi" w:hAnsiTheme="minorHAnsi" w:cstheme="minorHAnsi"/>
                <w:sz w:val="18"/>
                <w:szCs w:val="18"/>
              </w:rPr>
              <w:t> </w:t>
            </w:r>
            <w:r w:rsidRPr="00B651E4">
              <w:rPr>
                <w:rFonts w:asciiTheme="minorHAnsi" w:hAnsiTheme="minorHAnsi" w:cstheme="minorHAnsi"/>
                <w:sz w:val="18"/>
                <w:szCs w:val="18"/>
              </w:rPr>
              <w:t>transparent et exempt de toute discrimination et de toute influence inappropriée, en faisant en sorte de choisir et de recruter la bonne personne pour le bon emploi au bon moment</w:t>
            </w:r>
          </w:p>
        </w:tc>
        <w:tc>
          <w:tcPr>
            <w:tcW w:w="2425" w:type="dxa"/>
            <w:tcBorders>
              <w:top w:val="single" w:sz="4" w:space="0" w:color="auto"/>
            </w:tcBorders>
            <w:shd w:val="clear" w:color="auto" w:fill="DBE5F1" w:themeFill="accent1" w:themeFillTint="33"/>
          </w:tcPr>
          <w:p w14:paraId="63813D43" w14:textId="269FEFA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Des outils d</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évaluation fiables et objectifs sont utilisés</w:t>
            </w:r>
          </w:p>
          <w:p w14:paraId="701816FE" w14:textId="7777777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Taux de vacance et de maintien</w:t>
            </w:r>
          </w:p>
          <w:p w14:paraId="6736FE70" w14:textId="7777777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Satisfaction du responsable du recrutement</w:t>
            </w:r>
          </w:p>
          <w:p w14:paraId="43CC0BBE" w14:textId="7777777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Taux de rotation du personnel/nombre de contrats non renouvelés au terme de la période probatoire</w:t>
            </w:r>
          </w:p>
        </w:tc>
        <w:tc>
          <w:tcPr>
            <w:tcW w:w="1591" w:type="dxa"/>
            <w:tcBorders>
              <w:top w:val="single" w:sz="4" w:space="0" w:color="auto"/>
            </w:tcBorders>
            <w:shd w:val="clear" w:color="auto" w:fill="DBE5F1" w:themeFill="accent1" w:themeFillTint="33"/>
          </w:tcPr>
          <w:p w14:paraId="05EB57EF" w14:textId="77777777" w:rsidR="008F0EA4" w:rsidRPr="00B651E4" w:rsidRDefault="008F0EA4" w:rsidP="001D32F6">
            <w:pPr>
              <w:spacing w:before="60" w:after="60"/>
              <w:rPr>
                <w:rFonts w:asciiTheme="minorHAnsi" w:hAnsiTheme="minorHAnsi" w:cstheme="minorHAnsi"/>
                <w:sz w:val="18"/>
                <w:szCs w:val="18"/>
              </w:rPr>
            </w:pPr>
            <w:r w:rsidRPr="00B651E4">
              <w:rPr>
                <w:rFonts w:asciiTheme="minorHAnsi" w:hAnsiTheme="minorHAnsi" w:cstheme="minorHAnsi"/>
                <w:sz w:val="18"/>
                <w:szCs w:val="18"/>
              </w:rPr>
              <w:t>HRMD</w:t>
            </w:r>
          </w:p>
          <w:p w14:paraId="3099327C"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Bureaux et Départements du Secrétariat général</w:t>
            </w:r>
          </w:p>
        </w:tc>
        <w:tc>
          <w:tcPr>
            <w:tcW w:w="1555" w:type="dxa"/>
            <w:tcBorders>
              <w:top w:val="single" w:sz="4" w:space="0" w:color="auto"/>
            </w:tcBorders>
            <w:shd w:val="clear" w:color="auto" w:fill="DBE5F1" w:themeFill="accent1" w:themeFillTint="33"/>
          </w:tcPr>
          <w:p w14:paraId="00327D8B" w14:textId="77777777" w:rsidR="008F0EA4" w:rsidRPr="00B651E4" w:rsidRDefault="008F0EA4" w:rsidP="001D32F6">
            <w:pPr>
              <w:pStyle w:val="Tabletext"/>
              <w:keepLines/>
              <w:rPr>
                <w:rFonts w:asciiTheme="minorHAnsi" w:hAnsiTheme="minorHAnsi" w:cstheme="minorHAnsi"/>
                <w:sz w:val="18"/>
                <w:szCs w:val="18"/>
              </w:rPr>
            </w:pPr>
            <w:r w:rsidRPr="00B651E4">
              <w:rPr>
                <w:rFonts w:asciiTheme="minorHAnsi" w:hAnsiTheme="minorHAnsi" w:cstheme="minorHAnsi"/>
                <w:sz w:val="18"/>
                <w:szCs w:val="18"/>
              </w:rPr>
              <w:t>2021-2022</w:t>
            </w:r>
          </w:p>
        </w:tc>
        <w:tc>
          <w:tcPr>
            <w:tcW w:w="4394" w:type="dxa"/>
            <w:tcBorders>
              <w:top w:val="single" w:sz="4" w:space="0" w:color="auto"/>
            </w:tcBorders>
            <w:shd w:val="clear" w:color="auto" w:fill="DBE5F1" w:themeFill="accent1" w:themeFillTint="33"/>
          </w:tcPr>
          <w:p w14:paraId="68C3A8EF" w14:textId="4EEEF2E0" w:rsidR="008F0EA4" w:rsidRPr="005A7175" w:rsidRDefault="008F0EA4" w:rsidP="001D32F6">
            <w:pPr>
              <w:pStyle w:val="Tabletext"/>
              <w:keepLines/>
              <w:rPr>
                <w:sz w:val="18"/>
              </w:rPr>
            </w:pPr>
            <w:r w:rsidRPr="005A7175">
              <w:rPr>
                <w:sz w:val="18"/>
              </w:rPr>
              <w:t>Un appel d</w:t>
            </w:r>
            <w:r w:rsidR="00E14E13">
              <w:rPr>
                <w:sz w:val="18"/>
              </w:rPr>
              <w:t>'</w:t>
            </w:r>
            <w:r w:rsidRPr="005A7175">
              <w:rPr>
                <w:sz w:val="18"/>
              </w:rPr>
              <w:t xml:space="preserve">offres pour le nouveau système de recrutement a été mené à bien, et </w:t>
            </w:r>
            <w:r w:rsidR="007844FA" w:rsidRPr="005A7175">
              <w:rPr>
                <w:sz w:val="18"/>
              </w:rPr>
              <w:t>le</w:t>
            </w:r>
            <w:r w:rsidRPr="005A7175">
              <w:rPr>
                <w:sz w:val="18"/>
              </w:rPr>
              <w:t xml:space="preserve"> fournisseur </w:t>
            </w:r>
            <w:r w:rsidR="007844FA" w:rsidRPr="005A7175">
              <w:rPr>
                <w:sz w:val="18"/>
              </w:rPr>
              <w:t xml:space="preserve">Arago </w:t>
            </w:r>
            <w:r w:rsidRPr="005A7175">
              <w:rPr>
                <w:sz w:val="18"/>
              </w:rPr>
              <w:t>a été retenu</w:t>
            </w:r>
            <w:r w:rsidR="007844FA" w:rsidRPr="005A7175">
              <w:rPr>
                <w:sz w:val="18"/>
              </w:rPr>
              <w:t xml:space="preserve"> en 2021.</w:t>
            </w:r>
          </w:p>
          <w:p w14:paraId="1172E277" w14:textId="67B40C7F" w:rsidR="002930EA" w:rsidRPr="005A7175" w:rsidRDefault="007844FA" w:rsidP="001D32F6">
            <w:pPr>
              <w:pStyle w:val="Tabletext"/>
              <w:keepLines/>
              <w:rPr>
                <w:sz w:val="18"/>
              </w:rPr>
            </w:pPr>
            <w:r w:rsidRPr="005A7175">
              <w:rPr>
                <w:sz w:val="18"/>
              </w:rPr>
              <w:t>Le processus de mise en œuvre d</w:t>
            </w:r>
            <w:r w:rsidR="00C73D61" w:rsidRPr="005A7175">
              <w:rPr>
                <w:sz w:val="18"/>
              </w:rPr>
              <w:t>u système d</w:t>
            </w:r>
            <w:r w:rsidR="00E14E13">
              <w:rPr>
                <w:sz w:val="18"/>
              </w:rPr>
              <w:t>'</w:t>
            </w:r>
            <w:r w:rsidRPr="005A7175">
              <w:rPr>
                <w:sz w:val="18"/>
              </w:rPr>
              <w:t xml:space="preserve">Arago a été </w:t>
            </w:r>
            <w:r w:rsidR="00805F55" w:rsidRPr="005A7175">
              <w:rPr>
                <w:sz w:val="18"/>
              </w:rPr>
              <w:t>couronné de succès</w:t>
            </w:r>
            <w:r w:rsidRPr="005A7175">
              <w:rPr>
                <w:sz w:val="18"/>
              </w:rPr>
              <w:t xml:space="preserve"> et le nouveau système de recrutement él</w:t>
            </w:r>
            <w:r w:rsidR="005628C7">
              <w:rPr>
                <w:sz w:val="18"/>
              </w:rPr>
              <w:t>ectronique sera opérationnel le </w:t>
            </w:r>
            <w:r w:rsidR="008F0EA4" w:rsidRPr="005A7175">
              <w:rPr>
                <w:sz w:val="18"/>
              </w:rPr>
              <w:t>28</w:t>
            </w:r>
            <w:r w:rsidR="005628C7">
              <w:rPr>
                <w:sz w:val="18"/>
              </w:rPr>
              <w:t> </w:t>
            </w:r>
            <w:r w:rsidRPr="005A7175">
              <w:rPr>
                <w:sz w:val="18"/>
              </w:rPr>
              <w:t>février</w:t>
            </w:r>
            <w:r w:rsidR="005628C7">
              <w:rPr>
                <w:sz w:val="18"/>
              </w:rPr>
              <w:t> </w:t>
            </w:r>
            <w:r w:rsidR="008F0EA4" w:rsidRPr="005A7175">
              <w:rPr>
                <w:sz w:val="18"/>
              </w:rPr>
              <w:t xml:space="preserve">2022. </w:t>
            </w:r>
            <w:r w:rsidR="002930EA" w:rsidRPr="005A7175">
              <w:rPr>
                <w:sz w:val="18"/>
              </w:rPr>
              <w:t>Le système permet d</w:t>
            </w:r>
            <w:r w:rsidR="00E14E13">
              <w:rPr>
                <w:sz w:val="18"/>
              </w:rPr>
              <w:t>'</w:t>
            </w:r>
            <w:r w:rsidR="002930EA" w:rsidRPr="005A7175">
              <w:rPr>
                <w:sz w:val="18"/>
              </w:rPr>
              <w:t>automatiser entièrement le processus de recrutement et d</w:t>
            </w:r>
            <w:r w:rsidR="00E14E13">
              <w:rPr>
                <w:sz w:val="18"/>
              </w:rPr>
              <w:t>'</w:t>
            </w:r>
            <w:r w:rsidR="002930EA" w:rsidRPr="005A7175">
              <w:rPr>
                <w:sz w:val="18"/>
              </w:rPr>
              <w:t>améliorer le suivi des échéances et offre des fonctionnalités détaillées et des gains d</w:t>
            </w:r>
            <w:r w:rsidR="00E14E13">
              <w:rPr>
                <w:sz w:val="18"/>
              </w:rPr>
              <w:t>'</w:t>
            </w:r>
            <w:r w:rsidR="002930EA" w:rsidRPr="005A7175">
              <w:rPr>
                <w:sz w:val="18"/>
              </w:rPr>
              <w:t>efficacité qui permettront d</w:t>
            </w:r>
            <w:r w:rsidR="00E14E13">
              <w:rPr>
                <w:sz w:val="18"/>
              </w:rPr>
              <w:t>'</w:t>
            </w:r>
            <w:r w:rsidR="002930EA" w:rsidRPr="005A7175">
              <w:rPr>
                <w:sz w:val="18"/>
              </w:rPr>
              <w:t>accélérer encore le processus de recrutement.</w:t>
            </w:r>
          </w:p>
          <w:p w14:paraId="7AE72F72" w14:textId="09F09E8A" w:rsidR="008F0EA4" w:rsidRPr="00683D89" w:rsidRDefault="002930EA" w:rsidP="001D32F6">
            <w:pPr>
              <w:pStyle w:val="Tabletext"/>
              <w:keepLines/>
              <w:rPr>
                <w:rFonts w:asciiTheme="minorHAnsi" w:hAnsiTheme="minorHAnsi" w:cstheme="minorHAnsi"/>
                <w:sz w:val="18"/>
                <w:szCs w:val="18"/>
              </w:rPr>
            </w:pPr>
            <w:r w:rsidRPr="005A7175">
              <w:rPr>
                <w:sz w:val="18"/>
              </w:rPr>
              <w:t xml:space="preserve">Les avis de vacance pour </w:t>
            </w:r>
            <w:r w:rsidRPr="005A7175">
              <w:rPr>
                <w:b/>
                <w:bCs/>
                <w:sz w:val="18"/>
              </w:rPr>
              <w:t>toutes</w:t>
            </w:r>
            <w:r w:rsidRPr="005A7175">
              <w:rPr>
                <w:sz w:val="18"/>
              </w:rPr>
              <w:t xml:space="preserve"> les modalités contractuelles seront traités au moyen du système de gestion des recrutements.</w:t>
            </w:r>
          </w:p>
        </w:tc>
      </w:tr>
      <w:tr w:rsidR="008F0EA4" w:rsidRPr="00B651E4" w14:paraId="39771DC2" w14:textId="77777777" w:rsidTr="007F43CA">
        <w:trPr>
          <w:jc w:val="center"/>
        </w:trPr>
        <w:tc>
          <w:tcPr>
            <w:tcW w:w="495" w:type="dxa"/>
            <w:vMerge/>
            <w:shd w:val="clear" w:color="auto" w:fill="DBE5F1" w:themeFill="accent1" w:themeFillTint="33"/>
          </w:tcPr>
          <w:p w14:paraId="3CC63950" w14:textId="77777777" w:rsidR="008F0EA4" w:rsidRPr="00683D89" w:rsidRDefault="008F0EA4" w:rsidP="001D32F6">
            <w:pPr>
              <w:pStyle w:val="Tabletext"/>
              <w:keepLines/>
              <w:spacing w:before="0" w:after="0"/>
              <w:rPr>
                <w:sz w:val="18"/>
                <w:szCs w:val="18"/>
              </w:rPr>
            </w:pPr>
          </w:p>
        </w:tc>
        <w:tc>
          <w:tcPr>
            <w:tcW w:w="1300" w:type="dxa"/>
            <w:vMerge/>
            <w:shd w:val="clear" w:color="auto" w:fill="DBE5F1" w:themeFill="accent1" w:themeFillTint="33"/>
          </w:tcPr>
          <w:p w14:paraId="1B9194F8" w14:textId="77777777" w:rsidR="008F0EA4" w:rsidRPr="00683D89" w:rsidRDefault="008F0EA4" w:rsidP="001D32F6">
            <w:pPr>
              <w:pStyle w:val="Tablet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3B0CBEF1" w14:textId="644D2143" w:rsidR="008F0EA4" w:rsidRPr="00B651E4" w:rsidRDefault="008F0EA4" w:rsidP="001D32F6">
            <w:pPr>
              <w:pStyle w:val="Tabletext"/>
              <w:keepLines/>
              <w:tabs>
                <w:tab w:val="left" w:pos="314"/>
              </w:tabs>
              <w:ind w:left="225" w:hanging="225"/>
              <w:rPr>
                <w:rFonts w:asciiTheme="minorHAnsi" w:hAnsiTheme="minorHAnsi" w:cstheme="minorHAnsi"/>
                <w:sz w:val="18"/>
                <w:szCs w:val="18"/>
              </w:rPr>
            </w:pPr>
            <w:r w:rsidRPr="00B651E4">
              <w:rPr>
                <w:rFonts w:asciiTheme="minorHAnsi" w:hAnsiTheme="minorHAnsi" w:cstheme="minorHAnsi"/>
                <w:sz w:val="18"/>
                <w:szCs w:val="18"/>
              </w:rPr>
              <w:t>4</w:t>
            </w:r>
            <w:r>
              <w:rPr>
                <w:rFonts w:asciiTheme="minorHAnsi" w:hAnsiTheme="minorHAnsi" w:cstheme="minorHAnsi"/>
                <w:sz w:val="18"/>
                <w:szCs w:val="18"/>
              </w:rPr>
              <w:tab/>
            </w:r>
            <w:r w:rsidRPr="00B651E4">
              <w:rPr>
                <w:rFonts w:asciiTheme="minorHAnsi" w:hAnsiTheme="minorHAnsi" w:cstheme="minorHAnsi"/>
                <w:sz w:val="18"/>
                <w:szCs w:val="18"/>
              </w:rPr>
              <w:t>Élaborer et dispenser une formation obligatoire à l</w:t>
            </w:r>
            <w:r w:rsidR="00E14E13">
              <w:rPr>
                <w:rFonts w:asciiTheme="minorHAnsi" w:hAnsiTheme="minorHAnsi" w:cstheme="minorHAnsi"/>
                <w:sz w:val="18"/>
                <w:szCs w:val="18"/>
              </w:rPr>
              <w:t>'</w:t>
            </w:r>
            <w:r w:rsidRPr="00B651E4">
              <w:rPr>
                <w:rFonts w:asciiTheme="minorHAnsi" w:hAnsiTheme="minorHAnsi" w:cstheme="minorHAnsi"/>
                <w:sz w:val="18"/>
                <w:szCs w:val="18"/>
              </w:rPr>
              <w:t xml:space="preserve">intention des membres des comités de sélection </w:t>
            </w:r>
          </w:p>
        </w:tc>
        <w:tc>
          <w:tcPr>
            <w:tcW w:w="2425" w:type="dxa"/>
            <w:tcBorders>
              <w:top w:val="single" w:sz="4" w:space="0" w:color="auto"/>
            </w:tcBorders>
            <w:shd w:val="clear" w:color="auto" w:fill="DBE5F1" w:themeFill="accent1" w:themeFillTint="33"/>
          </w:tcPr>
          <w:p w14:paraId="7305FD03" w14:textId="7777777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Nombre de membres des comités ayant reçu une formation</w:t>
            </w:r>
            <w:r w:rsidRPr="00B651E4">
              <w:rPr>
                <w:rFonts w:asciiTheme="minorHAnsi" w:hAnsiTheme="minorHAnsi" w:cstheme="minorHAnsi"/>
                <w:sz w:val="18"/>
                <w:szCs w:val="18"/>
              </w:rPr>
              <w:t xml:space="preserve"> </w:t>
            </w:r>
          </w:p>
        </w:tc>
        <w:tc>
          <w:tcPr>
            <w:tcW w:w="1591" w:type="dxa"/>
            <w:tcBorders>
              <w:top w:val="single" w:sz="4" w:space="0" w:color="auto"/>
            </w:tcBorders>
            <w:shd w:val="clear" w:color="auto" w:fill="DBE5F1" w:themeFill="accent1" w:themeFillTint="33"/>
          </w:tcPr>
          <w:p w14:paraId="47C857A5"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HRMD</w:t>
            </w:r>
          </w:p>
        </w:tc>
        <w:tc>
          <w:tcPr>
            <w:tcW w:w="1555" w:type="dxa"/>
            <w:tcBorders>
              <w:top w:val="single" w:sz="4" w:space="0" w:color="auto"/>
            </w:tcBorders>
            <w:shd w:val="clear" w:color="auto" w:fill="DBE5F1" w:themeFill="accent1" w:themeFillTint="33"/>
          </w:tcPr>
          <w:p w14:paraId="6BD74302" w14:textId="77777777" w:rsidR="008F0EA4" w:rsidRPr="00B651E4" w:rsidRDefault="008F0EA4" w:rsidP="001D32F6">
            <w:pPr>
              <w:pStyle w:val="Tabletext"/>
              <w:keepLines/>
              <w:rPr>
                <w:rFonts w:asciiTheme="minorHAnsi" w:hAnsiTheme="minorHAnsi" w:cstheme="minorHAnsi"/>
                <w:sz w:val="18"/>
                <w:szCs w:val="18"/>
              </w:rPr>
            </w:pPr>
            <w:r w:rsidRPr="00B651E4">
              <w:rPr>
                <w:rFonts w:asciiTheme="minorHAnsi" w:hAnsiTheme="minorHAnsi" w:cstheme="minorHAnsi"/>
                <w:sz w:val="18"/>
                <w:szCs w:val="18"/>
              </w:rPr>
              <w:t>2021-2022</w:t>
            </w:r>
          </w:p>
        </w:tc>
        <w:tc>
          <w:tcPr>
            <w:tcW w:w="4394" w:type="dxa"/>
            <w:tcBorders>
              <w:top w:val="single" w:sz="4" w:space="0" w:color="auto"/>
            </w:tcBorders>
            <w:shd w:val="clear" w:color="auto" w:fill="DBE5F1" w:themeFill="accent1" w:themeFillTint="33"/>
          </w:tcPr>
          <w:p w14:paraId="6D2EB552" w14:textId="2A54D6AA" w:rsidR="008F0EA4" w:rsidRPr="00B651E4" w:rsidRDefault="008F0EA4" w:rsidP="001D32F6">
            <w:pPr>
              <w:pStyle w:val="Tabletext"/>
              <w:keepLines/>
              <w:rPr>
                <w:rFonts w:asciiTheme="minorHAnsi" w:hAnsiTheme="minorHAnsi" w:cstheme="minorHAnsi"/>
                <w:sz w:val="18"/>
                <w:szCs w:val="18"/>
              </w:rPr>
            </w:pPr>
            <w:r w:rsidRPr="00B651E4">
              <w:rPr>
                <w:rFonts w:asciiTheme="minorHAnsi" w:hAnsiTheme="minorHAnsi" w:cstheme="minorHAnsi"/>
                <w:sz w:val="18"/>
                <w:szCs w:val="18"/>
              </w:rPr>
              <w:t xml:space="preserve">En sa qualité de membre du Groupe de travail </w:t>
            </w:r>
            <w:r w:rsidR="002930EA">
              <w:rPr>
                <w:rFonts w:asciiTheme="minorHAnsi" w:hAnsiTheme="minorHAnsi" w:cstheme="minorHAnsi"/>
                <w:sz w:val="18"/>
                <w:szCs w:val="18"/>
              </w:rPr>
              <w:t>du Conseil des chefs de secrétariat des organismes d</w:t>
            </w:r>
            <w:r w:rsidR="00B65E51">
              <w:rPr>
                <w:rFonts w:asciiTheme="minorHAnsi" w:hAnsiTheme="minorHAnsi" w:cstheme="minorHAnsi"/>
                <w:sz w:val="18"/>
                <w:szCs w:val="18"/>
              </w:rPr>
              <w:t>u système des</w:t>
            </w:r>
            <w:r w:rsidR="002930EA">
              <w:rPr>
                <w:rFonts w:asciiTheme="minorHAnsi" w:hAnsiTheme="minorHAnsi" w:cstheme="minorHAnsi"/>
                <w:sz w:val="18"/>
                <w:szCs w:val="18"/>
              </w:rPr>
              <w:t xml:space="preserve"> Nations Unies </w:t>
            </w:r>
            <w:r w:rsidRPr="00B651E4">
              <w:rPr>
                <w:rFonts w:asciiTheme="minorHAnsi" w:hAnsiTheme="minorHAnsi" w:cstheme="minorHAnsi"/>
                <w:sz w:val="18"/>
                <w:szCs w:val="18"/>
              </w:rPr>
              <w:t xml:space="preserve">sur le recrutement et la prospection, le Département HRMD est aussi membre du sous-groupe suivant: </w:t>
            </w:r>
          </w:p>
          <w:p w14:paraId="2B52BC8B" w14:textId="33EF04D9" w:rsidR="008F0EA4" w:rsidRPr="00B651E4" w:rsidRDefault="008F0EA4" w:rsidP="001D32F6">
            <w:pPr>
              <w:pStyle w:val="Tabletext"/>
              <w:keepLines/>
              <w:rPr>
                <w:rFonts w:asciiTheme="minorHAnsi" w:hAnsiTheme="minorHAnsi" w:cstheme="minorHAnsi"/>
                <w:sz w:val="18"/>
                <w:szCs w:val="18"/>
              </w:rPr>
            </w:pPr>
            <w:r w:rsidRPr="00B651E4">
              <w:rPr>
                <w:rFonts w:asciiTheme="minorHAnsi" w:hAnsiTheme="minorHAnsi" w:cstheme="minorHAnsi"/>
                <w:sz w:val="18"/>
                <w:szCs w:val="18"/>
              </w:rPr>
              <w:t>Formation visant à renforcer les compétences des recruteurs au sein du système des Nations Unies.</w:t>
            </w:r>
          </w:p>
        </w:tc>
      </w:tr>
      <w:tr w:rsidR="008F0EA4" w:rsidRPr="008C41F6" w14:paraId="47C51194" w14:textId="77777777" w:rsidTr="007F43CA">
        <w:trPr>
          <w:jc w:val="center"/>
        </w:trPr>
        <w:tc>
          <w:tcPr>
            <w:tcW w:w="495" w:type="dxa"/>
            <w:vMerge/>
            <w:shd w:val="clear" w:color="auto" w:fill="DBE5F1" w:themeFill="accent1" w:themeFillTint="33"/>
          </w:tcPr>
          <w:p w14:paraId="29BD74B8" w14:textId="77777777" w:rsidR="008F0EA4" w:rsidRPr="00B651E4" w:rsidRDefault="008F0EA4" w:rsidP="001D32F6">
            <w:pPr>
              <w:pStyle w:val="Tabletext"/>
              <w:keepLines/>
              <w:spacing w:before="0" w:after="0"/>
              <w:rPr>
                <w:sz w:val="18"/>
                <w:szCs w:val="18"/>
              </w:rPr>
            </w:pPr>
          </w:p>
        </w:tc>
        <w:tc>
          <w:tcPr>
            <w:tcW w:w="1300" w:type="dxa"/>
            <w:vMerge/>
            <w:shd w:val="clear" w:color="auto" w:fill="DBE5F1" w:themeFill="accent1" w:themeFillTint="33"/>
          </w:tcPr>
          <w:p w14:paraId="64337721" w14:textId="77777777" w:rsidR="008F0EA4" w:rsidRPr="00B651E4" w:rsidRDefault="008F0EA4" w:rsidP="001D32F6">
            <w:pPr>
              <w:pStyle w:val="Tablet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256E2759" w14:textId="268353F3" w:rsidR="008F0EA4" w:rsidRPr="00B651E4" w:rsidRDefault="008F0EA4" w:rsidP="001D32F6">
            <w:pPr>
              <w:pStyle w:val="Tabletext"/>
              <w:keepLines/>
              <w:tabs>
                <w:tab w:val="left" w:pos="314"/>
              </w:tabs>
              <w:ind w:left="225" w:hanging="225"/>
              <w:rPr>
                <w:rFonts w:asciiTheme="minorHAnsi" w:hAnsiTheme="minorHAnsi" w:cstheme="minorHAnsi"/>
                <w:sz w:val="18"/>
                <w:szCs w:val="18"/>
              </w:rPr>
            </w:pPr>
            <w:r w:rsidRPr="00B651E4">
              <w:rPr>
                <w:rFonts w:asciiTheme="minorHAnsi" w:hAnsiTheme="minorHAnsi" w:cstheme="minorHAnsi"/>
                <w:sz w:val="18"/>
                <w:szCs w:val="18"/>
              </w:rPr>
              <w:t>5</w:t>
            </w:r>
            <w:r>
              <w:rPr>
                <w:rFonts w:asciiTheme="minorHAnsi" w:hAnsiTheme="minorHAnsi" w:cstheme="minorHAnsi"/>
                <w:sz w:val="18"/>
                <w:szCs w:val="18"/>
              </w:rPr>
              <w:tab/>
            </w:r>
            <w:r w:rsidRPr="00B651E4">
              <w:rPr>
                <w:rFonts w:asciiTheme="minorHAnsi" w:hAnsiTheme="minorHAnsi" w:cstheme="minorHAnsi"/>
                <w:sz w:val="18"/>
                <w:szCs w:val="18"/>
              </w:rPr>
              <w:t>Concevoir et mettre en œuvre des lignes directrices pour l</w:t>
            </w:r>
            <w:r w:rsidR="00E14E13">
              <w:rPr>
                <w:rFonts w:asciiTheme="minorHAnsi" w:hAnsiTheme="minorHAnsi" w:cstheme="minorHAnsi"/>
                <w:sz w:val="18"/>
                <w:szCs w:val="18"/>
              </w:rPr>
              <w:t>'</w:t>
            </w:r>
            <w:r w:rsidRPr="00B651E4">
              <w:rPr>
                <w:rFonts w:asciiTheme="minorHAnsi" w:hAnsiTheme="minorHAnsi" w:cstheme="minorHAnsi"/>
                <w:sz w:val="18"/>
                <w:szCs w:val="18"/>
              </w:rPr>
              <w:t>emploi d</w:t>
            </w:r>
            <w:r w:rsidR="00E14E13">
              <w:rPr>
                <w:rFonts w:asciiTheme="minorHAnsi" w:hAnsiTheme="minorHAnsi" w:cstheme="minorHAnsi"/>
                <w:sz w:val="18"/>
                <w:szCs w:val="18"/>
              </w:rPr>
              <w:t>'</w:t>
            </w:r>
            <w:r w:rsidRPr="00B651E4">
              <w:rPr>
                <w:rFonts w:asciiTheme="minorHAnsi" w:hAnsiTheme="minorHAnsi" w:cstheme="minorHAnsi"/>
                <w:sz w:val="18"/>
                <w:szCs w:val="18"/>
              </w:rPr>
              <w:t>effectifs qui ne sont pas fonctionnaires (contrats d</w:t>
            </w:r>
            <w:r w:rsidR="00E14E13">
              <w:rPr>
                <w:rFonts w:asciiTheme="minorHAnsi" w:hAnsiTheme="minorHAnsi" w:cstheme="minorHAnsi"/>
                <w:sz w:val="18"/>
                <w:szCs w:val="18"/>
              </w:rPr>
              <w:t>'</w:t>
            </w:r>
            <w:r w:rsidRPr="00B651E4">
              <w:rPr>
                <w:rFonts w:asciiTheme="minorHAnsi" w:hAnsiTheme="minorHAnsi" w:cstheme="minorHAnsi"/>
                <w:sz w:val="18"/>
                <w:szCs w:val="18"/>
              </w:rPr>
              <w:t>engagement spéciaux (SSA))</w:t>
            </w:r>
          </w:p>
        </w:tc>
        <w:tc>
          <w:tcPr>
            <w:tcW w:w="2425" w:type="dxa"/>
            <w:tcBorders>
              <w:top w:val="single" w:sz="4" w:space="0" w:color="auto"/>
            </w:tcBorders>
            <w:shd w:val="clear" w:color="auto" w:fill="DBE5F1" w:themeFill="accent1" w:themeFillTint="33"/>
          </w:tcPr>
          <w:p w14:paraId="0DE84C90" w14:textId="3CCF46C4"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Politiques et lignes directrices appropriées pour le suivi et la gestion du recrutement d</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experts/de consultants (SSA). Publier tous les nouveaux contrats d</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engagement spécial, ainsi que ceux pour lesquels les fonctions et responsabilités ont été modifiées, en lien avec le processus d</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appel d</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offres</w:t>
            </w:r>
          </w:p>
          <w:p w14:paraId="23CDF1E0" w14:textId="29B86AB7" w:rsidR="008F0EA4" w:rsidRPr="00B651E4" w:rsidRDefault="008F0EA4" w:rsidP="001D32F6">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Le processus de recrutement des experts (SSA) (visant à définir les rôles et les responsabilités des départements/unités concernés) est examiné et documenté afin de s</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assurer que l</w:t>
            </w:r>
            <w:r>
              <w:rPr>
                <w:rFonts w:asciiTheme="minorHAnsi" w:hAnsiTheme="minorHAnsi" w:cstheme="minorHAnsi"/>
                <w:sz w:val="18"/>
                <w:szCs w:val="18"/>
                <w:lang w:bidi="en-US"/>
              </w:rPr>
              <w:t xml:space="preserve">es </w:t>
            </w:r>
            <w:r w:rsidR="004F1D7C">
              <w:rPr>
                <w:rFonts w:asciiTheme="minorHAnsi" w:hAnsiTheme="minorHAnsi" w:cstheme="minorHAnsi"/>
                <w:sz w:val="18"/>
                <w:szCs w:val="18"/>
                <w:lang w:bidi="en-US"/>
              </w:rPr>
              <w:t>mandats</w:t>
            </w:r>
            <w:r w:rsidRPr="005628C7">
              <w:rPr>
                <w:rFonts w:asciiTheme="minorHAnsi" w:hAnsiTheme="minorHAnsi" w:cstheme="minorHAnsi"/>
                <w:sz w:val="18"/>
                <w:szCs w:val="18"/>
                <w:lang w:bidi="en-US"/>
              </w:rPr>
              <w:t xml:space="preserve"> </w:t>
            </w:r>
            <w:r>
              <w:rPr>
                <w:rFonts w:asciiTheme="minorHAnsi" w:hAnsiTheme="minorHAnsi" w:cstheme="minorHAnsi"/>
                <w:sz w:val="18"/>
                <w:szCs w:val="18"/>
                <w:lang w:bidi="en-US"/>
              </w:rPr>
              <w:t>et les </w:t>
            </w:r>
            <w:r w:rsidRPr="00B651E4">
              <w:rPr>
                <w:rFonts w:asciiTheme="minorHAnsi" w:hAnsiTheme="minorHAnsi" w:cstheme="minorHAnsi"/>
                <w:sz w:val="18"/>
                <w:szCs w:val="18"/>
                <w:lang w:bidi="en-US"/>
              </w:rPr>
              <w:t>CV soient examinés de façon appropriée, que les témoignages soient vérifiés et que les autres préoccupations soulevées dans le cadre des vérifications soient traitées</w:t>
            </w:r>
          </w:p>
          <w:p w14:paraId="2EC4F5BE" w14:textId="1C7AA8D2" w:rsidR="008F0EA4" w:rsidRPr="00B651E4" w:rsidRDefault="008F0EA4" w:rsidP="001D32F6">
            <w:pPr>
              <w:pStyle w:val="Tabletext"/>
              <w:keepLines/>
              <w:tabs>
                <w:tab w:val="left" w:pos="178"/>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lastRenderedPageBreak/>
              <w:t>•</w:t>
            </w:r>
            <w:r w:rsidRPr="00B651E4">
              <w:rPr>
                <w:rFonts w:asciiTheme="minorHAnsi" w:hAnsiTheme="minorHAnsi" w:cstheme="minorHAnsi"/>
                <w:sz w:val="18"/>
                <w:szCs w:val="18"/>
                <w:lang w:bidi="en-US"/>
              </w:rPr>
              <w:tab/>
              <w:t>Des règles et des lignes directrices sont élaborées et diffusées afin de veiller à ce que les principaux principes en matière de compétences et de sélection prescrits dans les Statut et Règlement du personnel s</w:t>
            </w:r>
            <w:r w:rsidR="00E14E13">
              <w:rPr>
                <w:rFonts w:asciiTheme="minorHAnsi" w:hAnsiTheme="minorHAnsi" w:cstheme="minorHAnsi"/>
                <w:sz w:val="18"/>
                <w:szCs w:val="18"/>
                <w:lang w:bidi="en-US"/>
              </w:rPr>
              <w:t>'</w:t>
            </w:r>
            <w:r w:rsidRPr="00B651E4">
              <w:rPr>
                <w:rFonts w:asciiTheme="minorHAnsi" w:hAnsiTheme="minorHAnsi" w:cstheme="minorHAnsi"/>
                <w:sz w:val="18"/>
                <w:szCs w:val="18"/>
                <w:lang w:bidi="en-US"/>
              </w:rPr>
              <w:t>appliquent aussi au recrutement des</w:t>
            </w:r>
            <w:r>
              <w:rPr>
                <w:rFonts w:asciiTheme="minorHAnsi" w:hAnsiTheme="minorHAnsi" w:cstheme="minorHAnsi"/>
                <w:sz w:val="18"/>
                <w:szCs w:val="18"/>
                <w:lang w:bidi="en-US"/>
              </w:rPr>
              <w:t xml:space="preserve"> </w:t>
            </w:r>
            <w:r w:rsidRPr="00B651E4">
              <w:rPr>
                <w:rFonts w:asciiTheme="minorHAnsi" w:hAnsiTheme="minorHAnsi" w:cstheme="minorHAnsi"/>
                <w:sz w:val="18"/>
                <w:szCs w:val="18"/>
                <w:lang w:bidi="en-US"/>
              </w:rPr>
              <w:t>experts/consultants</w:t>
            </w:r>
          </w:p>
          <w:p w14:paraId="55144BEB" w14:textId="60B9A2A5" w:rsidR="008F0EA4" w:rsidRPr="00B651E4" w:rsidRDefault="005A7175" w:rsidP="001D32F6">
            <w:pPr>
              <w:pStyle w:val="Tabletext"/>
              <w:keepLines/>
              <w:tabs>
                <w:tab w:val="left" w:pos="178"/>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8F0EA4" w:rsidRPr="00B651E4">
              <w:rPr>
                <w:rFonts w:asciiTheme="minorHAnsi" w:hAnsiTheme="minorHAnsi" w:cstheme="minorHAnsi"/>
                <w:sz w:val="18"/>
                <w:szCs w:val="18"/>
                <w:lang w:bidi="en-US"/>
              </w:rPr>
              <w:t>Les mécanismes de suivi,</w:t>
            </w:r>
            <w:r w:rsidR="008F0EA4">
              <w:rPr>
                <w:rFonts w:asciiTheme="minorHAnsi" w:hAnsiTheme="minorHAnsi" w:cstheme="minorHAnsi"/>
                <w:sz w:val="18"/>
                <w:szCs w:val="18"/>
                <w:lang w:bidi="en-US"/>
              </w:rPr>
              <w:t xml:space="preserve"> </w:t>
            </w:r>
            <w:r w:rsidR="008F0EA4" w:rsidRPr="00B651E4">
              <w:rPr>
                <w:rFonts w:asciiTheme="minorHAnsi" w:hAnsiTheme="minorHAnsi" w:cstheme="minorHAnsi"/>
                <w:sz w:val="18"/>
                <w:szCs w:val="18"/>
                <w:lang w:bidi="en-US"/>
              </w:rPr>
              <w:t>d</w:t>
            </w:r>
            <w:r w:rsidR="00E14E13">
              <w:rPr>
                <w:rFonts w:asciiTheme="minorHAnsi" w:hAnsiTheme="minorHAnsi" w:cstheme="minorHAnsi"/>
                <w:sz w:val="18"/>
                <w:szCs w:val="18"/>
                <w:lang w:bidi="en-US"/>
              </w:rPr>
              <w:t>'</w:t>
            </w:r>
            <w:r w:rsidR="008F0EA4" w:rsidRPr="00B651E4">
              <w:rPr>
                <w:rFonts w:asciiTheme="minorHAnsi" w:hAnsiTheme="minorHAnsi" w:cstheme="minorHAnsi"/>
                <w:sz w:val="18"/>
                <w:szCs w:val="18"/>
                <w:lang w:bidi="en-US"/>
              </w:rPr>
              <w:t>évaluation et de gestion du registre des effectifs sont examinés</w:t>
            </w:r>
          </w:p>
        </w:tc>
        <w:tc>
          <w:tcPr>
            <w:tcW w:w="1591" w:type="dxa"/>
            <w:tcBorders>
              <w:top w:val="single" w:sz="4" w:space="0" w:color="auto"/>
            </w:tcBorders>
            <w:shd w:val="clear" w:color="auto" w:fill="DBE5F1" w:themeFill="accent1" w:themeFillTint="33"/>
          </w:tcPr>
          <w:p w14:paraId="06B164AB"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HRMD</w:t>
            </w:r>
          </w:p>
          <w:p w14:paraId="5E6FB5FB"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Unité des affaires juridiques</w:t>
            </w:r>
          </w:p>
          <w:p w14:paraId="7EA5516B"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Comité de coordination</w:t>
            </w:r>
          </w:p>
        </w:tc>
        <w:tc>
          <w:tcPr>
            <w:tcW w:w="1555" w:type="dxa"/>
            <w:tcBorders>
              <w:top w:val="single" w:sz="4" w:space="0" w:color="auto"/>
            </w:tcBorders>
            <w:shd w:val="clear" w:color="auto" w:fill="DBE5F1" w:themeFill="accent1" w:themeFillTint="33"/>
          </w:tcPr>
          <w:p w14:paraId="27318403" w14:textId="77777777" w:rsidR="008F0EA4" w:rsidRPr="00B651E4" w:rsidRDefault="008F0EA4" w:rsidP="001D32F6">
            <w:pPr>
              <w:pStyle w:val="Tabletext"/>
              <w:keepLines/>
              <w:rPr>
                <w:rFonts w:asciiTheme="minorHAnsi" w:hAnsiTheme="minorHAnsi" w:cstheme="minorHAnsi"/>
                <w:sz w:val="18"/>
                <w:szCs w:val="18"/>
              </w:rPr>
            </w:pPr>
            <w:r w:rsidRPr="00B651E4">
              <w:rPr>
                <w:rFonts w:asciiTheme="minorHAnsi" w:hAnsiTheme="minorHAnsi" w:cstheme="minorHAnsi"/>
                <w:sz w:val="18"/>
                <w:szCs w:val="18"/>
              </w:rPr>
              <w:t>2020-2022</w:t>
            </w:r>
          </w:p>
        </w:tc>
        <w:tc>
          <w:tcPr>
            <w:tcW w:w="4394" w:type="dxa"/>
            <w:tcBorders>
              <w:top w:val="single" w:sz="4" w:space="0" w:color="auto"/>
            </w:tcBorders>
            <w:shd w:val="clear" w:color="auto" w:fill="DBE5F1" w:themeFill="accent1" w:themeFillTint="33"/>
          </w:tcPr>
          <w:p w14:paraId="009D94D5" w14:textId="7CE30131" w:rsidR="008F0EA4" w:rsidRPr="005A7175" w:rsidRDefault="008F0EA4" w:rsidP="001D32F6">
            <w:pPr>
              <w:pStyle w:val="Tabletext"/>
              <w:keepLines/>
              <w:rPr>
                <w:sz w:val="18"/>
              </w:rPr>
            </w:pPr>
            <w:r w:rsidRPr="005A7175">
              <w:rPr>
                <w:sz w:val="18"/>
              </w:rPr>
              <w:t>La partie relative aux conflits d</w:t>
            </w:r>
            <w:r w:rsidR="00E14E13">
              <w:rPr>
                <w:sz w:val="18"/>
              </w:rPr>
              <w:t>'</w:t>
            </w:r>
            <w:r w:rsidRPr="005A7175">
              <w:rPr>
                <w:sz w:val="18"/>
              </w:rPr>
              <w:t>intérêts a été définie précisément, et tous les experts (SSA) signent désormais un code d</w:t>
            </w:r>
            <w:r w:rsidR="00E14E13">
              <w:rPr>
                <w:sz w:val="18"/>
              </w:rPr>
              <w:t>'</w:t>
            </w:r>
            <w:r w:rsidRPr="005A7175">
              <w:rPr>
                <w:sz w:val="18"/>
              </w:rPr>
              <w:t>éthique comportant une déclaration sur les conflits d</w:t>
            </w:r>
            <w:r w:rsidR="00E14E13">
              <w:rPr>
                <w:sz w:val="18"/>
              </w:rPr>
              <w:t>'</w:t>
            </w:r>
            <w:r w:rsidRPr="005A7175">
              <w:rPr>
                <w:sz w:val="18"/>
              </w:rPr>
              <w:t xml:space="preserve">intérêts. </w:t>
            </w:r>
            <w:r w:rsidR="009A04A2" w:rsidRPr="005A7175">
              <w:rPr>
                <w:sz w:val="18"/>
              </w:rPr>
              <w:t>Aux côtés du Département HRMD, le Bureau de l</w:t>
            </w:r>
            <w:r w:rsidR="00E14E13">
              <w:rPr>
                <w:sz w:val="18"/>
              </w:rPr>
              <w:t>'</w:t>
            </w:r>
            <w:r w:rsidR="009A04A2" w:rsidRPr="005A7175">
              <w:rPr>
                <w:sz w:val="18"/>
              </w:rPr>
              <w:t>éthique a mis à jour l</w:t>
            </w:r>
            <w:r w:rsidR="00E14E13">
              <w:rPr>
                <w:sz w:val="18"/>
              </w:rPr>
              <w:t>'</w:t>
            </w:r>
            <w:r w:rsidR="00BB6031" w:rsidRPr="005A7175">
              <w:rPr>
                <w:sz w:val="18"/>
              </w:rPr>
              <w:t>O</w:t>
            </w:r>
            <w:r w:rsidR="009A04A2" w:rsidRPr="005A7175">
              <w:rPr>
                <w:sz w:val="18"/>
              </w:rPr>
              <w:t>rdre de service relatif aux déclarations d</w:t>
            </w:r>
            <w:r w:rsidR="00E14E13">
              <w:rPr>
                <w:sz w:val="18"/>
              </w:rPr>
              <w:t>'</w:t>
            </w:r>
            <w:r w:rsidR="009A04A2" w:rsidRPr="005A7175">
              <w:rPr>
                <w:sz w:val="18"/>
              </w:rPr>
              <w:t>intérêts</w:t>
            </w:r>
            <w:r w:rsidR="00BB6031" w:rsidRPr="005A7175">
              <w:rPr>
                <w:sz w:val="18"/>
              </w:rPr>
              <w:t>,</w:t>
            </w:r>
            <w:r w:rsidR="009A04A2" w:rsidRPr="005A7175">
              <w:rPr>
                <w:sz w:val="18"/>
              </w:rPr>
              <w:t xml:space="preserve"> afin de faire référence aux contrats SSA</w:t>
            </w:r>
            <w:r w:rsidR="00BB6031" w:rsidRPr="005A7175">
              <w:rPr>
                <w:sz w:val="18"/>
              </w:rPr>
              <w:t>,</w:t>
            </w:r>
            <w:r w:rsidR="009A04A2" w:rsidRPr="005A7175">
              <w:rPr>
                <w:sz w:val="18"/>
              </w:rPr>
              <w:t xml:space="preserve"> et a élaboré un addendum à faire signer aux personnes au bénéfice de contrats SSA</w:t>
            </w:r>
            <w:r w:rsidRPr="005A7175">
              <w:rPr>
                <w:sz w:val="18"/>
              </w:rPr>
              <w:t>.</w:t>
            </w:r>
          </w:p>
          <w:p w14:paraId="4F3F9134" w14:textId="22FEA350" w:rsidR="008F0EA4" w:rsidRPr="005A7175" w:rsidRDefault="009A04A2" w:rsidP="005628C7">
            <w:pPr>
              <w:pStyle w:val="Tabletext"/>
              <w:keepLines/>
              <w:rPr>
                <w:sz w:val="18"/>
              </w:rPr>
            </w:pPr>
            <w:r w:rsidRPr="005A7175">
              <w:rPr>
                <w:sz w:val="18"/>
              </w:rPr>
              <w:t xml:space="preserve">Les nouvelles lignes directrices relatives au recrutement et le nouveau système de gestion des recrutements </w:t>
            </w:r>
            <w:r w:rsidR="007B0E2C" w:rsidRPr="005A7175">
              <w:rPr>
                <w:sz w:val="18"/>
              </w:rPr>
              <w:t>tiennent désormais compte des</w:t>
            </w:r>
            <w:r w:rsidRPr="005A7175">
              <w:rPr>
                <w:sz w:val="18"/>
              </w:rPr>
              <w:t xml:space="preserve"> contrats SSA. Dans la pratique, cela signifie que les </w:t>
            </w:r>
            <w:r w:rsidR="00B6324E" w:rsidRPr="005A7175">
              <w:rPr>
                <w:sz w:val="18"/>
              </w:rPr>
              <w:t>descriptions de poste</w:t>
            </w:r>
            <w:r w:rsidR="00483382" w:rsidRPr="005A7175">
              <w:rPr>
                <w:sz w:val="18"/>
              </w:rPr>
              <w:t xml:space="preserve"> et les</w:t>
            </w:r>
            <w:r w:rsidR="005628C7">
              <w:rPr>
                <w:sz w:val="18"/>
              </w:rPr>
              <w:t> </w:t>
            </w:r>
            <w:r w:rsidR="00483382" w:rsidRPr="005A7175">
              <w:rPr>
                <w:sz w:val="18"/>
              </w:rPr>
              <w:t>CV seront traité</w:t>
            </w:r>
            <w:r w:rsidR="00271943" w:rsidRPr="005A7175">
              <w:rPr>
                <w:sz w:val="18"/>
              </w:rPr>
              <w:t>s</w:t>
            </w:r>
            <w:r w:rsidR="00B6324E" w:rsidRPr="005A7175">
              <w:rPr>
                <w:sz w:val="18"/>
              </w:rPr>
              <w:t xml:space="preserve"> au moyen du système, comme dans le cadre de tout autre processus de recrutement. Par ailleurs, un mécanisme de </w:t>
            </w:r>
            <w:r w:rsidR="00805F55" w:rsidRPr="005A7175">
              <w:rPr>
                <w:sz w:val="18"/>
              </w:rPr>
              <w:t xml:space="preserve">fichier de candidats </w:t>
            </w:r>
            <w:r w:rsidR="00B6324E" w:rsidRPr="005A7175">
              <w:rPr>
                <w:sz w:val="18"/>
              </w:rPr>
              <w:t xml:space="preserve">est </w:t>
            </w:r>
            <w:r w:rsidR="00805F55" w:rsidRPr="005A7175">
              <w:rPr>
                <w:sz w:val="18"/>
              </w:rPr>
              <w:t xml:space="preserve">actuellement </w:t>
            </w:r>
            <w:r w:rsidR="008A14F8" w:rsidRPr="005A7175">
              <w:rPr>
                <w:sz w:val="18"/>
              </w:rPr>
              <w:t>mis en place</w:t>
            </w:r>
            <w:r w:rsidR="00B6324E" w:rsidRPr="005A7175">
              <w:rPr>
                <w:sz w:val="18"/>
              </w:rPr>
              <w:t xml:space="preserve"> dans le cadre du système</w:t>
            </w:r>
            <w:r w:rsidR="00660B9B" w:rsidRPr="005A7175">
              <w:rPr>
                <w:sz w:val="18"/>
              </w:rPr>
              <w:t>.</w:t>
            </w:r>
          </w:p>
        </w:tc>
      </w:tr>
      <w:tr w:rsidR="008F0EA4" w:rsidRPr="00B651E4" w14:paraId="373D0048" w14:textId="77777777" w:rsidTr="007F43CA">
        <w:trPr>
          <w:jc w:val="center"/>
        </w:trPr>
        <w:tc>
          <w:tcPr>
            <w:tcW w:w="495" w:type="dxa"/>
            <w:vMerge w:val="restart"/>
            <w:tcBorders>
              <w:top w:val="single" w:sz="4" w:space="0" w:color="auto"/>
            </w:tcBorders>
            <w:shd w:val="clear" w:color="auto" w:fill="DBE5F1" w:themeFill="accent1" w:themeFillTint="33"/>
          </w:tcPr>
          <w:p w14:paraId="6E40240B" w14:textId="77777777" w:rsidR="008F0EA4" w:rsidRPr="00B651E4" w:rsidRDefault="008F0EA4" w:rsidP="001D32F6">
            <w:pPr>
              <w:pStyle w:val="Tabletext"/>
              <w:spacing w:after="0"/>
              <w:rPr>
                <w:rFonts w:asciiTheme="minorHAnsi" w:hAnsiTheme="minorHAnsi" w:cstheme="minorHAnsi"/>
                <w:sz w:val="18"/>
                <w:szCs w:val="18"/>
              </w:rPr>
            </w:pPr>
            <w:r w:rsidRPr="00B651E4">
              <w:rPr>
                <w:rFonts w:asciiTheme="minorHAnsi" w:hAnsiTheme="minorHAnsi" w:cstheme="minorHAnsi"/>
                <w:sz w:val="18"/>
                <w:szCs w:val="18"/>
              </w:rPr>
              <w:lastRenderedPageBreak/>
              <w:t>1.5</w:t>
            </w:r>
          </w:p>
        </w:tc>
        <w:tc>
          <w:tcPr>
            <w:tcW w:w="1300" w:type="dxa"/>
            <w:vMerge w:val="restart"/>
            <w:tcBorders>
              <w:top w:val="single" w:sz="4" w:space="0" w:color="auto"/>
            </w:tcBorders>
            <w:shd w:val="clear" w:color="auto" w:fill="DBE5F1" w:themeFill="accent1" w:themeFillTint="33"/>
          </w:tcPr>
          <w:p w14:paraId="2DB3AC90" w14:textId="051EB494"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Valorisation de l</w:t>
            </w:r>
            <w:r w:rsidR="00E14E13">
              <w:rPr>
                <w:rFonts w:asciiTheme="minorHAnsi" w:hAnsiTheme="minorHAnsi" w:cstheme="minorHAnsi"/>
                <w:sz w:val="18"/>
                <w:szCs w:val="18"/>
              </w:rPr>
              <w:t>'</w:t>
            </w:r>
            <w:r w:rsidRPr="00B651E4">
              <w:rPr>
                <w:rFonts w:asciiTheme="minorHAnsi" w:hAnsiTheme="minorHAnsi" w:cstheme="minorHAnsi"/>
                <w:sz w:val="18"/>
                <w:szCs w:val="18"/>
              </w:rPr>
              <w:t>image de marque de l</w:t>
            </w:r>
            <w:r w:rsidR="00E14E13">
              <w:rPr>
                <w:rFonts w:asciiTheme="minorHAnsi" w:hAnsiTheme="minorHAnsi" w:cstheme="minorHAnsi"/>
                <w:sz w:val="18"/>
                <w:szCs w:val="18"/>
              </w:rPr>
              <w:t>'</w:t>
            </w:r>
            <w:r w:rsidRPr="00B651E4">
              <w:rPr>
                <w:rFonts w:asciiTheme="minorHAnsi" w:hAnsiTheme="minorHAnsi" w:cstheme="minorHAnsi"/>
                <w:sz w:val="18"/>
                <w:szCs w:val="18"/>
              </w:rPr>
              <w:t>UIT en tant qu</w:t>
            </w:r>
            <w:r w:rsidR="00E14E13">
              <w:rPr>
                <w:rFonts w:asciiTheme="minorHAnsi" w:hAnsiTheme="minorHAnsi" w:cstheme="minorHAnsi"/>
                <w:sz w:val="18"/>
                <w:szCs w:val="18"/>
              </w:rPr>
              <w:t>'</w:t>
            </w:r>
            <w:r w:rsidRPr="00B651E4">
              <w:rPr>
                <w:rFonts w:asciiTheme="minorHAnsi" w:hAnsiTheme="minorHAnsi" w:cstheme="minorHAnsi"/>
                <w:sz w:val="18"/>
                <w:szCs w:val="18"/>
              </w:rPr>
              <w:t>employeur</w:t>
            </w:r>
          </w:p>
        </w:tc>
        <w:tc>
          <w:tcPr>
            <w:tcW w:w="2127" w:type="dxa"/>
            <w:tcBorders>
              <w:top w:val="single" w:sz="4" w:space="0" w:color="auto"/>
              <w:bottom w:val="single" w:sz="4" w:space="0" w:color="auto"/>
            </w:tcBorders>
            <w:shd w:val="clear" w:color="auto" w:fill="DBE5F1" w:themeFill="accent1" w:themeFillTint="33"/>
          </w:tcPr>
          <w:p w14:paraId="60EFDFCF" w14:textId="12AFEBD9" w:rsidR="008F0EA4" w:rsidRPr="00B651E4" w:rsidRDefault="008F0EA4" w:rsidP="001D32F6">
            <w:pPr>
              <w:pStyle w:val="Tabletext"/>
              <w:tabs>
                <w:tab w:val="left" w:pos="314"/>
              </w:tabs>
              <w:ind w:left="225" w:hanging="225"/>
              <w:rPr>
                <w:rFonts w:asciiTheme="minorHAnsi" w:hAnsiTheme="minorHAnsi" w:cstheme="minorHAnsi"/>
                <w:sz w:val="18"/>
                <w:szCs w:val="18"/>
              </w:rPr>
            </w:pPr>
            <w:r w:rsidRPr="00B651E4">
              <w:rPr>
                <w:rFonts w:asciiTheme="minorHAnsi" w:hAnsiTheme="minorHAnsi" w:cstheme="minorHAnsi"/>
                <w:sz w:val="18"/>
                <w:szCs w:val="18"/>
              </w:rPr>
              <w:t>1</w:t>
            </w:r>
            <w:r>
              <w:rPr>
                <w:rFonts w:asciiTheme="minorHAnsi" w:hAnsiTheme="minorHAnsi" w:cstheme="minorHAnsi"/>
                <w:sz w:val="18"/>
                <w:szCs w:val="18"/>
              </w:rPr>
              <w:tab/>
            </w:r>
            <w:r w:rsidRPr="00B651E4">
              <w:rPr>
                <w:rFonts w:asciiTheme="minorHAnsi" w:hAnsiTheme="minorHAnsi" w:cstheme="minorHAnsi"/>
                <w:sz w:val="18"/>
                <w:szCs w:val="18"/>
              </w:rPr>
              <w:t>Concevoir et mettre en œuvre une stratégie de communication pour attirer des candidats très qualifiés, tout en contribuant à assurer la diversité</w:t>
            </w:r>
          </w:p>
        </w:tc>
        <w:tc>
          <w:tcPr>
            <w:tcW w:w="2425" w:type="dxa"/>
            <w:tcBorders>
              <w:top w:val="single" w:sz="4" w:space="0" w:color="auto"/>
            </w:tcBorders>
            <w:shd w:val="clear" w:color="auto" w:fill="DBE5F1" w:themeFill="accent1" w:themeFillTint="33"/>
          </w:tcPr>
          <w:p w14:paraId="6D69FDAF" w14:textId="77777777" w:rsidR="008F0EA4" w:rsidRPr="00B651E4" w:rsidRDefault="008F0EA4" w:rsidP="001D32F6">
            <w:pPr>
              <w:pStyle w:val="Tabletext"/>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Nombre de candidatures par emploi</w:t>
            </w:r>
          </w:p>
          <w:p w14:paraId="16361B96" w14:textId="77777777" w:rsidR="008F0EA4" w:rsidRPr="00B651E4" w:rsidRDefault="008F0EA4" w:rsidP="001D32F6">
            <w:pPr>
              <w:pStyle w:val="Tabletext"/>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Nombre de candidats très qualifiés par emploi</w:t>
            </w:r>
          </w:p>
          <w:p w14:paraId="34CD0A75" w14:textId="77777777" w:rsidR="008F0EA4" w:rsidRPr="00B651E4" w:rsidRDefault="008F0EA4" w:rsidP="001D32F6">
            <w:pPr>
              <w:pStyle w:val="Tabletext"/>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Origine des candidats par emploi</w:t>
            </w:r>
          </w:p>
          <w:p w14:paraId="3916F07D" w14:textId="1E865FF3" w:rsidR="008F0EA4" w:rsidRPr="00B651E4" w:rsidRDefault="008F0EA4" w:rsidP="001D32F6">
            <w:pPr>
              <w:pStyle w:val="Tabletext"/>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Taux d</w:t>
            </w:r>
            <w:r w:rsidR="00E14E13">
              <w:rPr>
                <w:rFonts w:asciiTheme="minorHAnsi" w:hAnsiTheme="minorHAnsi" w:cstheme="minorHAnsi"/>
                <w:sz w:val="18"/>
                <w:szCs w:val="18"/>
              </w:rPr>
              <w:t>'</w:t>
            </w:r>
            <w:r w:rsidRPr="00B651E4">
              <w:rPr>
                <w:rFonts w:asciiTheme="minorHAnsi" w:hAnsiTheme="minorHAnsi" w:cstheme="minorHAnsi"/>
                <w:sz w:val="18"/>
                <w:szCs w:val="18"/>
              </w:rPr>
              <w:t>annulation du processus de candidature</w:t>
            </w:r>
          </w:p>
          <w:p w14:paraId="4014B7EA" w14:textId="6487B1F8" w:rsidR="008F0EA4" w:rsidRPr="00B651E4" w:rsidRDefault="008F0EA4" w:rsidP="001D32F6">
            <w:pPr>
              <w:pStyle w:val="Tabletext"/>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Taux</w:t>
            </w:r>
            <w:r>
              <w:rPr>
                <w:rFonts w:asciiTheme="minorHAnsi" w:hAnsiTheme="minorHAnsi" w:cstheme="minorHAnsi"/>
                <w:sz w:val="18"/>
                <w:szCs w:val="18"/>
              </w:rPr>
              <w:t> </w:t>
            </w:r>
            <w:r w:rsidRPr="00B651E4">
              <w:rPr>
                <w:rFonts w:asciiTheme="minorHAnsi" w:hAnsiTheme="minorHAnsi" w:cstheme="minorHAnsi"/>
                <w:sz w:val="18"/>
                <w:szCs w:val="18"/>
              </w:rPr>
              <w:t>d</w:t>
            </w:r>
            <w:r w:rsidR="00E14E13">
              <w:rPr>
                <w:rFonts w:asciiTheme="minorHAnsi" w:hAnsiTheme="minorHAnsi" w:cstheme="minorHAnsi"/>
                <w:sz w:val="18"/>
                <w:szCs w:val="18"/>
              </w:rPr>
              <w:t>'</w:t>
            </w:r>
            <w:r w:rsidRPr="00B651E4">
              <w:rPr>
                <w:rFonts w:asciiTheme="minorHAnsi" w:hAnsiTheme="minorHAnsi" w:cstheme="minorHAnsi"/>
                <w:sz w:val="18"/>
                <w:szCs w:val="18"/>
              </w:rPr>
              <w:t>offre/d</w:t>
            </w:r>
            <w:r w:rsidR="00E14E13">
              <w:rPr>
                <w:rFonts w:asciiTheme="minorHAnsi" w:hAnsiTheme="minorHAnsi" w:cstheme="minorHAnsi"/>
                <w:sz w:val="18"/>
                <w:szCs w:val="18"/>
              </w:rPr>
              <w:t>'</w:t>
            </w:r>
            <w:r w:rsidRPr="00B651E4">
              <w:rPr>
                <w:rFonts w:asciiTheme="minorHAnsi" w:hAnsiTheme="minorHAnsi" w:cstheme="minorHAnsi"/>
                <w:sz w:val="18"/>
                <w:szCs w:val="18"/>
              </w:rPr>
              <w:t>acceptation</w:t>
            </w:r>
          </w:p>
        </w:tc>
        <w:tc>
          <w:tcPr>
            <w:tcW w:w="1591" w:type="dxa"/>
            <w:tcBorders>
              <w:top w:val="single" w:sz="4" w:space="0" w:color="auto"/>
            </w:tcBorders>
            <w:shd w:val="clear" w:color="auto" w:fill="DBE5F1" w:themeFill="accent1" w:themeFillTint="33"/>
          </w:tcPr>
          <w:p w14:paraId="75E050F0"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HRMD</w:t>
            </w:r>
          </w:p>
        </w:tc>
        <w:tc>
          <w:tcPr>
            <w:tcW w:w="1555" w:type="dxa"/>
            <w:tcBorders>
              <w:top w:val="single" w:sz="4" w:space="0" w:color="auto"/>
            </w:tcBorders>
            <w:shd w:val="clear" w:color="auto" w:fill="DBE5F1" w:themeFill="accent1" w:themeFillTint="33"/>
          </w:tcPr>
          <w:p w14:paraId="398E0B96" w14:textId="77777777" w:rsidR="008F0EA4" w:rsidRPr="00B651E4" w:rsidRDefault="008F0EA4" w:rsidP="001D32F6">
            <w:pPr>
              <w:pStyle w:val="Tabletext"/>
              <w:jc w:val="both"/>
              <w:rPr>
                <w:rFonts w:asciiTheme="minorHAnsi" w:hAnsiTheme="minorHAnsi" w:cstheme="minorHAnsi"/>
                <w:sz w:val="18"/>
                <w:szCs w:val="18"/>
              </w:rPr>
            </w:pPr>
            <w:r w:rsidRPr="00B651E4">
              <w:rPr>
                <w:rFonts w:asciiTheme="minorHAnsi" w:hAnsiTheme="minorHAnsi" w:cstheme="minorHAnsi"/>
                <w:sz w:val="18"/>
                <w:szCs w:val="18"/>
              </w:rPr>
              <w:t>2021-2022</w:t>
            </w:r>
          </w:p>
        </w:tc>
        <w:tc>
          <w:tcPr>
            <w:tcW w:w="4394" w:type="dxa"/>
            <w:tcBorders>
              <w:top w:val="single" w:sz="4" w:space="0" w:color="auto"/>
            </w:tcBorders>
            <w:shd w:val="clear" w:color="auto" w:fill="DBE5F1" w:themeFill="accent1" w:themeFillTint="33"/>
          </w:tcPr>
          <w:p w14:paraId="44E74FAC" w14:textId="77777777"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En sa qualité de membre du Groupe de travail sur le recrutement et la prospection du Conseil des chefs de secrétariat des organismes des Nations Unies, le Département HRMD est aussi membre du sous-groupe suivant: </w:t>
            </w:r>
          </w:p>
          <w:p w14:paraId="589FDCF9" w14:textId="1FAD960D" w:rsidR="008F0EA4" w:rsidRPr="00B651E4" w:rsidRDefault="008F0EA4" w:rsidP="001D32F6">
            <w:pPr>
              <w:pStyle w:val="Tabletext"/>
              <w:tabs>
                <w:tab w:val="left" w:pos="220"/>
              </w:tabs>
              <w:ind w:left="220" w:hanging="220"/>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Prospection et approvisionnement ciblés</w:t>
            </w:r>
          </w:p>
        </w:tc>
      </w:tr>
      <w:tr w:rsidR="008F0EA4" w:rsidRPr="00B651E4" w14:paraId="15CC9537" w14:textId="77777777" w:rsidTr="007F43CA">
        <w:trPr>
          <w:jc w:val="center"/>
        </w:trPr>
        <w:tc>
          <w:tcPr>
            <w:tcW w:w="495" w:type="dxa"/>
            <w:vMerge/>
            <w:shd w:val="clear" w:color="auto" w:fill="DBE5F1" w:themeFill="accent1" w:themeFillTint="33"/>
          </w:tcPr>
          <w:p w14:paraId="3A409695" w14:textId="77777777" w:rsidR="008F0EA4" w:rsidRPr="00B651E4" w:rsidRDefault="008F0EA4" w:rsidP="001D32F6">
            <w:pPr>
              <w:pStyle w:val="Tabletext"/>
              <w:keepNext/>
              <w:spacing w:before="0" w:after="0"/>
              <w:rPr>
                <w:rFonts w:asciiTheme="minorHAnsi" w:hAnsiTheme="minorHAnsi" w:cstheme="minorHAnsi"/>
                <w:sz w:val="18"/>
                <w:szCs w:val="18"/>
              </w:rPr>
            </w:pPr>
          </w:p>
        </w:tc>
        <w:tc>
          <w:tcPr>
            <w:tcW w:w="1300" w:type="dxa"/>
            <w:vMerge/>
            <w:shd w:val="clear" w:color="auto" w:fill="DBE5F1" w:themeFill="accent1" w:themeFillTint="33"/>
          </w:tcPr>
          <w:p w14:paraId="5ADDB675" w14:textId="77777777" w:rsidR="008F0EA4" w:rsidRPr="00B651E4" w:rsidRDefault="008F0EA4" w:rsidP="001D32F6">
            <w:pPr>
              <w:pStyle w:val="Tabletext"/>
              <w:keepNext/>
              <w:rPr>
                <w:rFonts w:asciiTheme="minorHAnsi" w:hAnsiTheme="minorHAnsi" w:cstheme="minorHAnsi"/>
                <w:sz w:val="18"/>
                <w:szCs w:val="18"/>
              </w:rPr>
            </w:pPr>
          </w:p>
        </w:tc>
        <w:tc>
          <w:tcPr>
            <w:tcW w:w="2127" w:type="dxa"/>
            <w:tcBorders>
              <w:top w:val="single" w:sz="4" w:space="0" w:color="auto"/>
              <w:bottom w:val="single" w:sz="4" w:space="0" w:color="auto"/>
            </w:tcBorders>
            <w:shd w:val="clear" w:color="auto" w:fill="DBE5F1" w:themeFill="accent1" w:themeFillTint="33"/>
          </w:tcPr>
          <w:p w14:paraId="06AD88AA" w14:textId="243B404F" w:rsidR="008F0EA4" w:rsidRPr="00B651E4" w:rsidRDefault="008F0EA4" w:rsidP="001D32F6">
            <w:pPr>
              <w:pStyle w:val="Tabletext"/>
              <w:keepNext/>
              <w:tabs>
                <w:tab w:val="left" w:pos="314"/>
              </w:tabs>
              <w:ind w:left="225" w:hanging="225"/>
              <w:rPr>
                <w:rFonts w:asciiTheme="minorHAnsi" w:hAnsiTheme="minorHAnsi" w:cstheme="minorHAnsi"/>
                <w:sz w:val="18"/>
                <w:szCs w:val="18"/>
              </w:rPr>
            </w:pPr>
            <w:r w:rsidRPr="00B651E4">
              <w:rPr>
                <w:rFonts w:asciiTheme="minorHAnsi" w:hAnsiTheme="minorHAnsi" w:cstheme="minorHAnsi"/>
                <w:sz w:val="18"/>
                <w:szCs w:val="18"/>
              </w:rPr>
              <w:t>2</w:t>
            </w:r>
            <w:r w:rsidRPr="00B651E4">
              <w:rPr>
                <w:rFonts w:asciiTheme="minorHAnsi" w:hAnsiTheme="minorHAnsi" w:cstheme="minorHAnsi"/>
                <w:sz w:val="18"/>
                <w:szCs w:val="18"/>
              </w:rPr>
              <w:tab/>
              <w:t>Mener avec les gouvernements nationaux et les institutions nationales davantage d</w:t>
            </w:r>
            <w:r w:rsidR="00E14E13">
              <w:rPr>
                <w:rFonts w:asciiTheme="minorHAnsi" w:hAnsiTheme="minorHAnsi" w:cstheme="minorHAnsi"/>
                <w:sz w:val="18"/>
                <w:szCs w:val="18"/>
              </w:rPr>
              <w:t>'</w:t>
            </w:r>
            <w:r w:rsidRPr="00B651E4">
              <w:rPr>
                <w:rFonts w:asciiTheme="minorHAnsi" w:hAnsiTheme="minorHAnsi" w:cstheme="minorHAnsi"/>
                <w:sz w:val="18"/>
                <w:szCs w:val="18"/>
              </w:rPr>
              <w:t>activités de partenariat, pour attirer et fidéliser un personnel compétent et promouvoir l</w:t>
            </w:r>
            <w:r w:rsidR="00E14E13">
              <w:rPr>
                <w:rFonts w:asciiTheme="minorHAnsi" w:hAnsiTheme="minorHAnsi" w:cstheme="minorHAnsi"/>
                <w:sz w:val="18"/>
                <w:szCs w:val="18"/>
              </w:rPr>
              <w:t>'</w:t>
            </w:r>
            <w:r w:rsidRPr="00B651E4">
              <w:rPr>
                <w:rFonts w:asciiTheme="minorHAnsi" w:hAnsiTheme="minorHAnsi" w:cstheme="minorHAnsi"/>
                <w:sz w:val="18"/>
                <w:szCs w:val="18"/>
              </w:rPr>
              <w:t>image de marque de l</w:t>
            </w:r>
            <w:r w:rsidR="00E14E13">
              <w:rPr>
                <w:rFonts w:asciiTheme="minorHAnsi" w:hAnsiTheme="minorHAnsi" w:cstheme="minorHAnsi"/>
                <w:sz w:val="18"/>
                <w:szCs w:val="18"/>
              </w:rPr>
              <w:t>'</w:t>
            </w:r>
            <w:r w:rsidRPr="00B651E4">
              <w:rPr>
                <w:rFonts w:asciiTheme="minorHAnsi" w:hAnsiTheme="minorHAnsi" w:cstheme="minorHAnsi"/>
                <w:sz w:val="18"/>
                <w:szCs w:val="18"/>
              </w:rPr>
              <w:t>UIT</w:t>
            </w:r>
          </w:p>
        </w:tc>
        <w:tc>
          <w:tcPr>
            <w:tcW w:w="2425" w:type="dxa"/>
            <w:tcBorders>
              <w:top w:val="single" w:sz="4" w:space="0" w:color="auto"/>
            </w:tcBorders>
            <w:shd w:val="clear" w:color="auto" w:fill="DBE5F1" w:themeFill="accent1" w:themeFillTint="33"/>
          </w:tcPr>
          <w:p w14:paraId="4A609349" w14:textId="6D44668B" w:rsidR="008F0EA4" w:rsidRPr="00B651E4" w:rsidRDefault="008F0EA4" w:rsidP="001D32F6">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Nombre de partenariats établis avec des administrations (rapport qualitatif sur les initiatives prises et rapport quantitatif, c</w:t>
            </w:r>
            <w:r w:rsidR="00E14E13">
              <w:rPr>
                <w:rFonts w:asciiTheme="minorHAnsi" w:hAnsiTheme="minorHAnsi" w:cstheme="minorHAnsi"/>
                <w:sz w:val="18"/>
                <w:szCs w:val="18"/>
              </w:rPr>
              <w:t>'</w:t>
            </w:r>
            <w:r w:rsidRPr="00B651E4">
              <w:rPr>
                <w:rFonts w:asciiTheme="minorHAnsi" w:hAnsiTheme="minorHAnsi" w:cstheme="minorHAnsi"/>
                <w:sz w:val="18"/>
                <w:szCs w:val="18"/>
              </w:rPr>
              <w:t>est-à-dire nombre de personnes recrutées au titre de fonds d</w:t>
            </w:r>
            <w:r w:rsidR="00E14E13">
              <w:rPr>
                <w:rFonts w:asciiTheme="minorHAnsi" w:hAnsiTheme="minorHAnsi" w:cstheme="minorHAnsi"/>
                <w:sz w:val="18"/>
                <w:szCs w:val="18"/>
              </w:rPr>
              <w:t>'</w:t>
            </w:r>
            <w:r w:rsidRPr="00B651E4">
              <w:rPr>
                <w:rFonts w:asciiTheme="minorHAnsi" w:hAnsiTheme="minorHAnsi" w:cstheme="minorHAnsi"/>
                <w:sz w:val="18"/>
                <w:szCs w:val="18"/>
              </w:rPr>
              <w:t>affectation spéciale, de programmes des administrateurs auxiliaires (JPO), de prêts ou de détachements dans le cadre de programmes de partenariats)</w:t>
            </w:r>
          </w:p>
        </w:tc>
        <w:tc>
          <w:tcPr>
            <w:tcW w:w="1591" w:type="dxa"/>
            <w:tcBorders>
              <w:top w:val="single" w:sz="4" w:space="0" w:color="auto"/>
            </w:tcBorders>
            <w:shd w:val="clear" w:color="auto" w:fill="DBE5F1" w:themeFill="accent1" w:themeFillTint="33"/>
          </w:tcPr>
          <w:p w14:paraId="75FF33D4" w14:textId="77777777" w:rsidR="008F0EA4" w:rsidRPr="00B651E4" w:rsidRDefault="008F0EA4" w:rsidP="001D32F6">
            <w:pPr>
              <w:pStyle w:val="Tabletext"/>
              <w:keepNext/>
              <w:rPr>
                <w:rFonts w:asciiTheme="minorHAnsi" w:hAnsiTheme="minorHAnsi" w:cstheme="minorHAnsi"/>
                <w:sz w:val="18"/>
                <w:szCs w:val="18"/>
              </w:rPr>
            </w:pPr>
            <w:r w:rsidRPr="00B651E4">
              <w:rPr>
                <w:rFonts w:asciiTheme="minorHAnsi" w:hAnsiTheme="minorHAnsi" w:cstheme="minorHAnsi"/>
                <w:sz w:val="18"/>
                <w:szCs w:val="18"/>
              </w:rPr>
              <w:t>HRMD</w:t>
            </w:r>
          </w:p>
          <w:p w14:paraId="5A7443D3" w14:textId="77777777" w:rsidR="008F0EA4" w:rsidRPr="00B651E4" w:rsidRDefault="008F0EA4" w:rsidP="001D32F6">
            <w:pPr>
              <w:pStyle w:val="Tabletext"/>
              <w:keepNext/>
              <w:rPr>
                <w:rFonts w:asciiTheme="minorHAnsi" w:hAnsiTheme="minorHAnsi" w:cstheme="minorHAnsi"/>
                <w:sz w:val="18"/>
                <w:szCs w:val="18"/>
              </w:rPr>
            </w:pPr>
            <w:r w:rsidRPr="00B651E4">
              <w:rPr>
                <w:rFonts w:asciiTheme="minorHAnsi" w:hAnsiTheme="minorHAnsi" w:cstheme="minorHAnsi"/>
                <w:sz w:val="18"/>
                <w:szCs w:val="18"/>
              </w:rPr>
              <w:t>Bureaux et Départements du Secrétariat général</w:t>
            </w:r>
          </w:p>
        </w:tc>
        <w:tc>
          <w:tcPr>
            <w:tcW w:w="1555" w:type="dxa"/>
            <w:tcBorders>
              <w:top w:val="single" w:sz="4" w:space="0" w:color="auto"/>
            </w:tcBorders>
            <w:shd w:val="clear" w:color="auto" w:fill="DBE5F1" w:themeFill="accent1" w:themeFillTint="33"/>
          </w:tcPr>
          <w:p w14:paraId="395AE093" w14:textId="77777777" w:rsidR="008F0EA4" w:rsidRPr="00B651E4" w:rsidRDefault="008F0EA4" w:rsidP="001D32F6">
            <w:pPr>
              <w:pStyle w:val="Tabletext"/>
              <w:keepNext/>
              <w:jc w:val="both"/>
              <w:rPr>
                <w:rFonts w:asciiTheme="minorHAnsi" w:hAnsiTheme="minorHAnsi" w:cstheme="minorHAnsi"/>
                <w:sz w:val="18"/>
                <w:szCs w:val="18"/>
              </w:rPr>
            </w:pPr>
            <w:r w:rsidRPr="00B651E4">
              <w:rPr>
                <w:rFonts w:asciiTheme="minorHAnsi" w:hAnsiTheme="minorHAnsi" w:cstheme="minorHAnsi"/>
                <w:sz w:val="18"/>
                <w:szCs w:val="18"/>
              </w:rPr>
              <w:t>En cours</w:t>
            </w:r>
          </w:p>
        </w:tc>
        <w:tc>
          <w:tcPr>
            <w:tcW w:w="4394" w:type="dxa"/>
            <w:tcBorders>
              <w:top w:val="single" w:sz="4" w:space="0" w:color="auto"/>
            </w:tcBorders>
            <w:shd w:val="clear" w:color="auto" w:fill="DBE5F1" w:themeFill="accent1" w:themeFillTint="33"/>
          </w:tcPr>
          <w:p w14:paraId="45489346" w14:textId="187DDF7F" w:rsidR="008F0EA4" w:rsidRPr="005A7175" w:rsidRDefault="008D6B43" w:rsidP="001D32F6">
            <w:pPr>
              <w:pStyle w:val="Tabletext"/>
              <w:rPr>
                <w:rFonts w:asciiTheme="minorHAnsi" w:hAnsiTheme="minorHAnsi" w:cstheme="minorHAnsi"/>
                <w:sz w:val="18"/>
                <w:szCs w:val="18"/>
              </w:rPr>
            </w:pPr>
            <w:r w:rsidRPr="005A7175">
              <w:rPr>
                <w:rFonts w:asciiTheme="minorHAnsi" w:hAnsiTheme="minorHAnsi" w:cstheme="minorHAnsi"/>
                <w:sz w:val="18"/>
                <w:szCs w:val="18"/>
              </w:rPr>
              <w:t xml:space="preserve">Un accord a été </w:t>
            </w:r>
            <w:r w:rsidR="00805F55" w:rsidRPr="005A7175">
              <w:rPr>
                <w:rFonts w:asciiTheme="minorHAnsi" w:hAnsiTheme="minorHAnsi" w:cstheme="minorHAnsi"/>
                <w:sz w:val="18"/>
                <w:szCs w:val="18"/>
              </w:rPr>
              <w:t xml:space="preserve">conclu </w:t>
            </w:r>
            <w:r w:rsidRPr="005A7175">
              <w:rPr>
                <w:rFonts w:asciiTheme="minorHAnsi" w:hAnsiTheme="minorHAnsi" w:cstheme="minorHAnsi"/>
                <w:sz w:val="18"/>
                <w:szCs w:val="18"/>
              </w:rPr>
              <w:t>avec l</w:t>
            </w:r>
            <w:r w:rsidR="00E14E13">
              <w:rPr>
                <w:rFonts w:asciiTheme="minorHAnsi" w:hAnsiTheme="minorHAnsi" w:cstheme="minorHAnsi"/>
                <w:sz w:val="18"/>
                <w:szCs w:val="18"/>
              </w:rPr>
              <w:t>'</w:t>
            </w:r>
            <w:r w:rsidRPr="005A7175">
              <w:rPr>
                <w:rFonts w:asciiTheme="minorHAnsi" w:hAnsiTheme="minorHAnsi" w:cstheme="minorHAnsi"/>
                <w:sz w:val="18"/>
                <w:szCs w:val="18"/>
              </w:rPr>
              <w:t xml:space="preserve">Australie et </w:t>
            </w:r>
            <w:r w:rsidR="00805F55" w:rsidRPr="005A7175">
              <w:rPr>
                <w:rFonts w:asciiTheme="minorHAnsi" w:hAnsiTheme="minorHAnsi" w:cstheme="minorHAnsi"/>
                <w:sz w:val="18"/>
                <w:szCs w:val="18"/>
              </w:rPr>
              <w:t>d</w:t>
            </w:r>
            <w:r w:rsidRPr="005A7175">
              <w:rPr>
                <w:rFonts w:asciiTheme="minorHAnsi" w:hAnsiTheme="minorHAnsi" w:cstheme="minorHAnsi"/>
                <w:sz w:val="18"/>
                <w:szCs w:val="18"/>
              </w:rPr>
              <w:t>es descriptions d</w:t>
            </w:r>
            <w:r w:rsidR="00E14E13">
              <w:rPr>
                <w:rFonts w:asciiTheme="minorHAnsi" w:hAnsiTheme="minorHAnsi" w:cstheme="minorHAnsi"/>
                <w:sz w:val="18"/>
                <w:szCs w:val="18"/>
              </w:rPr>
              <w:t>'</w:t>
            </w:r>
            <w:r w:rsidRPr="005A7175">
              <w:rPr>
                <w:rFonts w:asciiTheme="minorHAnsi" w:hAnsiTheme="minorHAnsi" w:cstheme="minorHAnsi"/>
                <w:sz w:val="18"/>
                <w:szCs w:val="18"/>
              </w:rPr>
              <w:t>emploi ont été envoyées à ce pays ainsi qu</w:t>
            </w:r>
            <w:r w:rsidR="00E14E13">
              <w:rPr>
                <w:rFonts w:asciiTheme="minorHAnsi" w:hAnsiTheme="minorHAnsi" w:cstheme="minorHAnsi"/>
                <w:sz w:val="18"/>
                <w:szCs w:val="18"/>
              </w:rPr>
              <w:t>'</w:t>
            </w:r>
            <w:r w:rsidRPr="005A7175">
              <w:rPr>
                <w:rFonts w:asciiTheme="minorHAnsi" w:hAnsiTheme="minorHAnsi" w:cstheme="minorHAnsi"/>
                <w:sz w:val="18"/>
                <w:szCs w:val="18"/>
              </w:rPr>
              <w:t>à d</w:t>
            </w:r>
            <w:r w:rsidR="00E14E13">
              <w:rPr>
                <w:rFonts w:asciiTheme="minorHAnsi" w:hAnsiTheme="minorHAnsi" w:cstheme="minorHAnsi"/>
                <w:sz w:val="18"/>
                <w:szCs w:val="18"/>
              </w:rPr>
              <w:t>'</w:t>
            </w:r>
            <w:r w:rsidRPr="005A7175">
              <w:rPr>
                <w:rFonts w:asciiTheme="minorHAnsi" w:hAnsiTheme="minorHAnsi" w:cstheme="minorHAnsi"/>
                <w:sz w:val="18"/>
                <w:szCs w:val="18"/>
              </w:rPr>
              <w:t>autres pays donateurs potentiels. Un premier administrateur auxiliaire du Japon rejoindra l</w:t>
            </w:r>
            <w:r w:rsidR="00E14E13">
              <w:rPr>
                <w:rFonts w:asciiTheme="minorHAnsi" w:hAnsiTheme="minorHAnsi" w:cstheme="minorHAnsi"/>
                <w:sz w:val="18"/>
                <w:szCs w:val="18"/>
              </w:rPr>
              <w:t>'</w:t>
            </w:r>
            <w:r w:rsidR="00203206">
              <w:rPr>
                <w:rFonts w:asciiTheme="minorHAnsi" w:hAnsiTheme="minorHAnsi" w:cstheme="minorHAnsi"/>
                <w:sz w:val="18"/>
                <w:szCs w:val="18"/>
              </w:rPr>
              <w:t>UIT en </w:t>
            </w:r>
            <w:r w:rsidRPr="005A7175">
              <w:rPr>
                <w:rFonts w:asciiTheme="minorHAnsi" w:hAnsiTheme="minorHAnsi" w:cstheme="minorHAnsi"/>
                <w:sz w:val="18"/>
                <w:szCs w:val="18"/>
              </w:rPr>
              <w:t>2022, et un autre administrateur ainsi qu</w:t>
            </w:r>
            <w:r w:rsidR="00E14E13">
              <w:rPr>
                <w:rFonts w:asciiTheme="minorHAnsi" w:hAnsiTheme="minorHAnsi" w:cstheme="minorHAnsi"/>
                <w:sz w:val="18"/>
                <w:szCs w:val="18"/>
              </w:rPr>
              <w:t>'</w:t>
            </w:r>
            <w:r w:rsidRPr="005A7175">
              <w:rPr>
                <w:rFonts w:asciiTheme="minorHAnsi" w:hAnsiTheme="minorHAnsi" w:cstheme="minorHAnsi"/>
                <w:sz w:val="18"/>
                <w:szCs w:val="18"/>
              </w:rPr>
              <w:t>une personne recrutée au titre d</w:t>
            </w:r>
            <w:r w:rsidR="00E14E13">
              <w:rPr>
                <w:rFonts w:asciiTheme="minorHAnsi" w:hAnsiTheme="minorHAnsi" w:cstheme="minorHAnsi"/>
                <w:sz w:val="18"/>
                <w:szCs w:val="18"/>
              </w:rPr>
              <w:t>'</w:t>
            </w:r>
            <w:r w:rsidRPr="005A7175">
              <w:rPr>
                <w:rFonts w:asciiTheme="minorHAnsi" w:hAnsiTheme="minorHAnsi" w:cstheme="minorHAnsi"/>
                <w:sz w:val="18"/>
                <w:szCs w:val="18"/>
              </w:rPr>
              <w:t>un fonds d</w:t>
            </w:r>
            <w:r w:rsidR="00E14E13">
              <w:rPr>
                <w:rFonts w:asciiTheme="minorHAnsi" w:hAnsiTheme="minorHAnsi" w:cstheme="minorHAnsi"/>
                <w:sz w:val="18"/>
                <w:szCs w:val="18"/>
              </w:rPr>
              <w:t>'</w:t>
            </w:r>
            <w:r w:rsidRPr="005A7175">
              <w:rPr>
                <w:rFonts w:asciiTheme="minorHAnsi" w:hAnsiTheme="minorHAnsi" w:cstheme="minorHAnsi"/>
                <w:sz w:val="18"/>
                <w:szCs w:val="18"/>
              </w:rPr>
              <w:t>affectation spéciale de la Chine débuteront leurs contrats au premier trimestre de 2022</w:t>
            </w:r>
            <w:r w:rsidR="008F0EA4" w:rsidRPr="005A7175">
              <w:rPr>
                <w:rFonts w:asciiTheme="minorHAnsi" w:hAnsiTheme="minorHAnsi" w:cstheme="minorHAnsi"/>
                <w:sz w:val="18"/>
                <w:szCs w:val="18"/>
              </w:rPr>
              <w:t>.</w:t>
            </w:r>
          </w:p>
          <w:p w14:paraId="0C46C923" w14:textId="3D4C4C13" w:rsidR="008F0EA4" w:rsidRPr="005A7175" w:rsidRDefault="007C70F7" w:rsidP="001D32F6">
            <w:pPr>
              <w:pStyle w:val="Tabletext"/>
              <w:rPr>
                <w:rFonts w:asciiTheme="minorHAnsi" w:hAnsiTheme="minorHAnsi" w:cstheme="minorHAnsi"/>
                <w:sz w:val="18"/>
                <w:szCs w:val="18"/>
              </w:rPr>
            </w:pPr>
            <w:r w:rsidRPr="005A7175">
              <w:rPr>
                <w:rFonts w:asciiTheme="minorHAnsi" w:hAnsiTheme="minorHAnsi" w:cstheme="minorHAnsi"/>
                <w:sz w:val="18"/>
                <w:szCs w:val="18"/>
              </w:rPr>
              <w:t>Des renseignements supplémentaires sur les Programmes de partenariat pour les ressources humaines de l</w:t>
            </w:r>
            <w:r w:rsidR="00E14E13">
              <w:rPr>
                <w:rFonts w:asciiTheme="minorHAnsi" w:hAnsiTheme="minorHAnsi" w:cstheme="minorHAnsi"/>
                <w:sz w:val="18"/>
                <w:szCs w:val="18"/>
              </w:rPr>
              <w:t>'</w:t>
            </w:r>
            <w:r w:rsidRPr="005A7175">
              <w:rPr>
                <w:rFonts w:asciiTheme="minorHAnsi" w:hAnsiTheme="minorHAnsi" w:cstheme="minorHAnsi"/>
                <w:sz w:val="18"/>
                <w:szCs w:val="18"/>
              </w:rPr>
              <w:t>UIT ont été communiqués à l</w:t>
            </w:r>
            <w:r w:rsidR="00E14E13">
              <w:rPr>
                <w:rFonts w:asciiTheme="minorHAnsi" w:hAnsiTheme="minorHAnsi" w:cstheme="minorHAnsi"/>
                <w:sz w:val="18"/>
                <w:szCs w:val="18"/>
              </w:rPr>
              <w:t>'</w:t>
            </w:r>
            <w:r w:rsidRPr="005A7175">
              <w:rPr>
                <w:rFonts w:asciiTheme="minorHAnsi" w:hAnsiTheme="minorHAnsi" w:cstheme="minorHAnsi"/>
                <w:sz w:val="18"/>
                <w:szCs w:val="18"/>
              </w:rPr>
              <w:t>Arabie saoudite, à la Turquie et à l</w:t>
            </w:r>
            <w:r w:rsidR="00E14E13">
              <w:rPr>
                <w:rFonts w:asciiTheme="minorHAnsi" w:hAnsiTheme="minorHAnsi" w:cstheme="minorHAnsi"/>
                <w:sz w:val="18"/>
                <w:szCs w:val="18"/>
              </w:rPr>
              <w:t>'</w:t>
            </w:r>
            <w:r w:rsidRPr="005A7175">
              <w:rPr>
                <w:rFonts w:asciiTheme="minorHAnsi" w:hAnsiTheme="minorHAnsi" w:cstheme="minorHAnsi"/>
                <w:sz w:val="18"/>
                <w:szCs w:val="18"/>
              </w:rPr>
              <w:t xml:space="preserve">Ukraine, à </w:t>
            </w:r>
            <w:r w:rsidR="00852168" w:rsidRPr="005A7175">
              <w:rPr>
                <w:rFonts w:asciiTheme="minorHAnsi" w:hAnsiTheme="minorHAnsi" w:cstheme="minorHAnsi"/>
                <w:sz w:val="18"/>
                <w:szCs w:val="18"/>
              </w:rPr>
              <w:t xml:space="preserve">la </w:t>
            </w:r>
            <w:r w:rsidRPr="005A7175">
              <w:rPr>
                <w:rFonts w:asciiTheme="minorHAnsi" w:hAnsiTheme="minorHAnsi" w:cstheme="minorHAnsi"/>
                <w:sz w:val="18"/>
                <w:szCs w:val="18"/>
              </w:rPr>
              <w:t>demande</w:t>
            </w:r>
            <w:r w:rsidR="00852168" w:rsidRPr="005A7175">
              <w:rPr>
                <w:rFonts w:asciiTheme="minorHAnsi" w:hAnsiTheme="minorHAnsi" w:cstheme="minorHAnsi"/>
                <w:sz w:val="18"/>
                <w:szCs w:val="18"/>
              </w:rPr>
              <w:t xml:space="preserve"> de ces pays</w:t>
            </w:r>
            <w:r w:rsidR="008F0EA4" w:rsidRPr="005A7175">
              <w:rPr>
                <w:rFonts w:asciiTheme="minorHAnsi" w:hAnsiTheme="minorHAnsi" w:cstheme="minorHAnsi"/>
                <w:sz w:val="18"/>
                <w:szCs w:val="18"/>
              </w:rPr>
              <w:t>.</w:t>
            </w:r>
          </w:p>
          <w:p w14:paraId="0BEE7D3F" w14:textId="52A5E447" w:rsidR="008F0EA4" w:rsidRPr="005A7175" w:rsidRDefault="007C70F7" w:rsidP="001D32F6">
            <w:pPr>
              <w:pStyle w:val="Tabletext"/>
              <w:rPr>
                <w:rFonts w:asciiTheme="minorHAnsi" w:hAnsiTheme="minorHAnsi" w:cstheme="minorHAnsi"/>
                <w:sz w:val="18"/>
                <w:szCs w:val="18"/>
              </w:rPr>
            </w:pPr>
            <w:r w:rsidRPr="005A7175">
              <w:rPr>
                <w:rFonts w:asciiTheme="minorHAnsi" w:hAnsiTheme="minorHAnsi" w:cstheme="minorHAnsi"/>
                <w:sz w:val="18"/>
                <w:szCs w:val="18"/>
              </w:rPr>
              <w:t>Cette année, la réunion en</w:t>
            </w:r>
            <w:r w:rsidR="00E75BA3" w:rsidRPr="005A7175">
              <w:rPr>
                <w:rFonts w:asciiTheme="minorHAnsi" w:hAnsiTheme="minorHAnsi" w:cstheme="minorHAnsi"/>
                <w:sz w:val="18"/>
                <w:szCs w:val="18"/>
              </w:rPr>
              <w:t>tre les organismes du système des Nations Unies et les pays donateurs a eu lieu de façon virtuelle</w:t>
            </w:r>
            <w:r w:rsidR="008F0EA4" w:rsidRPr="005A7175">
              <w:rPr>
                <w:rFonts w:asciiTheme="minorHAnsi" w:hAnsiTheme="minorHAnsi" w:cstheme="minorHAnsi"/>
                <w:sz w:val="18"/>
                <w:szCs w:val="18"/>
              </w:rPr>
              <w:t>.</w:t>
            </w:r>
          </w:p>
          <w:p w14:paraId="57479681" w14:textId="6B52B774" w:rsidR="008F0EA4" w:rsidRPr="00B651E4" w:rsidRDefault="008F0EA4" w:rsidP="001D32F6">
            <w:pPr>
              <w:pStyle w:val="Tabletext"/>
              <w:rPr>
                <w:rFonts w:asciiTheme="minorHAnsi" w:hAnsiTheme="minorHAnsi" w:cstheme="minorHAnsi"/>
                <w:sz w:val="18"/>
                <w:szCs w:val="18"/>
              </w:rPr>
            </w:pPr>
            <w:r w:rsidRPr="00B651E4">
              <w:rPr>
                <w:rFonts w:asciiTheme="minorHAnsi" w:hAnsiTheme="minorHAnsi" w:cstheme="minorHAnsi"/>
                <w:sz w:val="18"/>
                <w:szCs w:val="18"/>
              </w:rPr>
              <w:t>Nombre de personnes recrutées au titre de fonds d</w:t>
            </w:r>
            <w:r w:rsidR="00E14E13">
              <w:rPr>
                <w:rFonts w:asciiTheme="minorHAnsi" w:hAnsiTheme="minorHAnsi" w:cstheme="minorHAnsi"/>
                <w:sz w:val="18"/>
                <w:szCs w:val="18"/>
              </w:rPr>
              <w:t>'</w:t>
            </w:r>
            <w:r w:rsidRPr="00B651E4">
              <w:rPr>
                <w:rFonts w:asciiTheme="minorHAnsi" w:hAnsiTheme="minorHAnsi" w:cstheme="minorHAnsi"/>
                <w:sz w:val="18"/>
                <w:szCs w:val="18"/>
              </w:rPr>
              <w:t xml:space="preserve">affectation spéciale: </w:t>
            </w:r>
            <w:r>
              <w:rPr>
                <w:rFonts w:asciiTheme="minorHAnsi" w:hAnsiTheme="minorHAnsi" w:cstheme="minorHAnsi"/>
                <w:sz w:val="18"/>
                <w:szCs w:val="18"/>
              </w:rPr>
              <w:t>5.</w:t>
            </w:r>
          </w:p>
          <w:p w14:paraId="313A6838" w14:textId="57A26C94" w:rsidR="008F0EA4" w:rsidRPr="00EC2030" w:rsidRDefault="008F0EA4" w:rsidP="001D32F6">
            <w:pPr>
              <w:pStyle w:val="Tabletext"/>
              <w:rPr>
                <w:rFonts w:asciiTheme="minorHAnsi" w:hAnsiTheme="minorHAnsi" w:cstheme="minorHAnsi"/>
                <w:sz w:val="18"/>
                <w:szCs w:val="18"/>
                <w:lang w:val="en-US"/>
              </w:rPr>
            </w:pPr>
            <w:r w:rsidRPr="00B651E4">
              <w:rPr>
                <w:rFonts w:asciiTheme="minorHAnsi" w:hAnsiTheme="minorHAnsi" w:cstheme="minorHAnsi"/>
                <w:sz w:val="18"/>
                <w:szCs w:val="18"/>
              </w:rPr>
              <w:t xml:space="preserve">Nombre de prêts: </w:t>
            </w:r>
            <w:r>
              <w:rPr>
                <w:rFonts w:asciiTheme="minorHAnsi" w:hAnsiTheme="minorHAnsi" w:cstheme="minorHAnsi"/>
                <w:sz w:val="18"/>
                <w:szCs w:val="18"/>
              </w:rPr>
              <w:t>6.</w:t>
            </w:r>
          </w:p>
        </w:tc>
      </w:tr>
      <w:tr w:rsidR="008F0EA4" w:rsidRPr="00B651E4" w14:paraId="68C8DB0A" w14:textId="77777777" w:rsidTr="007F43CA">
        <w:trPr>
          <w:jc w:val="center"/>
        </w:trPr>
        <w:tc>
          <w:tcPr>
            <w:tcW w:w="495" w:type="dxa"/>
            <w:vMerge/>
            <w:shd w:val="clear" w:color="auto" w:fill="DBE5F1" w:themeFill="accent1" w:themeFillTint="33"/>
          </w:tcPr>
          <w:p w14:paraId="64851EF8" w14:textId="77777777" w:rsidR="008F0EA4" w:rsidRPr="00B651E4" w:rsidRDefault="008F0EA4" w:rsidP="001D32F6">
            <w:pPr>
              <w:pStyle w:val="Tabletext"/>
              <w:keepNext/>
              <w:keepLines/>
              <w:spacing w:before="0" w:after="0"/>
              <w:rPr>
                <w:sz w:val="18"/>
                <w:szCs w:val="18"/>
              </w:rPr>
            </w:pPr>
          </w:p>
        </w:tc>
        <w:tc>
          <w:tcPr>
            <w:tcW w:w="1300" w:type="dxa"/>
            <w:vMerge/>
            <w:shd w:val="clear" w:color="auto" w:fill="DBE5F1" w:themeFill="accent1" w:themeFillTint="33"/>
          </w:tcPr>
          <w:p w14:paraId="6201EE94" w14:textId="77777777" w:rsidR="008F0EA4" w:rsidRPr="00B651E4" w:rsidRDefault="008F0EA4" w:rsidP="001D32F6">
            <w:pPr>
              <w:pStyle w:val="Tabletext"/>
              <w:keepN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7F2A7F79" w14:textId="172CA3E5" w:rsidR="008F0EA4" w:rsidRPr="00B651E4" w:rsidRDefault="008F0EA4" w:rsidP="001D32F6">
            <w:pPr>
              <w:pStyle w:val="Tabletext"/>
              <w:tabs>
                <w:tab w:val="left" w:pos="314"/>
              </w:tabs>
              <w:ind w:left="225" w:hanging="225"/>
              <w:rPr>
                <w:sz w:val="18"/>
                <w:szCs w:val="18"/>
              </w:rPr>
            </w:pPr>
            <w:r w:rsidRPr="00B651E4">
              <w:rPr>
                <w:sz w:val="18"/>
                <w:szCs w:val="18"/>
              </w:rPr>
              <w:t>3</w:t>
            </w:r>
            <w:r>
              <w:rPr>
                <w:sz w:val="18"/>
                <w:szCs w:val="18"/>
              </w:rPr>
              <w:tab/>
            </w:r>
            <w:r w:rsidRPr="00B651E4">
              <w:rPr>
                <w:sz w:val="18"/>
                <w:szCs w:val="18"/>
              </w:rPr>
              <w:t>Élaborer et promouvoir des programmes adaptés pour les jeunes talents, en offrant davantage de possibilité aux stagiaires et aux administrateurs auxiliaires, dans le cadre de formations et de programmes de partenariats et de certification</w:t>
            </w:r>
          </w:p>
        </w:tc>
        <w:tc>
          <w:tcPr>
            <w:tcW w:w="2425" w:type="dxa"/>
            <w:shd w:val="clear" w:color="auto" w:fill="DBE5F1" w:themeFill="accent1" w:themeFillTint="33"/>
          </w:tcPr>
          <w:p w14:paraId="1C6951C0" w14:textId="77777777" w:rsidR="008F0EA4" w:rsidRPr="00E87AA1" w:rsidRDefault="008F0EA4" w:rsidP="001D32F6">
            <w:pPr>
              <w:pStyle w:val="Tabletext"/>
              <w:tabs>
                <w:tab w:val="left" w:pos="178"/>
              </w:tabs>
              <w:ind w:left="178" w:hanging="178"/>
              <w:rPr>
                <w:rFonts w:asciiTheme="minorHAnsi" w:hAnsiTheme="minorHAnsi" w:cstheme="minorHAnsi"/>
                <w:sz w:val="18"/>
                <w:szCs w:val="18"/>
              </w:rPr>
            </w:pPr>
            <w:r w:rsidRPr="00B651E4">
              <w:rPr>
                <w:sz w:val="18"/>
                <w:szCs w:val="18"/>
              </w:rPr>
              <w:t>•</w:t>
            </w:r>
            <w:r w:rsidRPr="00E87AA1">
              <w:rPr>
                <w:rFonts w:asciiTheme="minorHAnsi" w:hAnsiTheme="minorHAnsi" w:cstheme="minorHAnsi"/>
                <w:sz w:val="18"/>
                <w:szCs w:val="18"/>
              </w:rPr>
              <w:tab/>
              <w:t>Nombre de partenariats conclus avec des administrations et des universités</w:t>
            </w:r>
          </w:p>
          <w:p w14:paraId="0F71F1EB" w14:textId="741ECF84" w:rsidR="008F0EA4" w:rsidRPr="00E87AA1" w:rsidRDefault="008F0EA4" w:rsidP="001D32F6">
            <w:pPr>
              <w:pStyle w:val="Tabletext"/>
              <w:tabs>
                <w:tab w:val="left" w:pos="178"/>
              </w:tabs>
              <w:ind w:left="178" w:hanging="178"/>
              <w:rPr>
                <w:rFonts w:asciiTheme="minorHAnsi" w:hAnsiTheme="minorHAnsi" w:cstheme="minorHAnsi"/>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Programmes à l</w:t>
            </w:r>
            <w:r w:rsidR="00E14E13">
              <w:rPr>
                <w:rFonts w:asciiTheme="minorHAnsi" w:hAnsiTheme="minorHAnsi" w:cstheme="minorHAnsi"/>
                <w:sz w:val="18"/>
                <w:szCs w:val="18"/>
              </w:rPr>
              <w:t>'</w:t>
            </w:r>
            <w:r w:rsidRPr="00E87AA1">
              <w:rPr>
                <w:rFonts w:asciiTheme="minorHAnsi" w:hAnsiTheme="minorHAnsi" w:cstheme="minorHAnsi"/>
                <w:sz w:val="18"/>
                <w:szCs w:val="18"/>
              </w:rPr>
              <w:t>intention des jeunes talents élaborés et mis en œuvre</w:t>
            </w:r>
          </w:p>
          <w:p w14:paraId="215A7C92" w14:textId="77777777" w:rsidR="008F0EA4" w:rsidRPr="00E87AA1" w:rsidRDefault="008F0EA4" w:rsidP="001D32F6">
            <w:pPr>
              <w:pStyle w:val="Tabletext"/>
              <w:tabs>
                <w:tab w:val="left" w:pos="178"/>
              </w:tabs>
              <w:ind w:left="178" w:hanging="178"/>
              <w:rPr>
                <w:rFonts w:asciiTheme="minorHAnsi" w:hAnsiTheme="minorHAnsi" w:cstheme="minorHAnsi"/>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Rapport qualitatif et quantitatif concernant les activités de promotions</w:t>
            </w:r>
          </w:p>
          <w:p w14:paraId="2769A95C" w14:textId="4B77CD43" w:rsidR="008F0EA4" w:rsidRPr="00B651E4" w:rsidRDefault="008F0EA4" w:rsidP="001D32F6">
            <w:pPr>
              <w:pStyle w:val="Tabletext"/>
              <w:tabs>
                <w:tab w:val="left" w:pos="178"/>
              </w:tabs>
              <w:ind w:left="178" w:hanging="178"/>
              <w:rPr>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Nombre de stagiaires et d</w:t>
            </w:r>
            <w:r w:rsidR="00E14E13">
              <w:rPr>
                <w:rFonts w:asciiTheme="minorHAnsi" w:hAnsiTheme="minorHAnsi" w:cstheme="minorHAnsi"/>
                <w:sz w:val="18"/>
                <w:szCs w:val="18"/>
              </w:rPr>
              <w:t>'</w:t>
            </w:r>
            <w:r w:rsidRPr="00E87AA1">
              <w:rPr>
                <w:rFonts w:asciiTheme="minorHAnsi" w:hAnsiTheme="minorHAnsi" w:cstheme="minorHAnsi"/>
                <w:sz w:val="18"/>
                <w:szCs w:val="18"/>
              </w:rPr>
              <w:t>administrateurs auxiliaires</w:t>
            </w:r>
          </w:p>
        </w:tc>
        <w:tc>
          <w:tcPr>
            <w:tcW w:w="1591" w:type="dxa"/>
            <w:shd w:val="clear" w:color="auto" w:fill="DBE5F1" w:themeFill="accent1" w:themeFillTint="33"/>
          </w:tcPr>
          <w:p w14:paraId="1B92EA5E" w14:textId="77777777" w:rsidR="008F0EA4" w:rsidRPr="00B651E4" w:rsidRDefault="008F0EA4" w:rsidP="001D32F6">
            <w:pPr>
              <w:pStyle w:val="Tabletext"/>
              <w:rPr>
                <w:sz w:val="18"/>
                <w:szCs w:val="18"/>
              </w:rPr>
            </w:pPr>
            <w:r w:rsidRPr="00B651E4">
              <w:rPr>
                <w:sz w:val="18"/>
                <w:szCs w:val="18"/>
              </w:rPr>
              <w:t>HRMD</w:t>
            </w:r>
          </w:p>
          <w:p w14:paraId="6E35D79C" w14:textId="77777777" w:rsidR="008F0EA4" w:rsidRPr="00B651E4" w:rsidRDefault="008F0EA4" w:rsidP="001D32F6">
            <w:pPr>
              <w:pStyle w:val="Tabletext"/>
              <w:rPr>
                <w:sz w:val="18"/>
                <w:szCs w:val="18"/>
              </w:rPr>
            </w:pPr>
            <w:r w:rsidRPr="00B651E4">
              <w:rPr>
                <w:sz w:val="18"/>
                <w:szCs w:val="18"/>
              </w:rPr>
              <w:t>Bureaux et Départements du Secrétariat général</w:t>
            </w:r>
          </w:p>
        </w:tc>
        <w:tc>
          <w:tcPr>
            <w:tcW w:w="1555" w:type="dxa"/>
            <w:shd w:val="clear" w:color="auto" w:fill="DBE5F1" w:themeFill="accent1" w:themeFillTint="33"/>
          </w:tcPr>
          <w:p w14:paraId="229D761B" w14:textId="77777777" w:rsidR="008F0EA4" w:rsidRPr="00B651E4" w:rsidRDefault="008F0EA4" w:rsidP="001D32F6">
            <w:pPr>
              <w:pStyle w:val="Tabletext"/>
              <w:jc w:val="both"/>
              <w:rPr>
                <w:sz w:val="18"/>
                <w:szCs w:val="18"/>
              </w:rPr>
            </w:pPr>
            <w:r w:rsidRPr="00B651E4">
              <w:rPr>
                <w:sz w:val="18"/>
                <w:szCs w:val="18"/>
              </w:rPr>
              <w:t>En cours</w:t>
            </w:r>
          </w:p>
        </w:tc>
        <w:tc>
          <w:tcPr>
            <w:tcW w:w="4394" w:type="dxa"/>
            <w:shd w:val="clear" w:color="auto" w:fill="DBE5F1" w:themeFill="accent1" w:themeFillTint="33"/>
          </w:tcPr>
          <w:p w14:paraId="05005752" w14:textId="7C5B19C3" w:rsidR="008F0EA4" w:rsidRPr="00B651E4" w:rsidRDefault="008F0EA4" w:rsidP="001D32F6">
            <w:pPr>
              <w:spacing w:before="60" w:after="60"/>
              <w:rPr>
                <w:sz w:val="18"/>
                <w:szCs w:val="18"/>
              </w:rPr>
            </w:pPr>
            <w:r w:rsidRPr="00B651E4">
              <w:rPr>
                <w:sz w:val="18"/>
                <w:szCs w:val="18"/>
              </w:rPr>
              <w:t xml:space="preserve">Le Département HRMD a </w:t>
            </w:r>
            <w:r w:rsidR="00E75BA3">
              <w:rPr>
                <w:sz w:val="18"/>
                <w:szCs w:val="18"/>
              </w:rPr>
              <w:t xml:space="preserve">de nouveau </w:t>
            </w:r>
            <w:r w:rsidRPr="00B651E4">
              <w:rPr>
                <w:sz w:val="18"/>
                <w:szCs w:val="18"/>
              </w:rPr>
              <w:t>participé à des salons de l</w:t>
            </w:r>
            <w:r w:rsidR="00E14E13">
              <w:rPr>
                <w:sz w:val="18"/>
                <w:szCs w:val="18"/>
              </w:rPr>
              <w:t>'</w:t>
            </w:r>
            <w:r w:rsidRPr="00B651E4">
              <w:rPr>
                <w:sz w:val="18"/>
                <w:szCs w:val="18"/>
              </w:rPr>
              <w:t>emploi virtuels en Allemagne (Berlin), en Italie (Milan)</w:t>
            </w:r>
            <w:r w:rsidR="00E75BA3">
              <w:rPr>
                <w:sz w:val="18"/>
                <w:szCs w:val="18"/>
              </w:rPr>
              <w:t xml:space="preserve"> et </w:t>
            </w:r>
            <w:r w:rsidRPr="00B651E4">
              <w:rPr>
                <w:sz w:val="18"/>
                <w:szCs w:val="18"/>
              </w:rPr>
              <w:t>en Suisse (Lucerne et Berne).</w:t>
            </w:r>
          </w:p>
          <w:p w14:paraId="3EEA41E2" w14:textId="54F38AA6" w:rsidR="008F0EA4" w:rsidRPr="00EC2C16" w:rsidRDefault="008F0EA4" w:rsidP="001D32F6">
            <w:pPr>
              <w:spacing w:before="60" w:after="60"/>
              <w:rPr>
                <w:sz w:val="18"/>
                <w:szCs w:val="18"/>
              </w:rPr>
            </w:pPr>
            <w:r w:rsidRPr="00B651E4">
              <w:rPr>
                <w:sz w:val="18"/>
                <w:szCs w:val="18"/>
              </w:rPr>
              <w:t>Nombre de stagiaires en 202</w:t>
            </w:r>
            <w:r>
              <w:rPr>
                <w:sz w:val="18"/>
                <w:szCs w:val="18"/>
              </w:rPr>
              <w:t>1</w:t>
            </w:r>
            <w:r w:rsidRPr="00B651E4">
              <w:rPr>
                <w:sz w:val="18"/>
                <w:szCs w:val="18"/>
              </w:rPr>
              <w:t>:</w:t>
            </w:r>
            <w:r w:rsidR="005A7175">
              <w:rPr>
                <w:sz w:val="18"/>
                <w:szCs w:val="18"/>
              </w:rPr>
              <w:t xml:space="preserve"> </w:t>
            </w:r>
            <w:r w:rsidRPr="00EC2C16">
              <w:rPr>
                <w:sz w:val="18"/>
                <w:szCs w:val="18"/>
              </w:rPr>
              <w:t>1</w:t>
            </w:r>
            <w:r>
              <w:rPr>
                <w:sz w:val="18"/>
                <w:szCs w:val="18"/>
              </w:rPr>
              <w:t>53</w:t>
            </w:r>
            <w:r w:rsidRPr="00EC2C16">
              <w:rPr>
                <w:sz w:val="18"/>
                <w:szCs w:val="18"/>
              </w:rPr>
              <w:t xml:space="preserve"> (SG </w:t>
            </w:r>
            <w:r>
              <w:rPr>
                <w:sz w:val="18"/>
                <w:szCs w:val="18"/>
              </w:rPr>
              <w:t>60</w:t>
            </w:r>
            <w:r w:rsidRPr="00EC2C16">
              <w:rPr>
                <w:sz w:val="18"/>
                <w:szCs w:val="18"/>
              </w:rPr>
              <w:t xml:space="preserve"> – BR </w:t>
            </w:r>
            <w:r>
              <w:rPr>
                <w:sz w:val="18"/>
                <w:szCs w:val="18"/>
              </w:rPr>
              <w:t>3</w:t>
            </w:r>
            <w:r w:rsidRPr="00EC2C16">
              <w:rPr>
                <w:sz w:val="18"/>
                <w:szCs w:val="18"/>
              </w:rPr>
              <w:t xml:space="preserve"> – BDT</w:t>
            </w:r>
            <w:r w:rsidR="00F74C17">
              <w:rPr>
                <w:sz w:val="18"/>
                <w:szCs w:val="18"/>
              </w:rPr>
              <w:t> </w:t>
            </w:r>
            <w:r>
              <w:rPr>
                <w:sz w:val="18"/>
                <w:szCs w:val="18"/>
              </w:rPr>
              <w:t>72</w:t>
            </w:r>
            <w:r w:rsidRPr="00EC2C16">
              <w:rPr>
                <w:sz w:val="18"/>
                <w:szCs w:val="18"/>
              </w:rPr>
              <w:t xml:space="preserve"> – TSB 1</w:t>
            </w:r>
            <w:r>
              <w:rPr>
                <w:sz w:val="18"/>
                <w:szCs w:val="18"/>
              </w:rPr>
              <w:t>6</w:t>
            </w:r>
            <w:r w:rsidRPr="00EC2C16">
              <w:rPr>
                <w:sz w:val="18"/>
                <w:szCs w:val="18"/>
              </w:rPr>
              <w:t xml:space="preserve"> – Telecom </w:t>
            </w:r>
            <w:r>
              <w:rPr>
                <w:sz w:val="18"/>
                <w:szCs w:val="18"/>
              </w:rPr>
              <w:t>2</w:t>
            </w:r>
            <w:r w:rsidRPr="00EC2C16">
              <w:rPr>
                <w:sz w:val="18"/>
                <w:szCs w:val="18"/>
              </w:rPr>
              <w:t>)</w:t>
            </w:r>
            <w:r w:rsidR="005A7175">
              <w:rPr>
                <w:sz w:val="18"/>
                <w:szCs w:val="18"/>
              </w:rPr>
              <w:t>.</w:t>
            </w:r>
          </w:p>
          <w:p w14:paraId="72225E9A" w14:textId="49471435" w:rsidR="008F0EA4" w:rsidRPr="00B651E4" w:rsidRDefault="008F0EA4" w:rsidP="001D32F6">
            <w:pPr>
              <w:pStyle w:val="Tabletext"/>
              <w:rPr>
                <w:sz w:val="18"/>
                <w:szCs w:val="18"/>
              </w:rPr>
            </w:pPr>
            <w:r w:rsidRPr="00B651E4">
              <w:rPr>
                <w:sz w:val="18"/>
                <w:szCs w:val="18"/>
              </w:rPr>
              <w:t>Nombre d</w:t>
            </w:r>
            <w:r w:rsidR="00E14E13">
              <w:rPr>
                <w:sz w:val="18"/>
                <w:szCs w:val="18"/>
              </w:rPr>
              <w:t>'</w:t>
            </w:r>
            <w:r w:rsidRPr="00B651E4">
              <w:rPr>
                <w:sz w:val="18"/>
                <w:szCs w:val="18"/>
              </w:rPr>
              <w:t>administrateurs auxiliaires en 202</w:t>
            </w:r>
            <w:r>
              <w:rPr>
                <w:sz w:val="18"/>
                <w:szCs w:val="18"/>
              </w:rPr>
              <w:t>1</w:t>
            </w:r>
            <w:r w:rsidRPr="00B651E4">
              <w:rPr>
                <w:sz w:val="18"/>
                <w:szCs w:val="18"/>
              </w:rPr>
              <w:t xml:space="preserve">: </w:t>
            </w:r>
            <w:r>
              <w:rPr>
                <w:sz w:val="18"/>
                <w:szCs w:val="18"/>
              </w:rPr>
              <w:t>6</w:t>
            </w:r>
            <w:r w:rsidR="005A7175">
              <w:rPr>
                <w:sz w:val="18"/>
                <w:szCs w:val="18"/>
              </w:rPr>
              <w:t>.</w:t>
            </w:r>
          </w:p>
        </w:tc>
      </w:tr>
      <w:tr w:rsidR="008F0EA4" w:rsidRPr="00E75BA3" w14:paraId="09B470B7" w14:textId="77777777" w:rsidTr="007F43CA">
        <w:trPr>
          <w:jc w:val="center"/>
        </w:trPr>
        <w:tc>
          <w:tcPr>
            <w:tcW w:w="495" w:type="dxa"/>
            <w:vMerge/>
            <w:shd w:val="clear" w:color="auto" w:fill="DBE5F1" w:themeFill="accent1" w:themeFillTint="33"/>
          </w:tcPr>
          <w:p w14:paraId="7C87F402" w14:textId="77777777" w:rsidR="008F0EA4" w:rsidRPr="00B651E4" w:rsidRDefault="008F0EA4" w:rsidP="001D32F6">
            <w:pPr>
              <w:pStyle w:val="Tabletext"/>
              <w:keepNext/>
              <w:keepLines/>
              <w:spacing w:before="0" w:after="0"/>
              <w:rPr>
                <w:sz w:val="18"/>
                <w:szCs w:val="18"/>
              </w:rPr>
            </w:pPr>
          </w:p>
        </w:tc>
        <w:tc>
          <w:tcPr>
            <w:tcW w:w="1300" w:type="dxa"/>
            <w:vMerge/>
            <w:shd w:val="clear" w:color="auto" w:fill="DBE5F1" w:themeFill="accent1" w:themeFillTint="33"/>
          </w:tcPr>
          <w:p w14:paraId="06A8E7B7" w14:textId="77777777" w:rsidR="008F0EA4" w:rsidRPr="00B651E4" w:rsidRDefault="008F0EA4" w:rsidP="001D32F6">
            <w:pPr>
              <w:pStyle w:val="Tabletext"/>
              <w:keepNext/>
              <w:keepLines/>
              <w:spacing w:before="0" w:after="0"/>
              <w:rPr>
                <w:sz w:val="18"/>
                <w:szCs w:val="18"/>
              </w:rPr>
            </w:pPr>
          </w:p>
        </w:tc>
        <w:tc>
          <w:tcPr>
            <w:tcW w:w="2127" w:type="dxa"/>
            <w:tcBorders>
              <w:top w:val="single" w:sz="4" w:space="0" w:color="auto"/>
            </w:tcBorders>
            <w:shd w:val="clear" w:color="auto" w:fill="DBE5F1" w:themeFill="accent1" w:themeFillTint="33"/>
          </w:tcPr>
          <w:p w14:paraId="18CE1C0B" w14:textId="728C3413" w:rsidR="008F0EA4" w:rsidRPr="00B651E4" w:rsidRDefault="008F0EA4" w:rsidP="001D32F6">
            <w:pPr>
              <w:pStyle w:val="Tabletext"/>
              <w:keepNext/>
              <w:keepLines/>
              <w:tabs>
                <w:tab w:val="left" w:pos="314"/>
              </w:tabs>
              <w:ind w:left="225" w:hanging="225"/>
              <w:rPr>
                <w:sz w:val="18"/>
                <w:szCs w:val="18"/>
              </w:rPr>
            </w:pPr>
            <w:r w:rsidRPr="00B651E4">
              <w:rPr>
                <w:rFonts w:cs="Segoe UI"/>
                <w:bCs/>
                <w:sz w:val="18"/>
                <w:szCs w:val="18"/>
              </w:rPr>
              <w:t>4</w:t>
            </w:r>
            <w:r>
              <w:rPr>
                <w:rFonts w:asciiTheme="minorHAnsi" w:hAnsiTheme="minorHAnsi" w:cstheme="minorHAnsi"/>
                <w:sz w:val="18"/>
                <w:szCs w:val="18"/>
              </w:rPr>
              <w:tab/>
            </w:r>
            <w:r w:rsidRPr="00B651E4">
              <w:rPr>
                <w:rFonts w:cs="Segoe UI"/>
                <w:bCs/>
                <w:sz w:val="18"/>
                <w:szCs w:val="18"/>
              </w:rPr>
              <w:t>Remanier le site web sur les possibilités de carrière</w:t>
            </w:r>
          </w:p>
        </w:tc>
        <w:tc>
          <w:tcPr>
            <w:tcW w:w="2425" w:type="dxa"/>
            <w:shd w:val="clear" w:color="auto" w:fill="DBE5F1" w:themeFill="accent1" w:themeFillTint="33"/>
          </w:tcPr>
          <w:p w14:paraId="36168D31" w14:textId="77777777" w:rsidR="008F0EA4" w:rsidRPr="00B651E4" w:rsidRDefault="008F0EA4" w:rsidP="001D32F6">
            <w:pPr>
              <w:pStyle w:val="Tabletext"/>
              <w:keepLines/>
              <w:tabs>
                <w:tab w:val="left" w:pos="178"/>
              </w:tabs>
              <w:ind w:left="178" w:hanging="178"/>
              <w:rPr>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Un site web sur les possibilités de carrière qui soit attractif et qui utilise un outil de prospection</w:t>
            </w:r>
          </w:p>
        </w:tc>
        <w:tc>
          <w:tcPr>
            <w:tcW w:w="1591" w:type="dxa"/>
            <w:shd w:val="clear" w:color="auto" w:fill="DBE5F1" w:themeFill="accent1" w:themeFillTint="33"/>
          </w:tcPr>
          <w:p w14:paraId="1A335750" w14:textId="77777777" w:rsidR="008F0EA4" w:rsidRPr="00B651E4" w:rsidRDefault="008F0EA4" w:rsidP="001D32F6">
            <w:pPr>
              <w:pStyle w:val="Tabletext"/>
              <w:keepNext/>
              <w:keepLines/>
              <w:rPr>
                <w:sz w:val="18"/>
                <w:szCs w:val="18"/>
              </w:rPr>
            </w:pPr>
            <w:r w:rsidRPr="00B651E4">
              <w:rPr>
                <w:sz w:val="18"/>
                <w:szCs w:val="18"/>
              </w:rPr>
              <w:t>HRMD</w:t>
            </w:r>
          </w:p>
          <w:p w14:paraId="3EA9489E" w14:textId="77777777" w:rsidR="008F0EA4" w:rsidRPr="00B651E4" w:rsidRDefault="008F0EA4" w:rsidP="001D32F6">
            <w:pPr>
              <w:pStyle w:val="Tabletext"/>
              <w:keepNext/>
              <w:keepLines/>
              <w:rPr>
                <w:sz w:val="18"/>
                <w:szCs w:val="18"/>
              </w:rPr>
            </w:pPr>
            <w:r w:rsidRPr="00B651E4">
              <w:rPr>
                <w:sz w:val="18"/>
                <w:szCs w:val="18"/>
              </w:rPr>
              <w:t>SPM</w:t>
            </w:r>
          </w:p>
        </w:tc>
        <w:tc>
          <w:tcPr>
            <w:tcW w:w="1555" w:type="dxa"/>
            <w:shd w:val="clear" w:color="auto" w:fill="DBE5F1" w:themeFill="accent1" w:themeFillTint="33"/>
          </w:tcPr>
          <w:p w14:paraId="7F53A3D8" w14:textId="77777777" w:rsidR="008F0EA4" w:rsidRPr="00B651E4" w:rsidRDefault="008F0EA4" w:rsidP="001D32F6">
            <w:pPr>
              <w:pStyle w:val="Tabletext"/>
              <w:keepNext/>
              <w:keepLines/>
              <w:jc w:val="both"/>
              <w:rPr>
                <w:sz w:val="18"/>
                <w:szCs w:val="18"/>
              </w:rPr>
            </w:pPr>
            <w:r w:rsidRPr="00B651E4">
              <w:rPr>
                <w:sz w:val="18"/>
                <w:szCs w:val="18"/>
              </w:rPr>
              <w:t>2021</w:t>
            </w:r>
          </w:p>
        </w:tc>
        <w:tc>
          <w:tcPr>
            <w:tcW w:w="4394" w:type="dxa"/>
            <w:shd w:val="clear" w:color="auto" w:fill="DBE5F1" w:themeFill="accent1" w:themeFillTint="33"/>
          </w:tcPr>
          <w:p w14:paraId="70E67135" w14:textId="18418904" w:rsidR="008F0EA4" w:rsidRPr="00E75BA3" w:rsidRDefault="00E75BA3" w:rsidP="001D32F6">
            <w:pPr>
              <w:pStyle w:val="Tabletext"/>
              <w:keepNext/>
              <w:keepLines/>
              <w:rPr>
                <w:sz w:val="18"/>
                <w:szCs w:val="18"/>
              </w:rPr>
            </w:pPr>
            <w:r w:rsidRPr="00E75BA3">
              <w:rPr>
                <w:sz w:val="18"/>
                <w:szCs w:val="18"/>
              </w:rPr>
              <w:t>L</w:t>
            </w:r>
            <w:r w:rsidR="00852168">
              <w:rPr>
                <w:sz w:val="18"/>
                <w:szCs w:val="18"/>
              </w:rPr>
              <w:t xml:space="preserve">a page </w:t>
            </w:r>
            <w:r w:rsidRPr="00E75BA3">
              <w:rPr>
                <w:sz w:val="18"/>
                <w:szCs w:val="18"/>
              </w:rPr>
              <w:t>web sur les carrière</w:t>
            </w:r>
            <w:r w:rsidR="00852168">
              <w:rPr>
                <w:sz w:val="18"/>
                <w:szCs w:val="18"/>
              </w:rPr>
              <w:t>s</w:t>
            </w:r>
            <w:r w:rsidRPr="00E75BA3">
              <w:rPr>
                <w:sz w:val="18"/>
                <w:szCs w:val="18"/>
              </w:rPr>
              <w:t xml:space="preserve"> a été ent</w:t>
            </w:r>
            <w:r>
              <w:rPr>
                <w:sz w:val="18"/>
                <w:szCs w:val="18"/>
              </w:rPr>
              <w:t>ièrement remanié</w:t>
            </w:r>
            <w:r w:rsidR="00852168">
              <w:rPr>
                <w:sz w:val="18"/>
                <w:szCs w:val="18"/>
              </w:rPr>
              <w:t>e</w:t>
            </w:r>
            <w:r>
              <w:rPr>
                <w:sz w:val="18"/>
                <w:szCs w:val="18"/>
              </w:rPr>
              <w:t xml:space="preserve"> et sera opérationnel</w:t>
            </w:r>
            <w:r w:rsidR="00852168">
              <w:rPr>
                <w:sz w:val="18"/>
                <w:szCs w:val="18"/>
              </w:rPr>
              <w:t>le</w:t>
            </w:r>
            <w:r>
              <w:rPr>
                <w:sz w:val="18"/>
                <w:szCs w:val="18"/>
              </w:rPr>
              <w:t xml:space="preserve"> le 28 février </w:t>
            </w:r>
            <w:r w:rsidR="008F0EA4" w:rsidRPr="00E75BA3">
              <w:rPr>
                <w:sz w:val="18"/>
                <w:szCs w:val="18"/>
              </w:rPr>
              <w:t>2022.</w:t>
            </w:r>
          </w:p>
        </w:tc>
      </w:tr>
    </w:tbl>
    <w:p w14:paraId="6A54DE31" w14:textId="77777777" w:rsidR="0029041D" w:rsidRPr="00E75BA3" w:rsidRDefault="0029041D" w:rsidP="001D32F6">
      <w:pPr>
        <w:tabs>
          <w:tab w:val="clear" w:pos="567"/>
          <w:tab w:val="clear" w:pos="1134"/>
          <w:tab w:val="clear" w:pos="1701"/>
          <w:tab w:val="clear" w:pos="2268"/>
          <w:tab w:val="clear" w:pos="2835"/>
        </w:tabs>
        <w:overflowPunct/>
        <w:autoSpaceDE/>
        <w:autoSpaceDN/>
        <w:adjustRightInd/>
        <w:spacing w:before="0"/>
        <w:textAlignment w:val="auto"/>
      </w:pPr>
      <w:r w:rsidRPr="00E75BA3">
        <w:br w:type="page"/>
      </w:r>
    </w:p>
    <w:tbl>
      <w:tblPr>
        <w:tblStyle w:val="TableGrid"/>
        <w:tblW w:w="13886" w:type="dxa"/>
        <w:tblLook w:val="04A0" w:firstRow="1" w:lastRow="0" w:firstColumn="1" w:lastColumn="0" w:noHBand="0" w:noVBand="1"/>
      </w:tblPr>
      <w:tblGrid>
        <w:gridCol w:w="492"/>
        <w:gridCol w:w="1547"/>
        <w:gridCol w:w="2605"/>
        <w:gridCol w:w="1876"/>
        <w:gridCol w:w="1591"/>
        <w:gridCol w:w="1197"/>
        <w:gridCol w:w="4578"/>
      </w:tblGrid>
      <w:tr w:rsidR="007F43CA" w:rsidRPr="007F43CA" w14:paraId="15AF396C" w14:textId="77777777" w:rsidTr="005817FB">
        <w:trPr>
          <w:tblHeader/>
        </w:trPr>
        <w:tc>
          <w:tcPr>
            <w:tcW w:w="2041" w:type="dxa"/>
            <w:gridSpan w:val="2"/>
            <w:tcBorders>
              <w:top w:val="single" w:sz="4" w:space="0" w:color="auto"/>
            </w:tcBorders>
            <w:shd w:val="clear" w:color="auto" w:fill="D9D9D9" w:themeFill="background1" w:themeFillShade="D9"/>
          </w:tcPr>
          <w:p w14:paraId="54DCE31A" w14:textId="77777777" w:rsidR="007F43CA" w:rsidRPr="007F43CA" w:rsidRDefault="007F43CA" w:rsidP="001D32F6">
            <w:pPr>
              <w:pStyle w:val="Tablehead"/>
              <w:rPr>
                <w:bCs/>
                <w:sz w:val="18"/>
                <w:szCs w:val="18"/>
              </w:rPr>
            </w:pPr>
            <w:r w:rsidRPr="007F43CA">
              <w:rPr>
                <w:bCs/>
                <w:sz w:val="18"/>
                <w:szCs w:val="18"/>
              </w:rPr>
              <w:lastRenderedPageBreak/>
              <w:t>A</w:t>
            </w:r>
          </w:p>
        </w:tc>
        <w:tc>
          <w:tcPr>
            <w:tcW w:w="2626" w:type="dxa"/>
            <w:tcBorders>
              <w:top w:val="single" w:sz="4" w:space="0" w:color="auto"/>
            </w:tcBorders>
            <w:shd w:val="clear" w:color="auto" w:fill="D9D9D9" w:themeFill="background1" w:themeFillShade="D9"/>
          </w:tcPr>
          <w:p w14:paraId="39014C77" w14:textId="77777777" w:rsidR="007F43CA" w:rsidRPr="007F43CA" w:rsidRDefault="007F43CA" w:rsidP="001D32F6">
            <w:pPr>
              <w:pStyle w:val="Tablehead"/>
              <w:rPr>
                <w:bCs/>
                <w:sz w:val="18"/>
                <w:szCs w:val="18"/>
              </w:rPr>
            </w:pPr>
            <w:r w:rsidRPr="007F43CA">
              <w:rPr>
                <w:bCs/>
                <w:sz w:val="18"/>
                <w:szCs w:val="18"/>
              </w:rPr>
              <w:t>B</w:t>
            </w:r>
          </w:p>
        </w:tc>
        <w:tc>
          <w:tcPr>
            <w:tcW w:w="1879" w:type="dxa"/>
            <w:shd w:val="clear" w:color="auto" w:fill="D9D9D9" w:themeFill="background1" w:themeFillShade="D9"/>
          </w:tcPr>
          <w:p w14:paraId="01DF39EA" w14:textId="77777777" w:rsidR="007F43CA" w:rsidRPr="007F43CA" w:rsidRDefault="007F43CA" w:rsidP="001D32F6">
            <w:pPr>
              <w:pStyle w:val="Tablehead"/>
              <w:rPr>
                <w:bCs/>
                <w:sz w:val="18"/>
                <w:szCs w:val="18"/>
              </w:rPr>
            </w:pPr>
            <w:r w:rsidRPr="007F43CA">
              <w:rPr>
                <w:bCs/>
                <w:sz w:val="18"/>
                <w:szCs w:val="18"/>
              </w:rPr>
              <w:t>C</w:t>
            </w:r>
          </w:p>
        </w:tc>
        <w:tc>
          <w:tcPr>
            <w:tcW w:w="1591" w:type="dxa"/>
            <w:shd w:val="clear" w:color="auto" w:fill="D9D9D9" w:themeFill="background1" w:themeFillShade="D9"/>
          </w:tcPr>
          <w:p w14:paraId="6BBD80D3" w14:textId="77777777" w:rsidR="007F43CA" w:rsidRPr="007F43CA" w:rsidRDefault="007F43CA" w:rsidP="001D32F6">
            <w:pPr>
              <w:pStyle w:val="Tablehead"/>
              <w:rPr>
                <w:bCs/>
                <w:sz w:val="18"/>
                <w:szCs w:val="18"/>
              </w:rPr>
            </w:pPr>
            <w:r w:rsidRPr="007F43CA">
              <w:rPr>
                <w:bCs/>
                <w:sz w:val="18"/>
                <w:szCs w:val="18"/>
              </w:rPr>
              <w:t>D</w:t>
            </w:r>
          </w:p>
        </w:tc>
        <w:tc>
          <w:tcPr>
            <w:tcW w:w="1205" w:type="dxa"/>
            <w:shd w:val="clear" w:color="auto" w:fill="D9D9D9" w:themeFill="background1" w:themeFillShade="D9"/>
          </w:tcPr>
          <w:p w14:paraId="60040F0C" w14:textId="77777777" w:rsidR="007F43CA" w:rsidRPr="007F43CA" w:rsidRDefault="007F43CA" w:rsidP="001D32F6">
            <w:pPr>
              <w:pStyle w:val="Tablehead"/>
              <w:rPr>
                <w:bCs/>
                <w:sz w:val="18"/>
                <w:szCs w:val="18"/>
              </w:rPr>
            </w:pPr>
            <w:r w:rsidRPr="007F43CA">
              <w:rPr>
                <w:bCs/>
                <w:sz w:val="18"/>
                <w:szCs w:val="18"/>
              </w:rPr>
              <w:t>E</w:t>
            </w:r>
          </w:p>
        </w:tc>
        <w:tc>
          <w:tcPr>
            <w:tcW w:w="4687" w:type="dxa"/>
            <w:shd w:val="clear" w:color="auto" w:fill="D9D9D9" w:themeFill="background1" w:themeFillShade="D9"/>
          </w:tcPr>
          <w:p w14:paraId="186CD9A1" w14:textId="3DB38B93" w:rsidR="007F43CA" w:rsidRPr="007F43CA" w:rsidRDefault="007F43CA" w:rsidP="001D32F6">
            <w:pPr>
              <w:pStyle w:val="Tablehead"/>
              <w:rPr>
                <w:bCs/>
                <w:sz w:val="18"/>
                <w:szCs w:val="18"/>
              </w:rPr>
            </w:pPr>
            <w:r w:rsidRPr="007F43CA">
              <w:rPr>
                <w:bCs/>
                <w:sz w:val="18"/>
                <w:szCs w:val="18"/>
              </w:rPr>
              <w:t>F</w:t>
            </w:r>
          </w:p>
        </w:tc>
      </w:tr>
      <w:tr w:rsidR="007F43CA" w:rsidRPr="007F43CA" w14:paraId="0A446CDD" w14:textId="77777777" w:rsidTr="005817FB">
        <w:trPr>
          <w:tblHeader/>
        </w:trPr>
        <w:tc>
          <w:tcPr>
            <w:tcW w:w="2041" w:type="dxa"/>
            <w:gridSpan w:val="2"/>
            <w:tcBorders>
              <w:top w:val="single" w:sz="4" w:space="0" w:color="auto"/>
            </w:tcBorders>
            <w:shd w:val="clear" w:color="auto" w:fill="D9D9D9" w:themeFill="background1" w:themeFillShade="D9"/>
          </w:tcPr>
          <w:p w14:paraId="7E3A9815" w14:textId="77777777" w:rsidR="007F43CA" w:rsidRPr="007F43CA" w:rsidRDefault="007F43CA" w:rsidP="001D32F6">
            <w:pPr>
              <w:pStyle w:val="Tablehead"/>
              <w:rPr>
                <w:sz w:val="18"/>
                <w:szCs w:val="18"/>
              </w:rPr>
            </w:pPr>
            <w:r w:rsidRPr="007F43CA">
              <w:rPr>
                <w:sz w:val="18"/>
                <w:szCs w:val="18"/>
              </w:rPr>
              <w:t>Pilier et élément correspondants</w:t>
            </w:r>
          </w:p>
        </w:tc>
        <w:tc>
          <w:tcPr>
            <w:tcW w:w="2626" w:type="dxa"/>
            <w:tcBorders>
              <w:top w:val="single" w:sz="4" w:space="0" w:color="auto"/>
            </w:tcBorders>
            <w:shd w:val="clear" w:color="auto" w:fill="D9D9D9" w:themeFill="background1" w:themeFillShade="D9"/>
          </w:tcPr>
          <w:p w14:paraId="28E95225" w14:textId="77777777" w:rsidR="007F43CA" w:rsidRPr="007F43CA" w:rsidRDefault="007F43CA" w:rsidP="001D32F6">
            <w:pPr>
              <w:pStyle w:val="Tablehead"/>
              <w:rPr>
                <w:sz w:val="18"/>
                <w:szCs w:val="18"/>
              </w:rPr>
            </w:pPr>
            <w:r w:rsidRPr="007F43CA">
              <w:rPr>
                <w:sz w:val="18"/>
                <w:szCs w:val="18"/>
              </w:rPr>
              <w:t>Intitulé et activités concrètes (de haut niveau)</w:t>
            </w:r>
          </w:p>
        </w:tc>
        <w:tc>
          <w:tcPr>
            <w:tcW w:w="1879" w:type="dxa"/>
            <w:shd w:val="clear" w:color="auto" w:fill="D9D9D9" w:themeFill="background1" w:themeFillShade="D9"/>
          </w:tcPr>
          <w:p w14:paraId="1A011A4E" w14:textId="77777777" w:rsidR="007F43CA" w:rsidRPr="007F43CA" w:rsidRDefault="007F43CA" w:rsidP="001D32F6">
            <w:pPr>
              <w:pStyle w:val="Tablehead"/>
              <w:rPr>
                <w:sz w:val="18"/>
                <w:szCs w:val="18"/>
              </w:rPr>
            </w:pPr>
            <w:r w:rsidRPr="007F43CA">
              <w:rPr>
                <w:sz w:val="18"/>
                <w:szCs w:val="18"/>
              </w:rPr>
              <w:t>Indicateurs fondamentaux de performance institutionnels</w:t>
            </w:r>
          </w:p>
        </w:tc>
        <w:tc>
          <w:tcPr>
            <w:tcW w:w="1591" w:type="dxa"/>
            <w:shd w:val="clear" w:color="auto" w:fill="D9D9D9" w:themeFill="background1" w:themeFillShade="D9"/>
          </w:tcPr>
          <w:p w14:paraId="375AD30A" w14:textId="77777777" w:rsidR="007F43CA" w:rsidRPr="007F43CA" w:rsidRDefault="007F43CA" w:rsidP="001D32F6">
            <w:pPr>
              <w:pStyle w:val="Tablehead"/>
              <w:rPr>
                <w:sz w:val="18"/>
                <w:szCs w:val="18"/>
              </w:rPr>
            </w:pPr>
            <w:r w:rsidRPr="007F43CA">
              <w:rPr>
                <w:sz w:val="18"/>
                <w:szCs w:val="18"/>
              </w:rPr>
              <w:t>Unités organisationnelles et partenaires du Département HRMD</w:t>
            </w:r>
          </w:p>
        </w:tc>
        <w:tc>
          <w:tcPr>
            <w:tcW w:w="1205" w:type="dxa"/>
            <w:shd w:val="clear" w:color="auto" w:fill="D9D9D9" w:themeFill="background1" w:themeFillShade="D9"/>
          </w:tcPr>
          <w:p w14:paraId="325F0305" w14:textId="77777777" w:rsidR="007F43CA" w:rsidRPr="007F43CA" w:rsidRDefault="007F43CA" w:rsidP="001D32F6">
            <w:pPr>
              <w:pStyle w:val="Tablehead"/>
              <w:rPr>
                <w:sz w:val="18"/>
                <w:szCs w:val="18"/>
              </w:rPr>
            </w:pPr>
            <w:r w:rsidRPr="007F43CA">
              <w:rPr>
                <w:sz w:val="18"/>
                <w:szCs w:val="18"/>
              </w:rPr>
              <w:t>Échéances</w:t>
            </w:r>
          </w:p>
        </w:tc>
        <w:tc>
          <w:tcPr>
            <w:tcW w:w="4687" w:type="dxa"/>
            <w:shd w:val="clear" w:color="auto" w:fill="D9D9D9" w:themeFill="background1" w:themeFillShade="D9"/>
          </w:tcPr>
          <w:p w14:paraId="640AC9CD" w14:textId="796F1990" w:rsidR="007F43CA" w:rsidRPr="007F43CA" w:rsidRDefault="007F43CA" w:rsidP="001D32F6">
            <w:pPr>
              <w:pStyle w:val="Tablehead"/>
              <w:rPr>
                <w:bCs/>
                <w:sz w:val="18"/>
                <w:szCs w:val="18"/>
              </w:rPr>
            </w:pPr>
            <w:r w:rsidRPr="007F43CA">
              <w:rPr>
                <w:bCs/>
                <w:sz w:val="18"/>
                <w:szCs w:val="18"/>
              </w:rPr>
              <w:t>Rapport (état d</w:t>
            </w:r>
            <w:r w:rsidR="00E14E13">
              <w:rPr>
                <w:bCs/>
                <w:sz w:val="18"/>
                <w:szCs w:val="18"/>
              </w:rPr>
              <w:t>'</w:t>
            </w:r>
            <w:r w:rsidRPr="007F43CA">
              <w:rPr>
                <w:bCs/>
                <w:sz w:val="18"/>
                <w:szCs w:val="18"/>
              </w:rPr>
              <w:t>avancement février 2022)</w:t>
            </w:r>
          </w:p>
        </w:tc>
      </w:tr>
      <w:tr w:rsidR="007F43CA" w:rsidRPr="007F43CA" w14:paraId="098BE5D3" w14:textId="77777777" w:rsidTr="005817FB">
        <w:tc>
          <w:tcPr>
            <w:tcW w:w="14029" w:type="dxa"/>
            <w:gridSpan w:val="7"/>
            <w:tcBorders>
              <w:bottom w:val="single" w:sz="4" w:space="0" w:color="auto"/>
            </w:tcBorders>
            <w:shd w:val="clear" w:color="auto" w:fill="FDE9D9" w:themeFill="accent6" w:themeFillTint="33"/>
          </w:tcPr>
          <w:p w14:paraId="6C308153" w14:textId="6E22BDB6" w:rsidR="007F43CA" w:rsidRPr="007F43CA" w:rsidRDefault="007F43CA" w:rsidP="001D32F6">
            <w:pPr>
              <w:pStyle w:val="Tabletext"/>
              <w:tabs>
                <w:tab w:val="left" w:pos="347"/>
              </w:tabs>
              <w:rPr>
                <w:b/>
                <w:sz w:val="18"/>
                <w:szCs w:val="18"/>
              </w:rPr>
            </w:pPr>
            <w:r w:rsidRPr="007F43CA">
              <w:rPr>
                <w:b/>
                <w:sz w:val="18"/>
                <w:szCs w:val="18"/>
              </w:rPr>
              <w:t>Pilier 2 – Personnel motivé</w:t>
            </w:r>
          </w:p>
        </w:tc>
      </w:tr>
      <w:tr w:rsidR="007F43CA" w:rsidRPr="007F43CA" w14:paraId="1E2CC09C" w14:textId="77777777" w:rsidTr="005817FB">
        <w:tc>
          <w:tcPr>
            <w:tcW w:w="494" w:type="dxa"/>
            <w:vMerge w:val="restart"/>
            <w:shd w:val="clear" w:color="auto" w:fill="FDE9D9" w:themeFill="accent6" w:themeFillTint="33"/>
          </w:tcPr>
          <w:p w14:paraId="56FC93E9" w14:textId="77777777" w:rsidR="007F43CA" w:rsidRPr="007F43CA" w:rsidRDefault="007F43CA" w:rsidP="001D32F6">
            <w:pPr>
              <w:pStyle w:val="Tabletext"/>
              <w:rPr>
                <w:sz w:val="18"/>
                <w:szCs w:val="18"/>
              </w:rPr>
            </w:pPr>
            <w:r w:rsidRPr="007F43CA">
              <w:rPr>
                <w:sz w:val="18"/>
                <w:szCs w:val="18"/>
              </w:rPr>
              <w:t>2.1</w:t>
            </w:r>
          </w:p>
        </w:tc>
        <w:tc>
          <w:tcPr>
            <w:tcW w:w="1547" w:type="dxa"/>
            <w:vMerge w:val="restart"/>
            <w:shd w:val="clear" w:color="auto" w:fill="FDE9D9" w:themeFill="accent6" w:themeFillTint="33"/>
          </w:tcPr>
          <w:p w14:paraId="32C33DB1" w14:textId="1EAE0F63" w:rsidR="007F43CA" w:rsidRPr="007F43CA" w:rsidRDefault="007F43CA" w:rsidP="001D32F6">
            <w:pPr>
              <w:pStyle w:val="Tabletext"/>
              <w:rPr>
                <w:sz w:val="18"/>
                <w:szCs w:val="18"/>
              </w:rPr>
            </w:pPr>
            <w:r w:rsidRPr="007F43CA">
              <w:rPr>
                <w:sz w:val="18"/>
                <w:szCs w:val="18"/>
              </w:rPr>
              <w:t>Harmonisation stratégique et opérationnelle entre la performance du personnel et les objectifs de l</w:t>
            </w:r>
            <w:r w:rsidR="00E14E13">
              <w:rPr>
                <w:sz w:val="18"/>
                <w:szCs w:val="18"/>
              </w:rPr>
              <w:t>'</w:t>
            </w:r>
            <w:r w:rsidRPr="007F43CA">
              <w:rPr>
                <w:sz w:val="18"/>
                <w:szCs w:val="18"/>
              </w:rPr>
              <w:t>UIT</w:t>
            </w:r>
          </w:p>
        </w:tc>
        <w:tc>
          <w:tcPr>
            <w:tcW w:w="2626" w:type="dxa"/>
            <w:tcBorders>
              <w:bottom w:val="single" w:sz="4" w:space="0" w:color="auto"/>
            </w:tcBorders>
            <w:shd w:val="clear" w:color="auto" w:fill="FDE9D9" w:themeFill="accent6" w:themeFillTint="33"/>
          </w:tcPr>
          <w:p w14:paraId="0722864C" w14:textId="4D079343" w:rsidR="007F43CA" w:rsidRPr="007F43CA" w:rsidRDefault="007F43CA" w:rsidP="001D32F6">
            <w:pPr>
              <w:pStyle w:val="Tabletext"/>
              <w:ind w:left="249" w:hanging="249"/>
              <w:rPr>
                <w:sz w:val="18"/>
                <w:szCs w:val="18"/>
              </w:rPr>
            </w:pPr>
            <w:r w:rsidRPr="007F43CA">
              <w:rPr>
                <w:sz w:val="18"/>
                <w:szCs w:val="18"/>
              </w:rPr>
              <w:t>1</w:t>
            </w:r>
            <w:r w:rsidRPr="007F43CA">
              <w:rPr>
                <w:sz w:val="18"/>
                <w:szCs w:val="18"/>
              </w:rPr>
              <w:tab/>
              <w:t>Poursuivre la mise en œuvre de la nouvelle politique et du nouveau système PMDS pour garantir l</w:t>
            </w:r>
            <w:r w:rsidR="00E14E13">
              <w:rPr>
                <w:sz w:val="18"/>
                <w:szCs w:val="18"/>
              </w:rPr>
              <w:t>'</w:t>
            </w:r>
            <w:r w:rsidRPr="007F43CA">
              <w:rPr>
                <w:sz w:val="18"/>
                <w:szCs w:val="18"/>
              </w:rPr>
              <w:t>adhésion des fonctionnaires de l</w:t>
            </w:r>
            <w:r w:rsidR="00E14E13">
              <w:rPr>
                <w:sz w:val="18"/>
                <w:szCs w:val="18"/>
              </w:rPr>
              <w:t>'</w:t>
            </w:r>
            <w:r w:rsidRPr="007F43CA">
              <w:rPr>
                <w:sz w:val="18"/>
                <w:szCs w:val="18"/>
              </w:rPr>
              <w:t>UIT et veiller à ce qu</w:t>
            </w:r>
            <w:r w:rsidR="00E14E13">
              <w:rPr>
                <w:sz w:val="18"/>
                <w:szCs w:val="18"/>
              </w:rPr>
              <w:t>'</w:t>
            </w:r>
            <w:r w:rsidRPr="007F43CA">
              <w:rPr>
                <w:sz w:val="18"/>
                <w:szCs w:val="18"/>
              </w:rPr>
              <w:t>ils exercent leurs fonctions avec succès</w:t>
            </w:r>
          </w:p>
        </w:tc>
        <w:tc>
          <w:tcPr>
            <w:tcW w:w="1879" w:type="dxa"/>
            <w:tcBorders>
              <w:bottom w:val="single" w:sz="4" w:space="0" w:color="auto"/>
            </w:tcBorders>
            <w:shd w:val="clear" w:color="auto" w:fill="FDE9D9" w:themeFill="accent6" w:themeFillTint="33"/>
          </w:tcPr>
          <w:p w14:paraId="5286C0AA" w14:textId="77777777" w:rsidR="007F43CA" w:rsidRPr="007F43CA" w:rsidRDefault="007F43CA" w:rsidP="001D32F6">
            <w:pPr>
              <w:pStyle w:val="Tabletext"/>
              <w:keepLines/>
              <w:tabs>
                <w:tab w:val="left" w:pos="303"/>
              </w:tabs>
              <w:ind w:left="178" w:hanging="178"/>
              <w:rPr>
                <w:rFonts w:asciiTheme="minorHAnsi" w:hAnsiTheme="minorHAnsi" w:cstheme="minorHAnsi"/>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Taux de participation</w:t>
            </w:r>
          </w:p>
          <w:p w14:paraId="169A164C" w14:textId="77777777" w:rsidR="007F43CA" w:rsidRPr="007F43CA" w:rsidRDefault="007F43CA" w:rsidP="001D32F6">
            <w:pPr>
              <w:pStyle w:val="Tabletext"/>
              <w:keepLines/>
              <w:tabs>
                <w:tab w:val="left" w:pos="303"/>
              </w:tabs>
              <w:ind w:left="178" w:hanging="178"/>
              <w:rPr>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Nombre de fonctionnaires donnant satisfaction/ne donnant pas satisfaction</w:t>
            </w:r>
          </w:p>
        </w:tc>
        <w:tc>
          <w:tcPr>
            <w:tcW w:w="1591" w:type="dxa"/>
            <w:tcBorders>
              <w:bottom w:val="single" w:sz="4" w:space="0" w:color="auto"/>
            </w:tcBorders>
            <w:shd w:val="clear" w:color="auto" w:fill="FDE9D9" w:themeFill="accent6" w:themeFillTint="33"/>
          </w:tcPr>
          <w:p w14:paraId="30562199" w14:textId="77777777" w:rsidR="007F43CA" w:rsidRPr="007F43CA" w:rsidRDefault="007F43CA" w:rsidP="001D32F6">
            <w:pPr>
              <w:pStyle w:val="Tabletext"/>
              <w:tabs>
                <w:tab w:val="left" w:pos="347"/>
              </w:tabs>
              <w:rPr>
                <w:sz w:val="18"/>
                <w:szCs w:val="18"/>
              </w:rPr>
            </w:pPr>
            <w:r w:rsidRPr="007F43CA">
              <w:rPr>
                <w:sz w:val="18"/>
                <w:szCs w:val="18"/>
              </w:rPr>
              <w:t>HRMD</w:t>
            </w:r>
          </w:p>
        </w:tc>
        <w:tc>
          <w:tcPr>
            <w:tcW w:w="1205" w:type="dxa"/>
            <w:tcBorders>
              <w:bottom w:val="single" w:sz="4" w:space="0" w:color="auto"/>
            </w:tcBorders>
            <w:shd w:val="clear" w:color="auto" w:fill="FDE9D9" w:themeFill="accent6" w:themeFillTint="33"/>
          </w:tcPr>
          <w:p w14:paraId="7353C910" w14:textId="60DD4A5C" w:rsidR="007F43CA" w:rsidRPr="007F43CA" w:rsidRDefault="00660B9B" w:rsidP="001D32F6">
            <w:pPr>
              <w:pStyle w:val="Tabletext"/>
              <w:rPr>
                <w:sz w:val="18"/>
                <w:szCs w:val="18"/>
              </w:rPr>
            </w:pPr>
            <w:r>
              <w:rPr>
                <w:sz w:val="18"/>
                <w:szCs w:val="18"/>
              </w:rPr>
              <w:t>En cours</w:t>
            </w:r>
          </w:p>
        </w:tc>
        <w:tc>
          <w:tcPr>
            <w:tcW w:w="4687" w:type="dxa"/>
            <w:tcBorders>
              <w:bottom w:val="single" w:sz="4" w:space="0" w:color="auto"/>
            </w:tcBorders>
            <w:shd w:val="clear" w:color="auto" w:fill="FDE9D9" w:themeFill="accent6" w:themeFillTint="33"/>
          </w:tcPr>
          <w:p w14:paraId="5E1A0AB4" w14:textId="57F728F4" w:rsidR="007F43CA" w:rsidRPr="007F43CA" w:rsidRDefault="007F43CA" w:rsidP="001D32F6">
            <w:pPr>
              <w:pStyle w:val="Tabletext"/>
              <w:rPr>
                <w:sz w:val="18"/>
                <w:szCs w:val="18"/>
              </w:rPr>
            </w:pPr>
            <w:r w:rsidRPr="007F43CA">
              <w:rPr>
                <w:sz w:val="18"/>
                <w:szCs w:val="18"/>
              </w:rPr>
              <w:t>Au sein du Secrétariat général, du BDT, BR et du TSB, 83,3% des fonctionnaires ont mené à bien le processus e</w:t>
            </w:r>
            <w:r w:rsidRPr="007F43CA">
              <w:rPr>
                <w:sz w:val="18"/>
                <w:szCs w:val="18"/>
              </w:rPr>
              <w:noBreakHyphen/>
              <w:t>PMDS pour 202</w:t>
            </w:r>
            <w:r w:rsidR="00D02EEF">
              <w:rPr>
                <w:sz w:val="18"/>
                <w:szCs w:val="18"/>
              </w:rPr>
              <w:t>1</w:t>
            </w:r>
            <w:r w:rsidRPr="007F43CA">
              <w:rPr>
                <w:sz w:val="18"/>
                <w:szCs w:val="18"/>
              </w:rPr>
              <w:t>. Le nombre de cas de fonctionnaires ne donnant pas satisfaction examinés par le Département HRMD a augmenté, entraînant des prorogations des périodes probatoires et des résiliations. Les cas d</w:t>
            </w:r>
            <w:r w:rsidR="00E14E13">
              <w:rPr>
                <w:sz w:val="18"/>
                <w:szCs w:val="18"/>
              </w:rPr>
              <w:t>'</w:t>
            </w:r>
            <w:r w:rsidRPr="007F43CA">
              <w:rPr>
                <w:sz w:val="18"/>
                <w:szCs w:val="18"/>
              </w:rPr>
              <w:t xml:space="preserve">insuffisance </w:t>
            </w:r>
            <w:r w:rsidR="00D02EEF" w:rsidRPr="007F43CA">
              <w:rPr>
                <w:sz w:val="18"/>
                <w:szCs w:val="18"/>
              </w:rPr>
              <w:t>recensés</w:t>
            </w:r>
            <w:r w:rsidRPr="007F43CA">
              <w:rPr>
                <w:sz w:val="18"/>
                <w:szCs w:val="18"/>
              </w:rPr>
              <w:t xml:space="preserve"> et les procédures suivies pour les traiter avaient trait aux rapports d</w:t>
            </w:r>
            <w:r w:rsidR="00E14E13">
              <w:rPr>
                <w:sz w:val="18"/>
                <w:szCs w:val="18"/>
              </w:rPr>
              <w:t>'</w:t>
            </w:r>
            <w:r w:rsidRPr="007F43CA">
              <w:rPr>
                <w:sz w:val="18"/>
                <w:szCs w:val="18"/>
              </w:rPr>
              <w:t>évaluation et aux plans d</w:t>
            </w:r>
            <w:r w:rsidR="00E14E13">
              <w:rPr>
                <w:sz w:val="18"/>
                <w:szCs w:val="18"/>
              </w:rPr>
              <w:t>'</w:t>
            </w:r>
            <w:r w:rsidRPr="007F43CA">
              <w:rPr>
                <w:sz w:val="18"/>
                <w:szCs w:val="18"/>
              </w:rPr>
              <w:t>amélioration. Les services juridiques et le Conseil du personnel ont participé à l</w:t>
            </w:r>
            <w:r w:rsidR="00E14E13">
              <w:rPr>
                <w:sz w:val="18"/>
                <w:szCs w:val="18"/>
              </w:rPr>
              <w:t>'</w:t>
            </w:r>
            <w:r w:rsidRPr="007F43CA">
              <w:rPr>
                <w:sz w:val="18"/>
                <w:szCs w:val="18"/>
              </w:rPr>
              <w:t>examen des cas.</w:t>
            </w:r>
          </w:p>
          <w:p w14:paraId="28198AA9" w14:textId="5698A24E" w:rsidR="007F43CA" w:rsidRPr="007F43CA" w:rsidRDefault="007F43CA" w:rsidP="001D32F6">
            <w:pPr>
              <w:pStyle w:val="Tabletext"/>
              <w:rPr>
                <w:sz w:val="18"/>
                <w:szCs w:val="18"/>
              </w:rPr>
            </w:pPr>
            <w:r w:rsidRPr="007F43CA">
              <w:rPr>
                <w:sz w:val="18"/>
                <w:szCs w:val="18"/>
              </w:rPr>
              <w:t>Seize sessions d</w:t>
            </w:r>
            <w:r w:rsidR="00E14E13">
              <w:rPr>
                <w:sz w:val="18"/>
                <w:szCs w:val="18"/>
              </w:rPr>
              <w:t>'</w:t>
            </w:r>
            <w:r w:rsidRPr="007F43CA">
              <w:rPr>
                <w:sz w:val="18"/>
                <w:szCs w:val="18"/>
              </w:rPr>
              <w:t>information ont été organisées à l</w:t>
            </w:r>
            <w:r w:rsidR="00E14E13">
              <w:rPr>
                <w:sz w:val="18"/>
                <w:szCs w:val="18"/>
              </w:rPr>
              <w:t>'</w:t>
            </w:r>
            <w:r w:rsidRPr="007F43CA">
              <w:rPr>
                <w:sz w:val="18"/>
                <w:szCs w:val="18"/>
              </w:rPr>
              <w:t>intention des responsables et des fonctionnaires de tous les Secteurs. Elles ont été complétées par un appui ponctuel, en particulier sur les mesures de prévention des insuffisances dans le travail, les retours d</w:t>
            </w:r>
            <w:r w:rsidR="00E14E13">
              <w:rPr>
                <w:sz w:val="18"/>
                <w:szCs w:val="18"/>
              </w:rPr>
              <w:t>'</w:t>
            </w:r>
            <w:r w:rsidRPr="007F43CA">
              <w:rPr>
                <w:sz w:val="18"/>
                <w:szCs w:val="18"/>
              </w:rPr>
              <w:t>information et les discussions relatives au développement.</w:t>
            </w:r>
          </w:p>
          <w:p w14:paraId="3A530D7E" w14:textId="5E6A9C44" w:rsidR="007F43CA" w:rsidRPr="007F43CA" w:rsidRDefault="007F43CA" w:rsidP="001D32F6">
            <w:pPr>
              <w:pStyle w:val="Tabletext"/>
              <w:rPr>
                <w:sz w:val="18"/>
                <w:szCs w:val="18"/>
              </w:rPr>
            </w:pPr>
            <w:r w:rsidRPr="007F43CA">
              <w:rPr>
                <w:sz w:val="18"/>
                <w:szCs w:val="18"/>
              </w:rPr>
              <w:t>L</w:t>
            </w:r>
            <w:r w:rsidR="00E14E13">
              <w:rPr>
                <w:sz w:val="18"/>
                <w:szCs w:val="18"/>
              </w:rPr>
              <w:t>'</w:t>
            </w:r>
            <w:r w:rsidRPr="007F43CA">
              <w:rPr>
                <w:sz w:val="18"/>
                <w:szCs w:val="18"/>
              </w:rPr>
              <w:t>UIT participe aux travaux</w:t>
            </w:r>
            <w:r w:rsidR="00203206">
              <w:rPr>
                <w:sz w:val="18"/>
                <w:szCs w:val="18"/>
              </w:rPr>
              <w:t xml:space="preserve"> du Groupe de travail du Réseau </w:t>
            </w:r>
            <w:r w:rsidRPr="007F43CA">
              <w:rPr>
                <w:sz w:val="18"/>
                <w:szCs w:val="18"/>
              </w:rPr>
              <w:t>RH sur la gestion de la performance et le perfectionnement du Conseil des chefs de secrétariat des organismes des Nations Unies, en vue de rationaliser la mise en œuvre des recommandations des Nations Unies et de la CFPI.</w:t>
            </w:r>
          </w:p>
        </w:tc>
      </w:tr>
      <w:tr w:rsidR="007F43CA" w:rsidRPr="00D02EEF" w14:paraId="7F1FC4B7" w14:textId="77777777" w:rsidTr="005817FB">
        <w:tc>
          <w:tcPr>
            <w:tcW w:w="494" w:type="dxa"/>
            <w:vMerge/>
            <w:shd w:val="clear" w:color="auto" w:fill="FDE9D9" w:themeFill="accent6" w:themeFillTint="33"/>
          </w:tcPr>
          <w:p w14:paraId="35E5F33E" w14:textId="77777777" w:rsidR="007F43CA" w:rsidRPr="007F43CA" w:rsidRDefault="007F43CA" w:rsidP="001D32F6">
            <w:pPr>
              <w:pStyle w:val="Tabletext"/>
              <w:rPr>
                <w:sz w:val="18"/>
                <w:szCs w:val="18"/>
              </w:rPr>
            </w:pPr>
          </w:p>
        </w:tc>
        <w:tc>
          <w:tcPr>
            <w:tcW w:w="1547" w:type="dxa"/>
            <w:vMerge/>
            <w:shd w:val="clear" w:color="auto" w:fill="FDE9D9" w:themeFill="accent6" w:themeFillTint="33"/>
          </w:tcPr>
          <w:p w14:paraId="51B171CE" w14:textId="77777777" w:rsidR="007F43CA" w:rsidRPr="007F43CA" w:rsidRDefault="007F43CA" w:rsidP="001D32F6">
            <w:pPr>
              <w:pStyle w:val="Tabletext"/>
              <w:rPr>
                <w:sz w:val="18"/>
                <w:szCs w:val="18"/>
              </w:rPr>
            </w:pPr>
          </w:p>
        </w:tc>
        <w:tc>
          <w:tcPr>
            <w:tcW w:w="2626" w:type="dxa"/>
            <w:tcBorders>
              <w:bottom w:val="single" w:sz="4" w:space="0" w:color="auto"/>
            </w:tcBorders>
            <w:shd w:val="clear" w:color="auto" w:fill="FDE9D9" w:themeFill="accent6" w:themeFillTint="33"/>
          </w:tcPr>
          <w:p w14:paraId="1F67D556" w14:textId="131DBA91" w:rsidR="007F43CA" w:rsidRPr="007F43CA" w:rsidRDefault="007F43CA" w:rsidP="001D32F6">
            <w:pPr>
              <w:pStyle w:val="Tabletext"/>
              <w:tabs>
                <w:tab w:val="left" w:pos="301"/>
              </w:tabs>
              <w:ind w:left="249" w:hanging="249"/>
              <w:rPr>
                <w:sz w:val="18"/>
                <w:szCs w:val="18"/>
              </w:rPr>
            </w:pPr>
            <w:r w:rsidRPr="00203206">
              <w:rPr>
                <w:sz w:val="18"/>
                <w:szCs w:val="18"/>
              </w:rPr>
              <w:t>2</w:t>
            </w:r>
            <w:r w:rsidRPr="007F43CA">
              <w:rPr>
                <w:sz w:val="18"/>
                <w:szCs w:val="18"/>
              </w:rPr>
              <w:tab/>
              <w:t>Concevoir et appliquer une nouvelle Politique visant à remédier aux insuffisances dans le travail ainsi qu</w:t>
            </w:r>
            <w:r w:rsidR="00E14E13">
              <w:rPr>
                <w:sz w:val="18"/>
                <w:szCs w:val="18"/>
              </w:rPr>
              <w:t>'</w:t>
            </w:r>
            <w:r w:rsidRPr="007F43CA">
              <w:rPr>
                <w:sz w:val="18"/>
                <w:szCs w:val="18"/>
              </w:rPr>
              <w:t xml:space="preserve">une politique de récompense au mérite et de reconnaissance </w:t>
            </w:r>
          </w:p>
        </w:tc>
        <w:tc>
          <w:tcPr>
            <w:tcW w:w="1879" w:type="dxa"/>
            <w:tcBorders>
              <w:bottom w:val="single" w:sz="4" w:space="0" w:color="auto"/>
            </w:tcBorders>
            <w:shd w:val="clear" w:color="auto" w:fill="FDE9D9" w:themeFill="accent6" w:themeFillTint="33"/>
          </w:tcPr>
          <w:p w14:paraId="6D70147D" w14:textId="6DE7FFF9" w:rsidR="007F43CA" w:rsidRPr="007F43CA" w:rsidRDefault="007F43CA" w:rsidP="001D32F6">
            <w:pPr>
              <w:pStyle w:val="Tabletext"/>
              <w:keepLines/>
              <w:tabs>
                <w:tab w:val="left" w:pos="178"/>
              </w:tabs>
              <w:ind w:left="178" w:hanging="178"/>
              <w:rPr>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Nouvelle politique établie sur les insuffisances dans le travail (rapport qualitatif pour mesurer l</w:t>
            </w:r>
            <w:r w:rsidR="00E14E13">
              <w:rPr>
                <w:rFonts w:asciiTheme="minorHAnsi" w:hAnsiTheme="minorHAnsi" w:cstheme="minorHAnsi"/>
                <w:sz w:val="18"/>
                <w:szCs w:val="18"/>
              </w:rPr>
              <w:t>'</w:t>
            </w:r>
            <w:r w:rsidRPr="007F43CA">
              <w:rPr>
                <w:rFonts w:asciiTheme="minorHAnsi" w:hAnsiTheme="minorHAnsi" w:cstheme="minorHAnsi"/>
                <w:sz w:val="18"/>
                <w:szCs w:val="18"/>
              </w:rPr>
              <w:t>évolution dans le temps, par exemple nombre de plans d</w:t>
            </w:r>
            <w:r w:rsidR="00E14E13">
              <w:rPr>
                <w:rFonts w:asciiTheme="minorHAnsi" w:hAnsiTheme="minorHAnsi" w:cstheme="minorHAnsi"/>
                <w:sz w:val="18"/>
                <w:szCs w:val="18"/>
              </w:rPr>
              <w:t>'</w:t>
            </w:r>
            <w:r w:rsidRPr="007F43CA">
              <w:rPr>
                <w:rFonts w:asciiTheme="minorHAnsi" w:hAnsiTheme="minorHAnsi" w:cstheme="minorHAnsi"/>
                <w:sz w:val="18"/>
                <w:szCs w:val="18"/>
              </w:rPr>
              <w:t>amélioration établis par an)</w:t>
            </w:r>
          </w:p>
          <w:p w14:paraId="7FCEEDDA" w14:textId="4492905A" w:rsidR="007F43CA" w:rsidRPr="007F43CA" w:rsidRDefault="007F43CA" w:rsidP="001D32F6">
            <w:pPr>
              <w:pStyle w:val="Tabletext"/>
              <w:keepLines/>
              <w:tabs>
                <w:tab w:val="left" w:pos="178"/>
              </w:tabs>
              <w:ind w:left="178" w:hanging="178"/>
              <w:rPr>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Nouvelle politique établie sur les récompenses au mérite (rapport qualitatif pour mesurer l</w:t>
            </w:r>
            <w:r w:rsidR="00E14E13">
              <w:rPr>
                <w:rFonts w:asciiTheme="minorHAnsi" w:hAnsiTheme="minorHAnsi" w:cstheme="minorHAnsi"/>
                <w:sz w:val="18"/>
                <w:szCs w:val="18"/>
              </w:rPr>
              <w:t>'</w:t>
            </w:r>
            <w:r w:rsidRPr="007F43CA">
              <w:rPr>
                <w:rFonts w:asciiTheme="minorHAnsi" w:hAnsiTheme="minorHAnsi" w:cstheme="minorHAnsi"/>
                <w:sz w:val="18"/>
                <w:szCs w:val="18"/>
              </w:rPr>
              <w:t>évolution dans le temps et rapport quantitatif, par exemple nombre de personnes sélectionnées/pour les récompenses au mérite)</w:t>
            </w:r>
          </w:p>
        </w:tc>
        <w:tc>
          <w:tcPr>
            <w:tcW w:w="1591" w:type="dxa"/>
            <w:tcBorders>
              <w:bottom w:val="single" w:sz="4" w:space="0" w:color="auto"/>
            </w:tcBorders>
            <w:shd w:val="clear" w:color="auto" w:fill="FDE9D9" w:themeFill="accent6" w:themeFillTint="33"/>
          </w:tcPr>
          <w:p w14:paraId="4087BA82" w14:textId="77777777" w:rsidR="007F43CA" w:rsidRPr="007F43CA" w:rsidRDefault="007F43CA" w:rsidP="001D32F6">
            <w:pPr>
              <w:pStyle w:val="Tabletext"/>
              <w:keepLines/>
              <w:rPr>
                <w:sz w:val="18"/>
                <w:szCs w:val="18"/>
              </w:rPr>
            </w:pPr>
            <w:r w:rsidRPr="007F43CA">
              <w:rPr>
                <w:sz w:val="18"/>
                <w:szCs w:val="18"/>
              </w:rPr>
              <w:t>HRMD</w:t>
            </w:r>
          </w:p>
          <w:p w14:paraId="320ADFE0" w14:textId="77777777" w:rsidR="007F43CA" w:rsidRPr="007F43CA" w:rsidRDefault="007F43CA" w:rsidP="001D32F6">
            <w:pPr>
              <w:pStyle w:val="Tabletext"/>
              <w:keepLines/>
              <w:rPr>
                <w:sz w:val="18"/>
                <w:szCs w:val="18"/>
              </w:rPr>
            </w:pPr>
            <w:r w:rsidRPr="007F43CA">
              <w:rPr>
                <w:sz w:val="18"/>
                <w:szCs w:val="18"/>
              </w:rPr>
              <w:t>Conseil du personnel</w:t>
            </w:r>
          </w:p>
          <w:p w14:paraId="663B5543" w14:textId="77777777" w:rsidR="007F43CA" w:rsidRPr="007F43CA" w:rsidRDefault="007F43CA" w:rsidP="001D32F6">
            <w:pPr>
              <w:pStyle w:val="Tabletext"/>
              <w:keepLines/>
              <w:rPr>
                <w:sz w:val="18"/>
                <w:szCs w:val="18"/>
              </w:rPr>
            </w:pPr>
            <w:r w:rsidRPr="007F43CA">
              <w:rPr>
                <w:sz w:val="18"/>
                <w:szCs w:val="18"/>
              </w:rPr>
              <w:t>Unité des affaires juridiques</w:t>
            </w:r>
          </w:p>
          <w:p w14:paraId="0D42D0B9" w14:textId="77777777" w:rsidR="007F43CA" w:rsidRPr="007F43CA" w:rsidRDefault="007F43CA" w:rsidP="001D32F6">
            <w:pPr>
              <w:pStyle w:val="Tabletext"/>
              <w:keepLines/>
              <w:rPr>
                <w:sz w:val="18"/>
                <w:szCs w:val="18"/>
              </w:rPr>
            </w:pPr>
            <w:r w:rsidRPr="007F43CA">
              <w:rPr>
                <w:sz w:val="18"/>
                <w:szCs w:val="18"/>
              </w:rPr>
              <w:t>Comité consultatif mixte</w:t>
            </w:r>
          </w:p>
          <w:p w14:paraId="574DF377" w14:textId="77777777" w:rsidR="007F43CA" w:rsidRPr="007F43CA" w:rsidRDefault="007F43CA" w:rsidP="001D32F6">
            <w:pPr>
              <w:pStyle w:val="Tabletext"/>
              <w:keepLines/>
              <w:rPr>
                <w:sz w:val="18"/>
                <w:szCs w:val="18"/>
              </w:rPr>
            </w:pPr>
            <w:r w:rsidRPr="007F43CA">
              <w:rPr>
                <w:sz w:val="18"/>
                <w:szCs w:val="18"/>
              </w:rPr>
              <w:t>Groupe de coordination de la gestion</w:t>
            </w:r>
          </w:p>
          <w:p w14:paraId="64820727" w14:textId="77777777" w:rsidR="007F43CA" w:rsidRPr="007F43CA" w:rsidRDefault="007F43CA" w:rsidP="001D32F6">
            <w:pPr>
              <w:pStyle w:val="Tabletext"/>
              <w:tabs>
                <w:tab w:val="left" w:pos="347"/>
              </w:tabs>
              <w:rPr>
                <w:sz w:val="18"/>
                <w:szCs w:val="18"/>
              </w:rPr>
            </w:pPr>
            <w:r w:rsidRPr="007F43CA">
              <w:rPr>
                <w:sz w:val="18"/>
                <w:szCs w:val="18"/>
              </w:rPr>
              <w:t>Comité de coordination</w:t>
            </w:r>
          </w:p>
        </w:tc>
        <w:tc>
          <w:tcPr>
            <w:tcW w:w="1205" w:type="dxa"/>
            <w:tcBorders>
              <w:bottom w:val="single" w:sz="4" w:space="0" w:color="auto"/>
            </w:tcBorders>
            <w:shd w:val="clear" w:color="auto" w:fill="FDE9D9" w:themeFill="accent6" w:themeFillTint="33"/>
          </w:tcPr>
          <w:p w14:paraId="6B5944B9" w14:textId="58DD960B" w:rsidR="007F43CA" w:rsidRPr="007F43CA" w:rsidRDefault="007F43CA" w:rsidP="001D32F6">
            <w:pPr>
              <w:pStyle w:val="Tabletext"/>
              <w:rPr>
                <w:sz w:val="18"/>
                <w:szCs w:val="18"/>
              </w:rPr>
            </w:pPr>
            <w:r w:rsidRPr="007F43CA">
              <w:rPr>
                <w:sz w:val="18"/>
                <w:szCs w:val="18"/>
              </w:rPr>
              <w:t>2022</w:t>
            </w:r>
          </w:p>
        </w:tc>
        <w:tc>
          <w:tcPr>
            <w:tcW w:w="4687" w:type="dxa"/>
            <w:tcBorders>
              <w:bottom w:val="single" w:sz="4" w:space="0" w:color="auto"/>
            </w:tcBorders>
            <w:shd w:val="clear" w:color="auto" w:fill="FDE9D9" w:themeFill="accent6" w:themeFillTint="33"/>
          </w:tcPr>
          <w:p w14:paraId="77BA5668" w14:textId="04A66E88" w:rsidR="007F43CA" w:rsidRPr="007F43CA" w:rsidRDefault="007F43CA" w:rsidP="001D32F6">
            <w:pPr>
              <w:pStyle w:val="Tabletext"/>
              <w:keepLines/>
              <w:rPr>
                <w:rFonts w:cstheme="minorHAnsi"/>
                <w:sz w:val="18"/>
                <w:szCs w:val="18"/>
              </w:rPr>
            </w:pPr>
            <w:r w:rsidRPr="007F43CA">
              <w:rPr>
                <w:rFonts w:cstheme="minorHAnsi"/>
                <w:sz w:val="18"/>
                <w:szCs w:val="18"/>
              </w:rPr>
              <w:t xml:space="preserve">Le nouveau </w:t>
            </w:r>
            <w:r w:rsidR="00203206">
              <w:rPr>
                <w:rFonts w:cstheme="minorHAnsi"/>
                <w:sz w:val="18"/>
                <w:szCs w:val="18"/>
              </w:rPr>
              <w:t>P</w:t>
            </w:r>
            <w:r w:rsidRPr="007F43CA">
              <w:rPr>
                <w:rFonts w:cstheme="minorHAnsi"/>
                <w:sz w:val="18"/>
                <w:szCs w:val="18"/>
              </w:rPr>
              <w:t>rogramme de récompenses et de reconnaissance, qui prévoit des récompenses dans trois domaines (innovation, travail d</w:t>
            </w:r>
            <w:r w:rsidR="00E14E13">
              <w:rPr>
                <w:rFonts w:cstheme="minorHAnsi"/>
                <w:sz w:val="18"/>
                <w:szCs w:val="18"/>
              </w:rPr>
              <w:t>'</w:t>
            </w:r>
            <w:r w:rsidRPr="007F43CA">
              <w:rPr>
                <w:rFonts w:cstheme="minorHAnsi"/>
                <w:sz w:val="18"/>
                <w:szCs w:val="18"/>
              </w:rPr>
              <w:t>équipe et leadership) a été lancé, et de nombreuses personnes y ont participé.</w:t>
            </w:r>
          </w:p>
          <w:p w14:paraId="4291CCA4" w14:textId="30DA31DD" w:rsidR="007F43CA" w:rsidRPr="00D02EEF" w:rsidRDefault="00D02EEF" w:rsidP="001D32F6">
            <w:pPr>
              <w:pStyle w:val="Tabletext"/>
              <w:rPr>
                <w:sz w:val="18"/>
                <w:szCs w:val="18"/>
              </w:rPr>
            </w:pPr>
            <w:r w:rsidRPr="00D02EEF">
              <w:rPr>
                <w:sz w:val="18"/>
                <w:szCs w:val="18"/>
              </w:rPr>
              <w:t xml:space="preserve">Le Département </w:t>
            </w:r>
            <w:r w:rsidR="007F43CA" w:rsidRPr="00D02EEF">
              <w:rPr>
                <w:sz w:val="18"/>
                <w:szCs w:val="18"/>
              </w:rPr>
              <w:t xml:space="preserve">HRMD </w:t>
            </w:r>
            <w:r w:rsidRPr="00D02EEF">
              <w:rPr>
                <w:sz w:val="18"/>
                <w:szCs w:val="18"/>
              </w:rPr>
              <w:t>a proposé une n</w:t>
            </w:r>
            <w:r>
              <w:rPr>
                <w:sz w:val="18"/>
                <w:szCs w:val="18"/>
              </w:rPr>
              <w:t>ouvelle politique globale relative à la gestion de la performance,</w:t>
            </w:r>
            <w:r w:rsidR="00776B49">
              <w:rPr>
                <w:sz w:val="18"/>
                <w:szCs w:val="18"/>
              </w:rPr>
              <w:t xml:space="preserve"> </w:t>
            </w:r>
            <w:r w:rsidR="00852168">
              <w:rPr>
                <w:sz w:val="18"/>
                <w:szCs w:val="18"/>
              </w:rPr>
              <w:t>à l</w:t>
            </w:r>
            <w:r w:rsidR="00E14E13">
              <w:rPr>
                <w:sz w:val="18"/>
                <w:szCs w:val="18"/>
              </w:rPr>
              <w:t>'</w:t>
            </w:r>
            <w:r w:rsidR="00852168">
              <w:rPr>
                <w:sz w:val="18"/>
                <w:szCs w:val="18"/>
              </w:rPr>
              <w:t>insuffisance professionnelle</w:t>
            </w:r>
            <w:r w:rsidR="00F74C17">
              <w:rPr>
                <w:sz w:val="18"/>
                <w:szCs w:val="18"/>
              </w:rPr>
              <w:t xml:space="preserve"> </w:t>
            </w:r>
            <w:r>
              <w:rPr>
                <w:sz w:val="18"/>
                <w:szCs w:val="18"/>
              </w:rPr>
              <w:t>et aux récompenses. Cette politique est en cours d</w:t>
            </w:r>
            <w:r w:rsidR="00E14E13">
              <w:rPr>
                <w:sz w:val="18"/>
                <w:szCs w:val="18"/>
              </w:rPr>
              <w:t>'</w:t>
            </w:r>
            <w:r>
              <w:rPr>
                <w:sz w:val="18"/>
                <w:szCs w:val="18"/>
              </w:rPr>
              <w:t>examen</w:t>
            </w:r>
            <w:r w:rsidR="007F43CA" w:rsidRPr="00D02EEF">
              <w:rPr>
                <w:sz w:val="18"/>
                <w:szCs w:val="18"/>
              </w:rPr>
              <w:t>.</w:t>
            </w:r>
          </w:p>
          <w:p w14:paraId="7A669AC4" w14:textId="48165555" w:rsidR="007F43CA" w:rsidRPr="00BE1098" w:rsidRDefault="00D02EEF" w:rsidP="001D32F6">
            <w:pPr>
              <w:pStyle w:val="Tabletext"/>
              <w:rPr>
                <w:rFonts w:cstheme="minorHAnsi"/>
                <w:sz w:val="18"/>
                <w:szCs w:val="18"/>
              </w:rPr>
            </w:pPr>
            <w:r w:rsidRPr="00D02EEF">
              <w:rPr>
                <w:rFonts w:eastAsia="Times New Roman"/>
                <w:sz w:val="18"/>
                <w:szCs w:val="18"/>
              </w:rPr>
              <w:t>L</w:t>
            </w:r>
            <w:r w:rsidR="00E14E13">
              <w:rPr>
                <w:rFonts w:eastAsia="Times New Roman"/>
                <w:sz w:val="18"/>
                <w:szCs w:val="18"/>
              </w:rPr>
              <w:t>'</w:t>
            </w:r>
            <w:r w:rsidRPr="00D02EEF">
              <w:rPr>
                <w:rFonts w:eastAsia="Times New Roman"/>
                <w:sz w:val="18"/>
                <w:szCs w:val="18"/>
              </w:rPr>
              <w:t>échelle d</w:t>
            </w:r>
            <w:r w:rsidR="00E14E13">
              <w:rPr>
                <w:rFonts w:eastAsia="Times New Roman"/>
                <w:sz w:val="18"/>
                <w:szCs w:val="18"/>
              </w:rPr>
              <w:t>'</w:t>
            </w:r>
            <w:r w:rsidRPr="00D02EEF">
              <w:rPr>
                <w:rFonts w:eastAsia="Times New Roman"/>
                <w:sz w:val="18"/>
                <w:szCs w:val="18"/>
              </w:rPr>
              <w:t>évaluation globale (données chiffrées ou textes explicatifs) est en cours de révision</w:t>
            </w:r>
            <w:r w:rsidR="00064EC1">
              <w:rPr>
                <w:rFonts w:eastAsia="Times New Roman"/>
                <w:sz w:val="18"/>
                <w:szCs w:val="18"/>
              </w:rPr>
              <w:t>,</w:t>
            </w:r>
            <w:r w:rsidRPr="00D02EEF">
              <w:rPr>
                <w:rFonts w:eastAsia="Times New Roman"/>
                <w:sz w:val="18"/>
                <w:szCs w:val="18"/>
              </w:rPr>
              <w:t xml:space="preserve"> afin de prendre en considération l</w:t>
            </w:r>
            <w:r w:rsidR="00E14E13">
              <w:rPr>
                <w:rFonts w:eastAsia="Times New Roman"/>
                <w:sz w:val="18"/>
                <w:szCs w:val="18"/>
              </w:rPr>
              <w:t>'</w:t>
            </w:r>
            <w:r w:rsidR="00852168">
              <w:rPr>
                <w:rFonts w:eastAsia="Times New Roman"/>
                <w:sz w:val="18"/>
                <w:szCs w:val="18"/>
              </w:rPr>
              <w:t>insuffisance professionnelle et l</w:t>
            </w:r>
            <w:r w:rsidR="00E14E13">
              <w:rPr>
                <w:rFonts w:eastAsia="Times New Roman"/>
                <w:sz w:val="18"/>
                <w:szCs w:val="18"/>
              </w:rPr>
              <w:t>'</w:t>
            </w:r>
            <w:r w:rsidR="00852168">
              <w:rPr>
                <w:rFonts w:eastAsia="Times New Roman"/>
                <w:sz w:val="18"/>
                <w:szCs w:val="18"/>
              </w:rPr>
              <w:t>excellence</w:t>
            </w:r>
            <w:r w:rsidRPr="00D02EEF">
              <w:rPr>
                <w:rFonts w:eastAsia="Times New Roman"/>
                <w:sz w:val="18"/>
                <w:szCs w:val="18"/>
              </w:rPr>
              <w:t>.</w:t>
            </w:r>
          </w:p>
        </w:tc>
      </w:tr>
      <w:tr w:rsidR="007F43CA" w:rsidRPr="007F43CA" w14:paraId="192DCFA0" w14:textId="77777777" w:rsidTr="005817FB">
        <w:tc>
          <w:tcPr>
            <w:tcW w:w="494" w:type="dxa"/>
            <w:shd w:val="clear" w:color="auto" w:fill="FDE9D9" w:themeFill="accent6" w:themeFillTint="33"/>
          </w:tcPr>
          <w:p w14:paraId="00CAA28F" w14:textId="77777777" w:rsidR="007F43CA" w:rsidRPr="007F43CA" w:rsidRDefault="007F43CA" w:rsidP="001D32F6">
            <w:pPr>
              <w:pStyle w:val="Tabletext"/>
              <w:rPr>
                <w:sz w:val="18"/>
                <w:szCs w:val="18"/>
              </w:rPr>
            </w:pPr>
            <w:r w:rsidRPr="007F43CA">
              <w:rPr>
                <w:sz w:val="18"/>
                <w:szCs w:val="18"/>
              </w:rPr>
              <w:lastRenderedPageBreak/>
              <w:t>2.2</w:t>
            </w:r>
          </w:p>
        </w:tc>
        <w:tc>
          <w:tcPr>
            <w:tcW w:w="1547" w:type="dxa"/>
            <w:shd w:val="clear" w:color="auto" w:fill="FDE9D9" w:themeFill="accent6" w:themeFillTint="33"/>
          </w:tcPr>
          <w:p w14:paraId="78CB0803" w14:textId="77777777" w:rsidR="007F43CA" w:rsidRPr="007F43CA" w:rsidRDefault="007F43CA" w:rsidP="001D32F6">
            <w:pPr>
              <w:pStyle w:val="Tabletext"/>
              <w:rPr>
                <w:sz w:val="18"/>
                <w:szCs w:val="18"/>
              </w:rPr>
            </w:pPr>
            <w:r w:rsidRPr="007F43CA">
              <w:rPr>
                <w:sz w:val="18"/>
                <w:szCs w:val="18"/>
              </w:rPr>
              <w:t>Modèle de direction efficace, inclusif et propice</w:t>
            </w:r>
          </w:p>
        </w:tc>
        <w:tc>
          <w:tcPr>
            <w:tcW w:w="2626" w:type="dxa"/>
            <w:tcBorders>
              <w:bottom w:val="single" w:sz="4" w:space="0" w:color="auto"/>
            </w:tcBorders>
            <w:shd w:val="clear" w:color="auto" w:fill="FDE9D9" w:themeFill="accent6" w:themeFillTint="33"/>
          </w:tcPr>
          <w:p w14:paraId="1FFF408C" w14:textId="6235A84A" w:rsidR="007F43CA" w:rsidRPr="007F43CA" w:rsidRDefault="007F43CA" w:rsidP="00470104">
            <w:pPr>
              <w:pStyle w:val="Tabletext"/>
              <w:tabs>
                <w:tab w:val="left" w:pos="301"/>
              </w:tabs>
              <w:rPr>
                <w:sz w:val="18"/>
                <w:szCs w:val="18"/>
              </w:rPr>
            </w:pPr>
            <w:r w:rsidRPr="007F43CA">
              <w:rPr>
                <w:sz w:val="18"/>
                <w:szCs w:val="18"/>
              </w:rPr>
              <w:t>Concevoir un nouveau modèle de direction (plus horizontal et davantage axé sur la collaboration et la responsabilisation), qui sera mis en œuvre dans le cadre du Programme de formation en matière de gestion et d</w:t>
            </w:r>
            <w:r w:rsidR="00E14E13">
              <w:rPr>
                <w:sz w:val="18"/>
                <w:szCs w:val="18"/>
              </w:rPr>
              <w:t>'</w:t>
            </w:r>
            <w:r w:rsidRPr="007F43CA">
              <w:rPr>
                <w:sz w:val="18"/>
                <w:szCs w:val="18"/>
              </w:rPr>
              <w:t>encadrement, lequel repose sur le "Nouveau modèle de leadership du système des Nations Unies", pour renforcer le leadership à l</w:t>
            </w:r>
            <w:r w:rsidR="00E14E13">
              <w:rPr>
                <w:sz w:val="18"/>
                <w:szCs w:val="18"/>
              </w:rPr>
              <w:t>'</w:t>
            </w:r>
            <w:r w:rsidRPr="007F43CA">
              <w:rPr>
                <w:sz w:val="18"/>
                <w:szCs w:val="18"/>
              </w:rPr>
              <w:t>UIT. Selon ce modèle, le leadership de transformation exige une nouvelle façon d</w:t>
            </w:r>
            <w:r w:rsidR="00E14E13">
              <w:rPr>
                <w:sz w:val="18"/>
                <w:szCs w:val="18"/>
              </w:rPr>
              <w:t>'</w:t>
            </w:r>
            <w:r w:rsidRPr="007F43CA">
              <w:rPr>
                <w:sz w:val="18"/>
                <w:szCs w:val="18"/>
              </w:rPr>
              <w:t>envisager la création de partenariats et de concevoir la stratégie, ainsi que le passage à un mode de pensée systémique. Il a fortement besoin, pour s</w:t>
            </w:r>
            <w:r w:rsidR="00E14E13">
              <w:rPr>
                <w:sz w:val="18"/>
                <w:szCs w:val="18"/>
              </w:rPr>
              <w:t>'</w:t>
            </w:r>
            <w:r w:rsidRPr="007F43CA">
              <w:rPr>
                <w:sz w:val="18"/>
                <w:szCs w:val="18"/>
              </w:rPr>
              <w:t>imposer, d</w:t>
            </w:r>
            <w:r w:rsidR="00E14E13">
              <w:rPr>
                <w:sz w:val="18"/>
                <w:szCs w:val="18"/>
              </w:rPr>
              <w:t>'</w:t>
            </w:r>
            <w:r w:rsidRPr="007F43CA">
              <w:rPr>
                <w:sz w:val="18"/>
                <w:szCs w:val="18"/>
              </w:rPr>
              <w:t>un travail d</w:t>
            </w:r>
            <w:r w:rsidR="00E14E13">
              <w:rPr>
                <w:sz w:val="18"/>
                <w:szCs w:val="18"/>
              </w:rPr>
              <w:t>'</w:t>
            </w:r>
            <w:r w:rsidRPr="007F43CA">
              <w:rPr>
                <w:sz w:val="18"/>
                <w:szCs w:val="18"/>
              </w:rPr>
              <w:t>adaptation des attitudes et des comportements, du développement des capacités de direction et d</w:t>
            </w:r>
            <w:r w:rsidR="00E14E13">
              <w:rPr>
                <w:sz w:val="18"/>
                <w:szCs w:val="18"/>
              </w:rPr>
              <w:t>'</w:t>
            </w:r>
            <w:r w:rsidRPr="007F43CA">
              <w:rPr>
                <w:sz w:val="18"/>
                <w:szCs w:val="18"/>
              </w:rPr>
              <w:t>excellentes capacités d</w:t>
            </w:r>
            <w:r w:rsidR="00E14E13">
              <w:rPr>
                <w:sz w:val="18"/>
                <w:szCs w:val="18"/>
              </w:rPr>
              <w:t>'</w:t>
            </w:r>
            <w:r w:rsidRPr="007F43CA">
              <w:rPr>
                <w:sz w:val="18"/>
                <w:szCs w:val="18"/>
              </w:rPr>
              <w:t xml:space="preserve">anticipation et de conduite du changement </w:t>
            </w:r>
          </w:p>
        </w:tc>
        <w:tc>
          <w:tcPr>
            <w:tcW w:w="1879" w:type="dxa"/>
            <w:tcBorders>
              <w:bottom w:val="single" w:sz="4" w:space="0" w:color="auto"/>
            </w:tcBorders>
            <w:shd w:val="clear" w:color="auto" w:fill="FDE9D9" w:themeFill="accent6" w:themeFillTint="33"/>
          </w:tcPr>
          <w:p w14:paraId="1E5BF7A1" w14:textId="681AA755" w:rsidR="007F43CA" w:rsidRPr="007F43CA" w:rsidRDefault="007F43CA" w:rsidP="001D32F6">
            <w:pPr>
              <w:pStyle w:val="Tabletext"/>
              <w:keepLines/>
              <w:tabs>
                <w:tab w:val="left" w:pos="178"/>
              </w:tabs>
              <w:ind w:left="178" w:hanging="178"/>
              <w:rPr>
                <w:rFonts w:asciiTheme="minorHAnsi" w:hAnsiTheme="minorHAnsi" w:cstheme="minorHAnsi"/>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Nombre de participants au Programme de formation en matière de gestion et d</w:t>
            </w:r>
            <w:r w:rsidR="00E14E13">
              <w:rPr>
                <w:rFonts w:asciiTheme="minorHAnsi" w:hAnsiTheme="minorHAnsi" w:cstheme="minorHAnsi"/>
                <w:sz w:val="18"/>
                <w:szCs w:val="18"/>
              </w:rPr>
              <w:t>'</w:t>
            </w:r>
            <w:r w:rsidRPr="007F43CA">
              <w:rPr>
                <w:rFonts w:asciiTheme="minorHAnsi" w:hAnsiTheme="minorHAnsi" w:cstheme="minorHAnsi"/>
                <w:sz w:val="18"/>
                <w:szCs w:val="18"/>
              </w:rPr>
              <w:t>encadrement par an (par lieu d</w:t>
            </w:r>
            <w:r w:rsidR="00E14E13">
              <w:rPr>
                <w:rFonts w:asciiTheme="minorHAnsi" w:hAnsiTheme="minorHAnsi" w:cstheme="minorHAnsi"/>
                <w:sz w:val="18"/>
                <w:szCs w:val="18"/>
              </w:rPr>
              <w:t>'</w:t>
            </w:r>
            <w:r w:rsidRPr="007F43CA">
              <w:rPr>
                <w:rFonts w:asciiTheme="minorHAnsi" w:hAnsiTheme="minorHAnsi" w:cstheme="minorHAnsi"/>
                <w:sz w:val="18"/>
                <w:szCs w:val="18"/>
              </w:rPr>
              <w:t xml:space="preserve">affectation, Secteur, grade et sexe) </w:t>
            </w:r>
          </w:p>
          <w:p w14:paraId="49379AE1" w14:textId="443F9A38" w:rsidR="007F43CA" w:rsidRPr="007F43CA" w:rsidRDefault="007F43CA" w:rsidP="001D32F6">
            <w:pPr>
              <w:pStyle w:val="Tabletext"/>
              <w:keepLines/>
              <w:tabs>
                <w:tab w:val="left" w:pos="178"/>
              </w:tabs>
              <w:ind w:left="178" w:hanging="178"/>
              <w:rPr>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Résultats qualitatifs mesurés dans le cadre d</w:t>
            </w:r>
            <w:r w:rsidR="00E14E13">
              <w:rPr>
                <w:rFonts w:asciiTheme="minorHAnsi" w:hAnsiTheme="minorHAnsi" w:cstheme="minorHAnsi"/>
                <w:sz w:val="18"/>
                <w:szCs w:val="18"/>
              </w:rPr>
              <w:t>'</w:t>
            </w:r>
            <w:r w:rsidRPr="007F43CA">
              <w:rPr>
                <w:rFonts w:asciiTheme="minorHAnsi" w:hAnsiTheme="minorHAnsi" w:cstheme="minorHAnsi"/>
                <w:sz w:val="18"/>
                <w:szCs w:val="18"/>
              </w:rPr>
              <w:t>enquêtes et sur la base du rendement des investissements (RoI) à l</w:t>
            </w:r>
            <w:r w:rsidR="00E14E13">
              <w:rPr>
                <w:rFonts w:asciiTheme="minorHAnsi" w:hAnsiTheme="minorHAnsi" w:cstheme="minorHAnsi"/>
                <w:sz w:val="18"/>
                <w:szCs w:val="18"/>
              </w:rPr>
              <w:t>'</w:t>
            </w:r>
            <w:r w:rsidRPr="007F43CA">
              <w:rPr>
                <w:rFonts w:asciiTheme="minorHAnsi" w:hAnsiTheme="minorHAnsi" w:cstheme="minorHAnsi"/>
                <w:sz w:val="18"/>
                <w:szCs w:val="18"/>
              </w:rPr>
              <w:t>UIT (en cours d</w:t>
            </w:r>
            <w:r w:rsidR="00E14E13">
              <w:rPr>
                <w:rFonts w:asciiTheme="minorHAnsi" w:hAnsiTheme="minorHAnsi" w:cstheme="minorHAnsi"/>
                <w:sz w:val="18"/>
                <w:szCs w:val="18"/>
              </w:rPr>
              <w:t>'</w:t>
            </w:r>
            <w:r w:rsidRPr="007F43CA">
              <w:rPr>
                <w:rFonts w:asciiTheme="minorHAnsi" w:hAnsiTheme="minorHAnsi" w:cstheme="minorHAnsi"/>
                <w:sz w:val="18"/>
                <w:szCs w:val="18"/>
              </w:rPr>
              <w:t>élaboration), y compris le pourcentage de participants satisfaits et changement de comportement mesuré à la suite d</w:t>
            </w:r>
            <w:r w:rsidR="00E14E13">
              <w:rPr>
                <w:rFonts w:asciiTheme="minorHAnsi" w:hAnsiTheme="minorHAnsi" w:cstheme="minorHAnsi"/>
                <w:sz w:val="18"/>
                <w:szCs w:val="18"/>
              </w:rPr>
              <w:t>'</w:t>
            </w:r>
            <w:r w:rsidRPr="007F43CA">
              <w:rPr>
                <w:rFonts w:asciiTheme="minorHAnsi" w:hAnsiTheme="minorHAnsi" w:cstheme="minorHAnsi"/>
                <w:sz w:val="18"/>
                <w:szCs w:val="18"/>
              </w:rPr>
              <w:t>un rapport PMDS satisfaisant sur les compétences en matière d</w:t>
            </w:r>
            <w:r w:rsidR="00E14E13">
              <w:rPr>
                <w:rFonts w:asciiTheme="minorHAnsi" w:hAnsiTheme="minorHAnsi" w:cstheme="minorHAnsi"/>
                <w:sz w:val="18"/>
                <w:szCs w:val="18"/>
              </w:rPr>
              <w:t>'</w:t>
            </w:r>
            <w:r w:rsidRPr="007F43CA">
              <w:rPr>
                <w:rFonts w:asciiTheme="minorHAnsi" w:hAnsiTheme="minorHAnsi" w:cstheme="minorHAnsi"/>
                <w:sz w:val="18"/>
                <w:szCs w:val="18"/>
              </w:rPr>
              <w:t>encadrement et de direction</w:t>
            </w:r>
          </w:p>
        </w:tc>
        <w:tc>
          <w:tcPr>
            <w:tcW w:w="1591" w:type="dxa"/>
            <w:tcBorders>
              <w:bottom w:val="single" w:sz="4" w:space="0" w:color="auto"/>
            </w:tcBorders>
            <w:shd w:val="clear" w:color="auto" w:fill="FDE9D9" w:themeFill="accent6" w:themeFillTint="33"/>
          </w:tcPr>
          <w:p w14:paraId="753D76D6" w14:textId="77777777" w:rsidR="007F43CA" w:rsidRPr="007F43CA" w:rsidRDefault="007F43CA" w:rsidP="001D32F6">
            <w:pPr>
              <w:pStyle w:val="Tabletext"/>
              <w:keepLines/>
              <w:rPr>
                <w:sz w:val="18"/>
                <w:szCs w:val="18"/>
              </w:rPr>
            </w:pPr>
          </w:p>
        </w:tc>
        <w:tc>
          <w:tcPr>
            <w:tcW w:w="1205" w:type="dxa"/>
            <w:tcBorders>
              <w:bottom w:val="single" w:sz="4" w:space="0" w:color="auto"/>
            </w:tcBorders>
            <w:shd w:val="clear" w:color="auto" w:fill="FDE9D9" w:themeFill="accent6" w:themeFillTint="33"/>
          </w:tcPr>
          <w:p w14:paraId="5204EC6C" w14:textId="29D64FF9" w:rsidR="007F43CA" w:rsidRPr="007F43CA" w:rsidRDefault="007F43CA" w:rsidP="001D32F6">
            <w:pPr>
              <w:pStyle w:val="Tabletext"/>
              <w:rPr>
                <w:sz w:val="18"/>
                <w:szCs w:val="18"/>
              </w:rPr>
            </w:pPr>
            <w:r w:rsidRPr="007F43CA">
              <w:rPr>
                <w:sz w:val="18"/>
                <w:szCs w:val="18"/>
              </w:rPr>
              <w:t>En cours</w:t>
            </w:r>
          </w:p>
        </w:tc>
        <w:tc>
          <w:tcPr>
            <w:tcW w:w="4687" w:type="dxa"/>
            <w:tcBorders>
              <w:bottom w:val="single" w:sz="4" w:space="0" w:color="auto"/>
            </w:tcBorders>
            <w:shd w:val="clear" w:color="auto" w:fill="FDE9D9" w:themeFill="accent6" w:themeFillTint="33"/>
          </w:tcPr>
          <w:p w14:paraId="0046DDB6" w14:textId="0287FB9C" w:rsidR="007F43CA" w:rsidRPr="007F43CA" w:rsidRDefault="007F43CA" w:rsidP="001D32F6">
            <w:pPr>
              <w:pStyle w:val="Tabletext"/>
              <w:keepLines/>
              <w:rPr>
                <w:sz w:val="18"/>
                <w:szCs w:val="18"/>
              </w:rPr>
            </w:pPr>
            <w:r w:rsidRPr="007F43CA">
              <w:rPr>
                <w:sz w:val="18"/>
                <w:szCs w:val="18"/>
              </w:rPr>
              <w:t>Plus de 15 programmes de formation en matière de gestion et d</w:t>
            </w:r>
            <w:r w:rsidR="00E14E13">
              <w:rPr>
                <w:sz w:val="18"/>
                <w:szCs w:val="18"/>
              </w:rPr>
              <w:t>'</w:t>
            </w:r>
            <w:r w:rsidRPr="007F43CA">
              <w:rPr>
                <w:sz w:val="18"/>
                <w:szCs w:val="18"/>
              </w:rPr>
              <w:t>encadrement, ainsi que des formations sur la gestion du changement, notamment sur la manière de gérer "la nouvelle normalité" ont été dispensés à l</w:t>
            </w:r>
            <w:r w:rsidR="00E14E13">
              <w:rPr>
                <w:sz w:val="18"/>
                <w:szCs w:val="18"/>
              </w:rPr>
              <w:t>'</w:t>
            </w:r>
            <w:r w:rsidRPr="007F43CA">
              <w:rPr>
                <w:sz w:val="18"/>
                <w:szCs w:val="18"/>
              </w:rPr>
              <w:t>UIT, y compris dans les bureaux régionaux. Les hommes et les femmes étaient représentés de façon équilibrée parmi les participants. Dans l</w:t>
            </w:r>
            <w:r w:rsidR="00E14E13">
              <w:rPr>
                <w:sz w:val="18"/>
                <w:szCs w:val="18"/>
              </w:rPr>
              <w:t>'</w:t>
            </w:r>
            <w:r w:rsidRPr="007F43CA">
              <w:rPr>
                <w:sz w:val="18"/>
                <w:szCs w:val="18"/>
              </w:rPr>
              <w:t>ensemble, dans le cadre du télétravail, l</w:t>
            </w:r>
            <w:r w:rsidR="00E14E13">
              <w:rPr>
                <w:sz w:val="18"/>
                <w:szCs w:val="18"/>
              </w:rPr>
              <w:t>'</w:t>
            </w:r>
            <w:r w:rsidRPr="007F43CA">
              <w:rPr>
                <w:sz w:val="18"/>
                <w:szCs w:val="18"/>
              </w:rPr>
              <w:t>offre en ligne a évolué, notamment via la conclusion de deux accords à long terme avec des fournisseurs reconnus par l</w:t>
            </w:r>
            <w:r w:rsidR="00E14E13">
              <w:rPr>
                <w:sz w:val="18"/>
                <w:szCs w:val="18"/>
              </w:rPr>
              <w:t>'</w:t>
            </w:r>
            <w:r w:rsidRPr="007F43CA">
              <w:rPr>
                <w:sz w:val="18"/>
                <w:szCs w:val="18"/>
              </w:rPr>
              <w:t>ONU. Les résultats des enquêtes montrent que la plupart des participants sont satisfaits des programmes. Selon les évaluations à mi-parcours pour 2021 dans le cadre du système e</w:t>
            </w:r>
            <w:r w:rsidRPr="007F43CA">
              <w:rPr>
                <w:sz w:val="18"/>
                <w:szCs w:val="18"/>
              </w:rPr>
              <w:noBreakHyphen/>
              <w:t>PMDS, la majorité des membres du personnel de l</w:t>
            </w:r>
            <w:r w:rsidR="00E14E13">
              <w:rPr>
                <w:sz w:val="18"/>
                <w:szCs w:val="18"/>
              </w:rPr>
              <w:t>'</w:t>
            </w:r>
            <w:r w:rsidRPr="007F43CA">
              <w:rPr>
                <w:sz w:val="18"/>
                <w:szCs w:val="18"/>
              </w:rPr>
              <w:t>UIT ont atteint leurs objectifs de formation, et disposent de compétences "démontrées" en matière de gestion et d</w:t>
            </w:r>
            <w:r w:rsidR="00E14E13">
              <w:rPr>
                <w:sz w:val="18"/>
                <w:szCs w:val="18"/>
              </w:rPr>
              <w:t>'</w:t>
            </w:r>
            <w:r w:rsidRPr="007F43CA">
              <w:rPr>
                <w:sz w:val="18"/>
                <w:szCs w:val="18"/>
              </w:rPr>
              <w:t>encadrement.</w:t>
            </w:r>
          </w:p>
        </w:tc>
      </w:tr>
      <w:tr w:rsidR="007F43CA" w:rsidRPr="007F43CA" w14:paraId="00A7C72C" w14:textId="77777777" w:rsidTr="005817FB">
        <w:tc>
          <w:tcPr>
            <w:tcW w:w="494" w:type="dxa"/>
            <w:vMerge w:val="restart"/>
            <w:tcBorders>
              <w:top w:val="single" w:sz="4" w:space="0" w:color="auto"/>
            </w:tcBorders>
            <w:shd w:val="clear" w:color="auto" w:fill="FDE9D9" w:themeFill="accent6" w:themeFillTint="33"/>
          </w:tcPr>
          <w:p w14:paraId="0D82E1E1" w14:textId="77777777" w:rsidR="007F43CA" w:rsidRPr="007F43CA" w:rsidRDefault="007F43CA" w:rsidP="001D32F6">
            <w:pPr>
              <w:pStyle w:val="Tabletext"/>
              <w:keepLines/>
              <w:rPr>
                <w:rFonts w:asciiTheme="minorHAnsi" w:hAnsiTheme="minorHAnsi" w:cstheme="minorHAnsi"/>
                <w:sz w:val="18"/>
                <w:szCs w:val="18"/>
              </w:rPr>
            </w:pPr>
            <w:r w:rsidRPr="007F43CA">
              <w:rPr>
                <w:rFonts w:asciiTheme="minorHAnsi" w:hAnsiTheme="minorHAnsi" w:cstheme="minorHAnsi"/>
                <w:sz w:val="18"/>
                <w:szCs w:val="18"/>
              </w:rPr>
              <w:lastRenderedPageBreak/>
              <w:t>2.3</w:t>
            </w:r>
          </w:p>
        </w:tc>
        <w:tc>
          <w:tcPr>
            <w:tcW w:w="1547" w:type="dxa"/>
            <w:vMerge w:val="restart"/>
            <w:tcBorders>
              <w:top w:val="single" w:sz="4" w:space="0" w:color="auto"/>
            </w:tcBorders>
            <w:shd w:val="clear" w:color="auto" w:fill="FDE9D9" w:themeFill="accent6" w:themeFillTint="33"/>
          </w:tcPr>
          <w:p w14:paraId="7120236A" w14:textId="77777777" w:rsidR="007F43CA" w:rsidRPr="007F43CA" w:rsidRDefault="007F43CA" w:rsidP="001D32F6">
            <w:pPr>
              <w:pStyle w:val="Tabletext"/>
              <w:keepLines/>
              <w:rPr>
                <w:rFonts w:asciiTheme="minorHAnsi" w:hAnsiTheme="minorHAnsi" w:cstheme="minorHAnsi"/>
                <w:sz w:val="18"/>
                <w:szCs w:val="18"/>
              </w:rPr>
            </w:pPr>
            <w:r w:rsidRPr="007F43CA">
              <w:rPr>
                <w:rFonts w:asciiTheme="minorHAnsi" w:hAnsiTheme="minorHAnsi" w:cstheme="minorHAnsi"/>
                <w:sz w:val="18"/>
                <w:szCs w:val="18"/>
              </w:rPr>
              <w:t>Socle commun pour les compétences et les qualifications requises</w:t>
            </w:r>
          </w:p>
        </w:tc>
        <w:tc>
          <w:tcPr>
            <w:tcW w:w="2626" w:type="dxa"/>
            <w:tcBorders>
              <w:top w:val="single" w:sz="4" w:space="0" w:color="auto"/>
              <w:bottom w:val="single" w:sz="4" w:space="0" w:color="auto"/>
            </w:tcBorders>
            <w:shd w:val="clear" w:color="auto" w:fill="FDE9D9" w:themeFill="accent6" w:themeFillTint="33"/>
          </w:tcPr>
          <w:p w14:paraId="78FB9FED" w14:textId="5C8F8732" w:rsidR="007F43CA" w:rsidRPr="007F43CA" w:rsidRDefault="007F43CA" w:rsidP="001D32F6">
            <w:pPr>
              <w:pStyle w:val="Tabletext"/>
              <w:tabs>
                <w:tab w:val="left" w:pos="301"/>
              </w:tabs>
              <w:ind w:left="249" w:hanging="249"/>
              <w:rPr>
                <w:rFonts w:asciiTheme="minorHAnsi" w:hAnsiTheme="minorHAnsi" w:cstheme="minorHAnsi"/>
                <w:sz w:val="18"/>
                <w:szCs w:val="18"/>
              </w:rPr>
            </w:pPr>
            <w:r w:rsidRPr="007F43CA">
              <w:rPr>
                <w:rFonts w:asciiTheme="minorHAnsi" w:hAnsiTheme="minorHAnsi" w:cstheme="minorHAnsi"/>
                <w:sz w:val="18"/>
                <w:szCs w:val="18"/>
              </w:rPr>
              <w:t>1</w:t>
            </w:r>
            <w:r w:rsidRPr="007F43CA">
              <w:rPr>
                <w:rFonts w:asciiTheme="minorHAnsi" w:hAnsiTheme="minorHAnsi" w:cstheme="minorHAnsi"/>
                <w:sz w:val="18"/>
                <w:szCs w:val="18"/>
              </w:rPr>
              <w:tab/>
              <w:t>Élaborer et mettre en œuvre le Pilier 3 du Cadre de compétences de l</w:t>
            </w:r>
            <w:r w:rsidR="00E14E13">
              <w:rPr>
                <w:rFonts w:asciiTheme="minorHAnsi" w:hAnsiTheme="minorHAnsi" w:cstheme="minorHAnsi"/>
                <w:sz w:val="18"/>
                <w:szCs w:val="18"/>
              </w:rPr>
              <w:t>'</w:t>
            </w:r>
            <w:r w:rsidRPr="007F43CA">
              <w:rPr>
                <w:rFonts w:asciiTheme="minorHAnsi" w:hAnsiTheme="minorHAnsi" w:cstheme="minorHAnsi"/>
                <w:sz w:val="18"/>
                <w:szCs w:val="18"/>
              </w:rPr>
              <w:t>UIT (compétences techniques, Ordre de service No 18/03), compte également tenu des nouveaux Plans stratégique et opérationnels de l</w:t>
            </w:r>
            <w:r w:rsidR="00E14E13">
              <w:rPr>
                <w:rFonts w:asciiTheme="minorHAnsi" w:hAnsiTheme="minorHAnsi" w:cstheme="minorHAnsi"/>
                <w:sz w:val="18"/>
                <w:szCs w:val="18"/>
              </w:rPr>
              <w:t>'</w:t>
            </w:r>
            <w:r w:rsidRPr="007F43CA">
              <w:rPr>
                <w:rFonts w:asciiTheme="minorHAnsi" w:hAnsiTheme="minorHAnsi" w:cstheme="minorHAnsi"/>
                <w:sz w:val="18"/>
                <w:szCs w:val="18"/>
              </w:rPr>
              <w:t>UIT (PP</w:t>
            </w:r>
            <w:r w:rsidR="00F74C17">
              <w:rPr>
                <w:rFonts w:asciiTheme="minorHAnsi" w:hAnsiTheme="minorHAnsi" w:cstheme="minorHAnsi"/>
                <w:sz w:val="18"/>
                <w:szCs w:val="18"/>
              </w:rPr>
              <w:noBreakHyphen/>
            </w:r>
            <w:r w:rsidRPr="007F43CA">
              <w:rPr>
                <w:rFonts w:asciiTheme="minorHAnsi" w:hAnsiTheme="minorHAnsi" w:cstheme="minorHAnsi"/>
                <w:sz w:val="18"/>
                <w:szCs w:val="18"/>
              </w:rPr>
              <w:t>18)</w:t>
            </w:r>
          </w:p>
        </w:tc>
        <w:tc>
          <w:tcPr>
            <w:tcW w:w="1879" w:type="dxa"/>
            <w:tcBorders>
              <w:top w:val="single" w:sz="4" w:space="0" w:color="auto"/>
              <w:bottom w:val="single" w:sz="4" w:space="0" w:color="auto"/>
            </w:tcBorders>
            <w:shd w:val="clear" w:color="auto" w:fill="FDE9D9" w:themeFill="accent6" w:themeFillTint="33"/>
          </w:tcPr>
          <w:p w14:paraId="68334234" w14:textId="71FD94F9" w:rsidR="007F43CA" w:rsidRPr="007F43CA" w:rsidRDefault="007F43CA" w:rsidP="001D32F6">
            <w:pPr>
              <w:pStyle w:val="Tabletext"/>
              <w:keepLines/>
              <w:tabs>
                <w:tab w:val="left" w:pos="178"/>
              </w:tabs>
              <w:ind w:left="178" w:hanging="178"/>
              <w:rPr>
                <w:rFonts w:asciiTheme="minorHAnsi" w:hAnsiTheme="minorHAnsi" w:cstheme="minorHAnsi"/>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Pilier 3 intégré dans le Cadre de compétences de l</w:t>
            </w:r>
            <w:r w:rsidR="00E14E13">
              <w:rPr>
                <w:rFonts w:asciiTheme="minorHAnsi" w:hAnsiTheme="minorHAnsi" w:cstheme="minorHAnsi"/>
                <w:sz w:val="18"/>
                <w:szCs w:val="18"/>
              </w:rPr>
              <w:t>'</w:t>
            </w:r>
            <w:r w:rsidRPr="007F43CA">
              <w:rPr>
                <w:rFonts w:asciiTheme="minorHAnsi" w:hAnsiTheme="minorHAnsi" w:cstheme="minorHAnsi"/>
                <w:sz w:val="18"/>
                <w:szCs w:val="18"/>
              </w:rPr>
              <w:t>UIT et le système PMDS; pourcentage de fonctionnaires ayant fait l</w:t>
            </w:r>
            <w:r w:rsidR="00E14E13">
              <w:rPr>
                <w:rFonts w:asciiTheme="minorHAnsi" w:hAnsiTheme="minorHAnsi" w:cstheme="minorHAnsi"/>
                <w:sz w:val="18"/>
                <w:szCs w:val="18"/>
              </w:rPr>
              <w:t>'</w:t>
            </w:r>
            <w:r w:rsidRPr="007F43CA">
              <w:rPr>
                <w:rFonts w:asciiTheme="minorHAnsi" w:hAnsiTheme="minorHAnsi" w:cstheme="minorHAnsi"/>
                <w:sz w:val="18"/>
                <w:szCs w:val="18"/>
              </w:rPr>
              <w:t>objet d</w:t>
            </w:r>
            <w:r w:rsidR="00E14E13">
              <w:rPr>
                <w:rFonts w:asciiTheme="minorHAnsi" w:hAnsiTheme="minorHAnsi" w:cstheme="minorHAnsi"/>
                <w:sz w:val="18"/>
                <w:szCs w:val="18"/>
              </w:rPr>
              <w:t>'</w:t>
            </w:r>
            <w:r w:rsidRPr="007F43CA">
              <w:rPr>
                <w:rFonts w:asciiTheme="minorHAnsi" w:hAnsiTheme="minorHAnsi" w:cstheme="minorHAnsi"/>
                <w:sz w:val="18"/>
                <w:szCs w:val="18"/>
              </w:rPr>
              <w:t>une évaluation satisfaisante au regard de ces compétences</w:t>
            </w:r>
          </w:p>
        </w:tc>
        <w:tc>
          <w:tcPr>
            <w:tcW w:w="1591" w:type="dxa"/>
            <w:tcBorders>
              <w:top w:val="single" w:sz="4" w:space="0" w:color="auto"/>
              <w:bottom w:val="single" w:sz="4" w:space="0" w:color="auto"/>
            </w:tcBorders>
            <w:shd w:val="clear" w:color="auto" w:fill="FDE9D9" w:themeFill="accent6" w:themeFillTint="33"/>
          </w:tcPr>
          <w:p w14:paraId="117FAF84" w14:textId="77777777" w:rsidR="007F43CA" w:rsidRPr="007F43CA" w:rsidRDefault="007F43CA" w:rsidP="001D32F6">
            <w:pPr>
              <w:pStyle w:val="Tabletext"/>
              <w:keepLines/>
              <w:tabs>
                <w:tab w:val="left" w:pos="347"/>
              </w:tabs>
              <w:rPr>
                <w:rFonts w:asciiTheme="minorHAnsi" w:hAnsiTheme="minorHAnsi" w:cstheme="minorHAnsi"/>
                <w:sz w:val="18"/>
                <w:szCs w:val="18"/>
              </w:rPr>
            </w:pPr>
          </w:p>
        </w:tc>
        <w:tc>
          <w:tcPr>
            <w:tcW w:w="1205" w:type="dxa"/>
            <w:tcBorders>
              <w:top w:val="single" w:sz="4" w:space="0" w:color="auto"/>
              <w:bottom w:val="single" w:sz="4" w:space="0" w:color="auto"/>
            </w:tcBorders>
            <w:shd w:val="clear" w:color="auto" w:fill="FDE9D9" w:themeFill="accent6" w:themeFillTint="33"/>
          </w:tcPr>
          <w:p w14:paraId="6A7D20A2" w14:textId="23B04F9E" w:rsidR="007F43CA" w:rsidRPr="007F43CA" w:rsidRDefault="007F43CA" w:rsidP="001D32F6">
            <w:pPr>
              <w:pStyle w:val="Tabletext"/>
              <w:keepLines/>
              <w:rPr>
                <w:rFonts w:asciiTheme="minorHAnsi" w:hAnsiTheme="minorHAnsi" w:cstheme="minorHAnsi"/>
                <w:sz w:val="18"/>
                <w:szCs w:val="18"/>
              </w:rPr>
            </w:pPr>
            <w:r w:rsidRPr="007F43CA">
              <w:rPr>
                <w:rFonts w:asciiTheme="minorHAnsi" w:hAnsiTheme="minorHAnsi" w:cstheme="minorHAnsi"/>
                <w:sz w:val="18"/>
                <w:szCs w:val="18"/>
              </w:rPr>
              <w:t>En cours</w:t>
            </w:r>
          </w:p>
        </w:tc>
        <w:tc>
          <w:tcPr>
            <w:tcW w:w="4687" w:type="dxa"/>
            <w:tcBorders>
              <w:top w:val="single" w:sz="4" w:space="0" w:color="auto"/>
              <w:bottom w:val="single" w:sz="4" w:space="0" w:color="auto"/>
            </w:tcBorders>
            <w:shd w:val="clear" w:color="auto" w:fill="FDE9D9" w:themeFill="accent6" w:themeFillTint="33"/>
          </w:tcPr>
          <w:p w14:paraId="54E421F3" w14:textId="5804E261"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Le catalogue des compétences techniques actuel du système e</w:t>
            </w:r>
            <w:r w:rsidRPr="007F43CA">
              <w:rPr>
                <w:rFonts w:asciiTheme="minorHAnsi" w:hAnsiTheme="minorHAnsi" w:cstheme="minorHAnsi"/>
                <w:sz w:val="18"/>
                <w:szCs w:val="18"/>
              </w:rPr>
              <w:noBreakHyphen/>
              <w:t>PMDS répertorie plus de 100 compétences dans différents emplois. Ce catalogue a été constitué sur la base des informations saisies dans le système par les responsables et les membres du personnel en ce qui concerne les compétences techniques nécessaires pour réaliser les programmes de travail annuels. Une analyse des lacunes en matière de compétences est en cours au sein de l</w:t>
            </w:r>
            <w:r w:rsidR="00E14E13">
              <w:rPr>
                <w:rFonts w:asciiTheme="minorHAnsi" w:hAnsiTheme="minorHAnsi" w:cstheme="minorHAnsi"/>
                <w:sz w:val="18"/>
                <w:szCs w:val="18"/>
              </w:rPr>
              <w:t>'</w:t>
            </w:r>
            <w:r w:rsidRPr="007F43CA">
              <w:rPr>
                <w:rFonts w:asciiTheme="minorHAnsi" w:hAnsiTheme="minorHAnsi" w:cstheme="minorHAnsi"/>
                <w:sz w:val="18"/>
                <w:szCs w:val="18"/>
              </w:rPr>
              <w:t>UIT. La taxonomie porte sur les compétences techniques dans le système e-PMDS. Le cadre de compétences de l</w:t>
            </w:r>
            <w:r w:rsidR="00E14E13">
              <w:rPr>
                <w:rFonts w:asciiTheme="minorHAnsi" w:hAnsiTheme="minorHAnsi" w:cstheme="minorHAnsi"/>
                <w:sz w:val="18"/>
                <w:szCs w:val="18"/>
              </w:rPr>
              <w:t>'</w:t>
            </w:r>
            <w:r w:rsidRPr="007F43CA">
              <w:rPr>
                <w:rFonts w:asciiTheme="minorHAnsi" w:hAnsiTheme="minorHAnsi" w:cstheme="minorHAnsi"/>
                <w:sz w:val="18"/>
                <w:szCs w:val="18"/>
              </w:rPr>
              <w:t>UIT sera révisé compte tenu des résultats de l</w:t>
            </w:r>
            <w:r w:rsidR="00E14E13">
              <w:rPr>
                <w:rFonts w:asciiTheme="minorHAnsi" w:hAnsiTheme="minorHAnsi" w:cstheme="minorHAnsi"/>
                <w:sz w:val="18"/>
                <w:szCs w:val="18"/>
              </w:rPr>
              <w:t>'</w:t>
            </w:r>
            <w:r w:rsidRPr="007F43CA">
              <w:rPr>
                <w:rFonts w:asciiTheme="minorHAnsi" w:hAnsiTheme="minorHAnsi" w:cstheme="minorHAnsi"/>
                <w:sz w:val="18"/>
                <w:szCs w:val="18"/>
              </w:rPr>
              <w:t>analyse des lacunes. Selon l</w:t>
            </w:r>
            <w:r w:rsidR="00E14E13">
              <w:rPr>
                <w:rFonts w:asciiTheme="minorHAnsi" w:hAnsiTheme="minorHAnsi" w:cstheme="minorHAnsi"/>
                <w:sz w:val="18"/>
                <w:szCs w:val="18"/>
              </w:rPr>
              <w:t>'</w:t>
            </w:r>
            <w:r w:rsidR="00203206">
              <w:rPr>
                <w:rFonts w:asciiTheme="minorHAnsi" w:hAnsiTheme="minorHAnsi" w:cstheme="minorHAnsi"/>
                <w:sz w:val="18"/>
                <w:szCs w:val="18"/>
              </w:rPr>
              <w:t>évaluation réalisée en </w:t>
            </w:r>
            <w:r w:rsidRPr="007F43CA">
              <w:rPr>
                <w:rFonts w:asciiTheme="minorHAnsi" w:hAnsiTheme="minorHAnsi" w:cstheme="minorHAnsi"/>
                <w:sz w:val="18"/>
                <w:szCs w:val="18"/>
              </w:rPr>
              <w:t>2021 dans le cadre du système e-PMDS, la majeure partie des fonctionnaires de l</w:t>
            </w:r>
            <w:r w:rsidR="00E14E13">
              <w:rPr>
                <w:rFonts w:asciiTheme="minorHAnsi" w:hAnsiTheme="minorHAnsi" w:cstheme="minorHAnsi"/>
                <w:sz w:val="18"/>
                <w:szCs w:val="18"/>
              </w:rPr>
              <w:t>'</w:t>
            </w:r>
            <w:r w:rsidRPr="007F43CA">
              <w:rPr>
                <w:rFonts w:asciiTheme="minorHAnsi" w:hAnsiTheme="minorHAnsi" w:cstheme="minorHAnsi"/>
                <w:sz w:val="18"/>
                <w:szCs w:val="18"/>
              </w:rPr>
              <w:t>UIT ont fait l</w:t>
            </w:r>
            <w:r w:rsidR="00E14E13">
              <w:rPr>
                <w:rFonts w:asciiTheme="minorHAnsi" w:hAnsiTheme="minorHAnsi" w:cstheme="minorHAnsi"/>
                <w:sz w:val="18"/>
                <w:szCs w:val="18"/>
              </w:rPr>
              <w:t>'</w:t>
            </w:r>
            <w:r w:rsidRPr="007F43CA">
              <w:rPr>
                <w:rFonts w:asciiTheme="minorHAnsi" w:hAnsiTheme="minorHAnsi" w:cstheme="minorHAnsi"/>
                <w:sz w:val="18"/>
                <w:szCs w:val="18"/>
              </w:rPr>
              <w:t>objet d</w:t>
            </w:r>
            <w:r w:rsidR="00E14E13">
              <w:rPr>
                <w:rFonts w:asciiTheme="minorHAnsi" w:hAnsiTheme="minorHAnsi" w:cstheme="minorHAnsi"/>
                <w:sz w:val="18"/>
                <w:szCs w:val="18"/>
              </w:rPr>
              <w:t>'</w:t>
            </w:r>
            <w:r w:rsidRPr="007F43CA">
              <w:rPr>
                <w:rFonts w:asciiTheme="minorHAnsi" w:hAnsiTheme="minorHAnsi" w:cstheme="minorHAnsi"/>
                <w:sz w:val="18"/>
                <w:szCs w:val="18"/>
              </w:rPr>
              <w:t>une évaluation satisfaisante au regard des compétences techniques.</w:t>
            </w:r>
          </w:p>
        </w:tc>
      </w:tr>
      <w:tr w:rsidR="007F43CA" w:rsidRPr="007B6CE7" w14:paraId="3239BB01" w14:textId="77777777" w:rsidTr="005817FB">
        <w:tc>
          <w:tcPr>
            <w:tcW w:w="494" w:type="dxa"/>
            <w:vMerge/>
            <w:shd w:val="clear" w:color="auto" w:fill="FDE9D9" w:themeFill="accent6" w:themeFillTint="33"/>
          </w:tcPr>
          <w:p w14:paraId="3F909B1B" w14:textId="77777777" w:rsidR="007F43CA" w:rsidRPr="007F43CA" w:rsidRDefault="007F43CA" w:rsidP="001D32F6">
            <w:pPr>
              <w:pStyle w:val="Tabletext"/>
              <w:keepLines/>
              <w:rPr>
                <w:sz w:val="18"/>
                <w:szCs w:val="18"/>
              </w:rPr>
            </w:pPr>
          </w:p>
        </w:tc>
        <w:tc>
          <w:tcPr>
            <w:tcW w:w="1547" w:type="dxa"/>
            <w:vMerge/>
            <w:shd w:val="clear" w:color="auto" w:fill="FDE9D9" w:themeFill="accent6" w:themeFillTint="33"/>
          </w:tcPr>
          <w:p w14:paraId="299B3686" w14:textId="77777777" w:rsidR="007F43CA" w:rsidRPr="007F43CA" w:rsidRDefault="007F43CA" w:rsidP="001D32F6">
            <w:pPr>
              <w:pStyle w:val="Tabletext"/>
              <w:keepLines/>
              <w:rPr>
                <w:sz w:val="18"/>
                <w:szCs w:val="18"/>
              </w:rPr>
            </w:pPr>
          </w:p>
        </w:tc>
        <w:tc>
          <w:tcPr>
            <w:tcW w:w="2626" w:type="dxa"/>
            <w:tcBorders>
              <w:top w:val="single" w:sz="4" w:space="0" w:color="auto"/>
              <w:bottom w:val="single" w:sz="4" w:space="0" w:color="auto"/>
            </w:tcBorders>
            <w:shd w:val="clear" w:color="auto" w:fill="FDE9D9" w:themeFill="accent6" w:themeFillTint="33"/>
          </w:tcPr>
          <w:p w14:paraId="42877E35" w14:textId="5B26205D" w:rsidR="007F43CA" w:rsidRPr="007F43CA" w:rsidRDefault="007F43CA" w:rsidP="001D32F6">
            <w:pPr>
              <w:pStyle w:val="Tabletext"/>
              <w:tabs>
                <w:tab w:val="left" w:pos="301"/>
              </w:tabs>
              <w:ind w:left="249" w:hanging="249"/>
              <w:rPr>
                <w:sz w:val="18"/>
                <w:szCs w:val="18"/>
              </w:rPr>
            </w:pPr>
            <w:r w:rsidRPr="00203206">
              <w:rPr>
                <w:sz w:val="18"/>
                <w:szCs w:val="18"/>
              </w:rPr>
              <w:t>2</w:t>
            </w:r>
            <w:r w:rsidRPr="007F43CA">
              <w:rPr>
                <w:sz w:val="18"/>
                <w:szCs w:val="18"/>
              </w:rPr>
              <w:tab/>
              <w:t>Évaluation complète des lacunes en matière de compétences et d</w:t>
            </w:r>
            <w:r w:rsidR="00E14E13">
              <w:rPr>
                <w:sz w:val="18"/>
                <w:szCs w:val="18"/>
              </w:rPr>
              <w:t>'</w:t>
            </w:r>
            <w:r w:rsidRPr="007F43CA">
              <w:rPr>
                <w:sz w:val="18"/>
                <w:szCs w:val="18"/>
              </w:rPr>
              <w:t>aptitudes</w:t>
            </w:r>
          </w:p>
        </w:tc>
        <w:tc>
          <w:tcPr>
            <w:tcW w:w="1879" w:type="dxa"/>
            <w:tcBorders>
              <w:top w:val="single" w:sz="4" w:space="0" w:color="auto"/>
              <w:bottom w:val="single" w:sz="4" w:space="0" w:color="auto"/>
            </w:tcBorders>
            <w:shd w:val="clear" w:color="auto" w:fill="FDE9D9" w:themeFill="accent6" w:themeFillTint="33"/>
          </w:tcPr>
          <w:p w14:paraId="630194B0" w14:textId="77777777" w:rsidR="007F43CA" w:rsidRPr="007F43CA" w:rsidRDefault="007F43CA" w:rsidP="001D32F6">
            <w:pPr>
              <w:pStyle w:val="Tabletext"/>
              <w:keepLines/>
              <w:tabs>
                <w:tab w:val="left" w:pos="347"/>
              </w:tabs>
              <w:rPr>
                <w:sz w:val="18"/>
                <w:szCs w:val="18"/>
              </w:rPr>
            </w:pPr>
          </w:p>
        </w:tc>
        <w:tc>
          <w:tcPr>
            <w:tcW w:w="1591" w:type="dxa"/>
            <w:tcBorders>
              <w:top w:val="single" w:sz="4" w:space="0" w:color="auto"/>
              <w:bottom w:val="single" w:sz="4" w:space="0" w:color="auto"/>
            </w:tcBorders>
            <w:shd w:val="clear" w:color="auto" w:fill="FDE9D9" w:themeFill="accent6" w:themeFillTint="33"/>
          </w:tcPr>
          <w:p w14:paraId="4EB2112F" w14:textId="720E0075" w:rsidR="007F43CA" w:rsidRPr="007F43CA" w:rsidRDefault="007F43CA" w:rsidP="001D32F6">
            <w:pPr>
              <w:pStyle w:val="Tabletext"/>
              <w:keepLines/>
              <w:rPr>
                <w:sz w:val="18"/>
                <w:szCs w:val="18"/>
              </w:rPr>
            </w:pPr>
            <w:r w:rsidRPr="007F43CA">
              <w:rPr>
                <w:sz w:val="18"/>
                <w:szCs w:val="18"/>
              </w:rPr>
              <w:t xml:space="preserve">HRMD </w:t>
            </w:r>
          </w:p>
          <w:p w14:paraId="1E3481E4" w14:textId="750FCCAE" w:rsidR="007F43CA" w:rsidRPr="007F43CA" w:rsidRDefault="007F43CA" w:rsidP="001D32F6">
            <w:pPr>
              <w:pStyle w:val="Tabletext"/>
              <w:keepLines/>
              <w:rPr>
                <w:sz w:val="18"/>
                <w:szCs w:val="18"/>
              </w:rPr>
            </w:pPr>
            <w:r w:rsidRPr="007F43CA">
              <w:rPr>
                <w:sz w:val="18"/>
                <w:szCs w:val="18"/>
              </w:rPr>
              <w:t>SPM</w:t>
            </w:r>
          </w:p>
          <w:p w14:paraId="204A0B79" w14:textId="77777777" w:rsidR="007F43CA" w:rsidRPr="007F43CA" w:rsidRDefault="007F43CA" w:rsidP="001D32F6">
            <w:pPr>
              <w:pStyle w:val="Tabletext"/>
              <w:keepLines/>
              <w:tabs>
                <w:tab w:val="left" w:pos="347"/>
              </w:tabs>
              <w:rPr>
                <w:sz w:val="18"/>
                <w:szCs w:val="18"/>
              </w:rPr>
            </w:pPr>
            <w:r w:rsidRPr="007F43CA">
              <w:rPr>
                <w:sz w:val="18"/>
                <w:szCs w:val="18"/>
              </w:rPr>
              <w:t>Bureaux et Départements du Secrétariat général</w:t>
            </w:r>
          </w:p>
        </w:tc>
        <w:tc>
          <w:tcPr>
            <w:tcW w:w="1205" w:type="dxa"/>
            <w:tcBorders>
              <w:top w:val="single" w:sz="4" w:space="0" w:color="auto"/>
              <w:bottom w:val="single" w:sz="4" w:space="0" w:color="auto"/>
            </w:tcBorders>
            <w:shd w:val="clear" w:color="auto" w:fill="FDE9D9" w:themeFill="accent6" w:themeFillTint="33"/>
          </w:tcPr>
          <w:p w14:paraId="53A6DACD" w14:textId="3A2329F9" w:rsidR="007F43CA" w:rsidRPr="007F43CA" w:rsidRDefault="007F43CA" w:rsidP="001D32F6">
            <w:pPr>
              <w:pStyle w:val="Tabletext"/>
              <w:keepLines/>
              <w:rPr>
                <w:sz w:val="18"/>
                <w:szCs w:val="18"/>
              </w:rPr>
            </w:pPr>
            <w:r w:rsidRPr="007F43CA">
              <w:rPr>
                <w:sz w:val="18"/>
                <w:szCs w:val="18"/>
              </w:rPr>
              <w:t>2020-2021</w:t>
            </w:r>
          </w:p>
        </w:tc>
        <w:tc>
          <w:tcPr>
            <w:tcW w:w="4687" w:type="dxa"/>
            <w:tcBorders>
              <w:top w:val="single" w:sz="4" w:space="0" w:color="auto"/>
              <w:bottom w:val="single" w:sz="4" w:space="0" w:color="auto"/>
            </w:tcBorders>
            <w:shd w:val="clear" w:color="auto" w:fill="FDE9D9" w:themeFill="accent6" w:themeFillTint="33"/>
          </w:tcPr>
          <w:p w14:paraId="48038803" w14:textId="2FD02F87" w:rsidR="007F43CA" w:rsidRPr="00932AF4" w:rsidRDefault="00932AF4" w:rsidP="001D32F6">
            <w:pPr>
              <w:pStyle w:val="Tabletext"/>
              <w:rPr>
                <w:sz w:val="18"/>
                <w:szCs w:val="18"/>
              </w:rPr>
            </w:pPr>
            <w:r w:rsidRPr="00932AF4">
              <w:rPr>
                <w:sz w:val="18"/>
                <w:szCs w:val="18"/>
              </w:rPr>
              <w:t>À l</w:t>
            </w:r>
            <w:r w:rsidR="00E14E13">
              <w:rPr>
                <w:sz w:val="18"/>
                <w:szCs w:val="18"/>
              </w:rPr>
              <w:t>'</w:t>
            </w:r>
            <w:r w:rsidRPr="00932AF4">
              <w:rPr>
                <w:sz w:val="18"/>
                <w:szCs w:val="18"/>
              </w:rPr>
              <w:t>issue d</w:t>
            </w:r>
            <w:r w:rsidR="00E14E13">
              <w:rPr>
                <w:sz w:val="18"/>
                <w:szCs w:val="18"/>
              </w:rPr>
              <w:t>'</w:t>
            </w:r>
            <w:r w:rsidRPr="00932AF4">
              <w:rPr>
                <w:sz w:val="18"/>
                <w:szCs w:val="18"/>
              </w:rPr>
              <w:t>une procédure d</w:t>
            </w:r>
            <w:r w:rsidR="00E14E13">
              <w:rPr>
                <w:sz w:val="18"/>
                <w:szCs w:val="18"/>
              </w:rPr>
              <w:t>'</w:t>
            </w:r>
            <w:r w:rsidRPr="00932AF4">
              <w:rPr>
                <w:sz w:val="18"/>
                <w:szCs w:val="18"/>
              </w:rPr>
              <w:t>appel d</w:t>
            </w:r>
            <w:r w:rsidR="00E14E13">
              <w:rPr>
                <w:sz w:val="18"/>
                <w:szCs w:val="18"/>
              </w:rPr>
              <w:t>'</w:t>
            </w:r>
            <w:r w:rsidRPr="00932AF4">
              <w:rPr>
                <w:sz w:val="18"/>
                <w:szCs w:val="18"/>
              </w:rPr>
              <w:t xml:space="preserve">offres, </w:t>
            </w:r>
            <w:r w:rsidR="007F43CA" w:rsidRPr="00932AF4">
              <w:rPr>
                <w:sz w:val="18"/>
                <w:szCs w:val="18"/>
              </w:rPr>
              <w:t xml:space="preserve">McKinsey &amp; Company </w:t>
            </w:r>
            <w:r>
              <w:rPr>
                <w:sz w:val="18"/>
                <w:szCs w:val="18"/>
              </w:rPr>
              <w:t>a été choisi pour procéder à l</w:t>
            </w:r>
            <w:r w:rsidR="00E14E13">
              <w:rPr>
                <w:sz w:val="18"/>
                <w:szCs w:val="18"/>
              </w:rPr>
              <w:t>'</w:t>
            </w:r>
            <w:r>
              <w:rPr>
                <w:sz w:val="18"/>
                <w:szCs w:val="18"/>
              </w:rPr>
              <w:t xml:space="preserve">examen. </w:t>
            </w:r>
            <w:r w:rsidRPr="00932AF4">
              <w:rPr>
                <w:sz w:val="18"/>
                <w:szCs w:val="18"/>
              </w:rPr>
              <w:t xml:space="preserve">Par la suite, des arrangements contractuels ont été </w:t>
            </w:r>
            <w:r>
              <w:rPr>
                <w:sz w:val="18"/>
                <w:szCs w:val="18"/>
              </w:rPr>
              <w:t>conclus</w:t>
            </w:r>
            <w:r w:rsidR="00064EC1">
              <w:rPr>
                <w:sz w:val="18"/>
                <w:szCs w:val="18"/>
              </w:rPr>
              <w:t>,</w:t>
            </w:r>
            <w:r>
              <w:rPr>
                <w:sz w:val="18"/>
                <w:szCs w:val="18"/>
              </w:rPr>
              <w:t xml:space="preserve"> et les consultants ont débuté leurs activités en décembre 2020. </w:t>
            </w:r>
            <w:r w:rsidRPr="00932AF4">
              <w:rPr>
                <w:sz w:val="18"/>
                <w:szCs w:val="18"/>
              </w:rPr>
              <w:t xml:space="preserve">Le rapport final a été </w:t>
            </w:r>
            <w:r>
              <w:rPr>
                <w:sz w:val="18"/>
                <w:szCs w:val="18"/>
              </w:rPr>
              <w:t>re</w:t>
            </w:r>
            <w:r w:rsidRPr="00932AF4">
              <w:rPr>
                <w:sz w:val="18"/>
                <w:szCs w:val="18"/>
              </w:rPr>
              <w:t>mis au Secrétariat en m</w:t>
            </w:r>
            <w:r>
              <w:rPr>
                <w:sz w:val="18"/>
                <w:szCs w:val="18"/>
              </w:rPr>
              <w:t>ai 2021</w:t>
            </w:r>
            <w:r w:rsidR="007F43CA" w:rsidRPr="00932AF4">
              <w:rPr>
                <w:sz w:val="18"/>
                <w:szCs w:val="18"/>
              </w:rPr>
              <w:t>.</w:t>
            </w:r>
          </w:p>
          <w:p w14:paraId="01F22D1D" w14:textId="0B5049D6" w:rsidR="00332E33" w:rsidRPr="001A5C3F" w:rsidRDefault="00932AF4" w:rsidP="001D32F6">
            <w:pPr>
              <w:pStyle w:val="Tabletext"/>
              <w:rPr>
                <w:sz w:val="18"/>
                <w:szCs w:val="18"/>
              </w:rPr>
            </w:pPr>
            <w:r w:rsidRPr="00932AF4">
              <w:rPr>
                <w:sz w:val="18"/>
                <w:szCs w:val="18"/>
              </w:rPr>
              <w:t>Le Projet de l</w:t>
            </w:r>
            <w:r w:rsidR="00E14E13">
              <w:rPr>
                <w:sz w:val="18"/>
                <w:szCs w:val="18"/>
              </w:rPr>
              <w:t>'</w:t>
            </w:r>
            <w:r w:rsidRPr="00932AF4">
              <w:rPr>
                <w:sz w:val="18"/>
                <w:szCs w:val="18"/>
              </w:rPr>
              <w:t>UIT s</w:t>
            </w:r>
            <w:r>
              <w:rPr>
                <w:sz w:val="18"/>
                <w:szCs w:val="18"/>
              </w:rPr>
              <w:t>ur la culture et les compétences a été conçu et mis en œuvre sur la base d</w:t>
            </w:r>
            <w:r w:rsidR="00E14E13">
              <w:rPr>
                <w:sz w:val="18"/>
                <w:szCs w:val="18"/>
              </w:rPr>
              <w:t>'</w:t>
            </w:r>
            <w:r>
              <w:rPr>
                <w:sz w:val="18"/>
                <w:szCs w:val="18"/>
              </w:rPr>
              <w:t>une approche inclusive fondée sur des consultations menées à l</w:t>
            </w:r>
            <w:r w:rsidR="00E14E13">
              <w:rPr>
                <w:sz w:val="18"/>
                <w:szCs w:val="18"/>
              </w:rPr>
              <w:t>'</w:t>
            </w:r>
            <w:r>
              <w:rPr>
                <w:sz w:val="18"/>
                <w:szCs w:val="18"/>
              </w:rPr>
              <w:t>échelle de l</w:t>
            </w:r>
            <w:r w:rsidR="00E14E13">
              <w:rPr>
                <w:sz w:val="18"/>
                <w:szCs w:val="18"/>
              </w:rPr>
              <w:t>'</w:t>
            </w:r>
            <w:r>
              <w:rPr>
                <w:sz w:val="18"/>
                <w:szCs w:val="18"/>
              </w:rPr>
              <w:t>UIT.</w:t>
            </w:r>
            <w:r w:rsidR="00982BDD">
              <w:rPr>
                <w:sz w:val="18"/>
                <w:szCs w:val="18"/>
              </w:rPr>
              <w:t xml:space="preserve"> Plus de 400 </w:t>
            </w:r>
            <w:r w:rsidR="00852168">
              <w:rPr>
                <w:sz w:val="18"/>
                <w:szCs w:val="18"/>
              </w:rPr>
              <w:t xml:space="preserve">fonctionnaires </w:t>
            </w:r>
            <w:r w:rsidR="00982BDD">
              <w:rPr>
                <w:sz w:val="18"/>
                <w:szCs w:val="18"/>
              </w:rPr>
              <w:t xml:space="preserve">et </w:t>
            </w:r>
            <w:r w:rsidR="00852168">
              <w:rPr>
                <w:sz w:val="18"/>
                <w:szCs w:val="18"/>
              </w:rPr>
              <w:t xml:space="preserve">membres </w:t>
            </w:r>
            <w:r w:rsidR="00982BDD">
              <w:rPr>
                <w:sz w:val="18"/>
                <w:szCs w:val="18"/>
              </w:rPr>
              <w:t>de l</w:t>
            </w:r>
            <w:r w:rsidR="00E14E13">
              <w:rPr>
                <w:sz w:val="18"/>
                <w:szCs w:val="18"/>
              </w:rPr>
              <w:t>'</w:t>
            </w:r>
            <w:r w:rsidR="00982BDD">
              <w:rPr>
                <w:sz w:val="18"/>
                <w:szCs w:val="18"/>
              </w:rPr>
              <w:t>équipe de direction ont joué un rôle actif au moyen d</w:t>
            </w:r>
            <w:r w:rsidR="00E14E13">
              <w:rPr>
                <w:sz w:val="18"/>
                <w:szCs w:val="18"/>
              </w:rPr>
              <w:t>'</w:t>
            </w:r>
            <w:r w:rsidR="00982BDD">
              <w:rPr>
                <w:sz w:val="18"/>
                <w:szCs w:val="18"/>
              </w:rPr>
              <w:t>enquêtes, de groupes de travail, d</w:t>
            </w:r>
            <w:r w:rsidR="00E14E13">
              <w:rPr>
                <w:sz w:val="18"/>
                <w:szCs w:val="18"/>
              </w:rPr>
              <w:t>'</w:t>
            </w:r>
            <w:r w:rsidR="00982BDD">
              <w:rPr>
                <w:sz w:val="18"/>
                <w:szCs w:val="18"/>
              </w:rPr>
              <w:t xml:space="preserve">entretiens et de réunions </w:t>
            </w:r>
            <w:r w:rsidR="00064EC1">
              <w:rPr>
                <w:sz w:val="18"/>
                <w:szCs w:val="18"/>
              </w:rPr>
              <w:t xml:space="preserve">publiques </w:t>
            </w:r>
            <w:r w:rsidR="00982BDD">
              <w:rPr>
                <w:sz w:val="18"/>
                <w:szCs w:val="18"/>
              </w:rPr>
              <w:t>d</w:t>
            </w:r>
            <w:r w:rsidR="00E14E13">
              <w:rPr>
                <w:sz w:val="18"/>
                <w:szCs w:val="18"/>
              </w:rPr>
              <w:t>'</w:t>
            </w:r>
            <w:r w:rsidR="00A55D59">
              <w:rPr>
                <w:sz w:val="18"/>
                <w:szCs w:val="18"/>
              </w:rPr>
              <w:t>information/</w:t>
            </w:r>
            <w:r w:rsidR="00982BDD">
              <w:rPr>
                <w:sz w:val="18"/>
                <w:szCs w:val="18"/>
              </w:rPr>
              <w:t>de séances de questions-réponses</w:t>
            </w:r>
            <w:r w:rsidR="007F43CA" w:rsidRPr="00982BDD">
              <w:rPr>
                <w:sz w:val="18"/>
                <w:szCs w:val="18"/>
              </w:rPr>
              <w:t>.</w:t>
            </w:r>
            <w:r w:rsidR="00332E33">
              <w:rPr>
                <w:sz w:val="18"/>
                <w:szCs w:val="18"/>
              </w:rPr>
              <w:t xml:space="preserve"> Une équipe de projet intersectorielle a coordonné le processus.</w:t>
            </w:r>
          </w:p>
          <w:p w14:paraId="00363A4E" w14:textId="6A334B7E" w:rsidR="007F43CA" w:rsidRPr="007B6CE7" w:rsidRDefault="00332E33" w:rsidP="001D32F6">
            <w:pPr>
              <w:pStyle w:val="Tabletext"/>
              <w:rPr>
                <w:sz w:val="18"/>
                <w:szCs w:val="18"/>
              </w:rPr>
            </w:pPr>
            <w:r w:rsidRPr="001A5C3F">
              <w:rPr>
                <w:sz w:val="18"/>
                <w:szCs w:val="18"/>
              </w:rPr>
              <w:t xml:space="preserve">Sur la base des résultats </w:t>
            </w:r>
            <w:r w:rsidR="001A5C3F">
              <w:rPr>
                <w:sz w:val="18"/>
                <w:szCs w:val="18"/>
              </w:rPr>
              <w:t>de l</w:t>
            </w:r>
            <w:r w:rsidR="00E14E13">
              <w:rPr>
                <w:sz w:val="18"/>
                <w:szCs w:val="18"/>
              </w:rPr>
              <w:t>'</w:t>
            </w:r>
            <w:r w:rsidR="001A5C3F">
              <w:rPr>
                <w:sz w:val="18"/>
                <w:szCs w:val="18"/>
              </w:rPr>
              <w:t xml:space="preserve">examen </w:t>
            </w:r>
            <w:r w:rsidR="00F94381">
              <w:rPr>
                <w:sz w:val="18"/>
                <w:szCs w:val="18"/>
              </w:rPr>
              <w:t>approfondi, un plan pour la transformation de l</w:t>
            </w:r>
            <w:r w:rsidR="00E14E13">
              <w:rPr>
                <w:sz w:val="18"/>
                <w:szCs w:val="18"/>
              </w:rPr>
              <w:t>'</w:t>
            </w:r>
            <w:r w:rsidR="00F94381">
              <w:rPr>
                <w:sz w:val="18"/>
                <w:szCs w:val="18"/>
              </w:rPr>
              <w:t xml:space="preserve">UIT a été élaboré en </w:t>
            </w:r>
            <w:r w:rsidR="00F94381">
              <w:rPr>
                <w:sz w:val="18"/>
                <w:szCs w:val="18"/>
              </w:rPr>
              <w:lastRenderedPageBreak/>
              <w:t>collaboration avec McKinsey, dans le but de transposer cette analyse sous la forme de mesures</w:t>
            </w:r>
            <w:r w:rsidR="007F43CA" w:rsidRPr="007B6CE7">
              <w:rPr>
                <w:sz w:val="18"/>
                <w:szCs w:val="18"/>
              </w:rPr>
              <w:t>.</w:t>
            </w:r>
          </w:p>
        </w:tc>
      </w:tr>
      <w:tr w:rsidR="007F43CA" w:rsidRPr="007F43CA" w14:paraId="25F82A9A" w14:textId="77777777" w:rsidTr="005817FB">
        <w:tc>
          <w:tcPr>
            <w:tcW w:w="494" w:type="dxa"/>
            <w:vMerge w:val="restart"/>
            <w:shd w:val="clear" w:color="auto" w:fill="FDE9D9" w:themeFill="accent6" w:themeFillTint="33"/>
          </w:tcPr>
          <w:p w14:paraId="6BC7E8C2" w14:textId="77777777"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lastRenderedPageBreak/>
              <w:t>2.4</w:t>
            </w:r>
          </w:p>
        </w:tc>
        <w:tc>
          <w:tcPr>
            <w:tcW w:w="1547" w:type="dxa"/>
            <w:vMerge w:val="restart"/>
            <w:shd w:val="clear" w:color="auto" w:fill="FDE9D9" w:themeFill="accent6" w:themeFillTint="33"/>
          </w:tcPr>
          <w:p w14:paraId="6F393AAF" w14:textId="172F37CC" w:rsidR="007F43CA" w:rsidRPr="007F43CA" w:rsidRDefault="007F43CA" w:rsidP="001D32F6">
            <w:pPr>
              <w:pStyle w:val="Tabletext"/>
              <w:keepLines/>
              <w:rPr>
                <w:rFonts w:asciiTheme="minorHAnsi" w:hAnsiTheme="minorHAnsi" w:cstheme="minorHAnsi"/>
                <w:sz w:val="18"/>
                <w:szCs w:val="18"/>
              </w:rPr>
            </w:pPr>
            <w:r w:rsidRPr="007F43CA">
              <w:rPr>
                <w:rFonts w:asciiTheme="minorHAnsi" w:hAnsiTheme="minorHAnsi" w:cstheme="minorHAnsi"/>
                <w:sz w:val="18"/>
                <w:szCs w:val="18"/>
              </w:rPr>
              <w:t xml:space="preserve">La formation et le perfectionnement du personnel comme moyen essentiel pour </w:t>
            </w:r>
            <w:r w:rsidRPr="007F43CA">
              <w:rPr>
                <w:rFonts w:asciiTheme="minorHAnsi" w:hAnsiTheme="minorHAnsi" w:cstheme="minorHAnsi"/>
                <w:iCs/>
                <w:sz w:val="18"/>
                <w:szCs w:val="18"/>
              </w:rPr>
              <w:t>garantir le perfectionnement constant des fonctionnaires de l</w:t>
            </w:r>
            <w:r w:rsidR="00E14E13">
              <w:rPr>
                <w:rFonts w:asciiTheme="minorHAnsi" w:hAnsiTheme="minorHAnsi" w:cstheme="minorHAnsi"/>
                <w:iCs/>
                <w:sz w:val="18"/>
                <w:szCs w:val="18"/>
              </w:rPr>
              <w:t>'</w:t>
            </w:r>
            <w:r w:rsidRPr="007F43CA">
              <w:rPr>
                <w:rFonts w:asciiTheme="minorHAnsi" w:hAnsiTheme="minorHAnsi" w:cstheme="minorHAnsi"/>
                <w:iCs/>
                <w:sz w:val="18"/>
                <w:szCs w:val="18"/>
              </w:rPr>
              <w:t>UIT en vue d</w:t>
            </w:r>
            <w:r w:rsidR="00E14E13">
              <w:rPr>
                <w:rFonts w:asciiTheme="minorHAnsi" w:hAnsiTheme="minorHAnsi" w:cstheme="minorHAnsi"/>
                <w:iCs/>
                <w:sz w:val="18"/>
                <w:szCs w:val="18"/>
              </w:rPr>
              <w:t>'</w:t>
            </w:r>
            <w:r w:rsidRPr="007F43CA">
              <w:rPr>
                <w:rFonts w:asciiTheme="minorHAnsi" w:hAnsiTheme="minorHAnsi" w:cstheme="minorHAnsi"/>
                <w:iCs/>
                <w:sz w:val="18"/>
                <w:szCs w:val="18"/>
              </w:rPr>
              <w:t>atteindre les buts de l</w:t>
            </w:r>
            <w:r w:rsidR="00E14E13">
              <w:rPr>
                <w:rFonts w:asciiTheme="minorHAnsi" w:hAnsiTheme="minorHAnsi" w:cstheme="minorHAnsi"/>
                <w:iCs/>
                <w:sz w:val="18"/>
                <w:szCs w:val="18"/>
              </w:rPr>
              <w:t>'</w:t>
            </w:r>
            <w:r w:rsidRPr="007F43CA">
              <w:rPr>
                <w:rFonts w:asciiTheme="minorHAnsi" w:hAnsiTheme="minorHAnsi" w:cstheme="minorHAnsi"/>
                <w:iCs/>
                <w:sz w:val="18"/>
                <w:szCs w:val="18"/>
              </w:rPr>
              <w:t>organisation</w:t>
            </w:r>
          </w:p>
        </w:tc>
        <w:tc>
          <w:tcPr>
            <w:tcW w:w="2626" w:type="dxa"/>
            <w:tcBorders>
              <w:top w:val="single" w:sz="4" w:space="0" w:color="auto"/>
              <w:bottom w:val="single" w:sz="4" w:space="0" w:color="auto"/>
            </w:tcBorders>
            <w:shd w:val="clear" w:color="auto" w:fill="FDE9D9" w:themeFill="accent6" w:themeFillTint="33"/>
          </w:tcPr>
          <w:p w14:paraId="018D2E1C" w14:textId="53CC5D27" w:rsidR="007F43CA" w:rsidRPr="007F43CA" w:rsidRDefault="007F43CA" w:rsidP="001D32F6">
            <w:pPr>
              <w:pStyle w:val="Tabletext"/>
              <w:tabs>
                <w:tab w:val="left" w:pos="301"/>
              </w:tabs>
              <w:ind w:left="249" w:hanging="249"/>
              <w:rPr>
                <w:rFonts w:asciiTheme="minorHAnsi" w:hAnsiTheme="minorHAnsi" w:cstheme="minorHAnsi"/>
                <w:sz w:val="18"/>
                <w:szCs w:val="18"/>
              </w:rPr>
            </w:pPr>
            <w:r w:rsidRPr="007F43CA">
              <w:rPr>
                <w:rFonts w:asciiTheme="minorHAnsi" w:hAnsiTheme="minorHAnsi" w:cstheme="minorHAnsi"/>
                <w:sz w:val="18"/>
                <w:szCs w:val="18"/>
              </w:rPr>
              <w:t>1</w:t>
            </w:r>
            <w:r w:rsidRPr="007F43CA">
              <w:rPr>
                <w:rFonts w:asciiTheme="minorHAnsi" w:hAnsiTheme="minorHAnsi" w:cstheme="minorHAnsi"/>
                <w:sz w:val="18"/>
                <w:szCs w:val="18"/>
              </w:rPr>
              <w:tab/>
              <w:t>Revoir la politique de formation et de perfectionnement de l</w:t>
            </w:r>
            <w:r w:rsidR="00E14E13">
              <w:rPr>
                <w:rFonts w:asciiTheme="minorHAnsi" w:hAnsiTheme="minorHAnsi" w:cstheme="minorHAnsi"/>
                <w:sz w:val="18"/>
                <w:szCs w:val="18"/>
              </w:rPr>
              <w:t>'</w:t>
            </w:r>
            <w:r w:rsidRPr="007F43CA">
              <w:rPr>
                <w:rFonts w:asciiTheme="minorHAnsi" w:hAnsiTheme="minorHAnsi" w:cstheme="minorHAnsi"/>
                <w:sz w:val="18"/>
                <w:szCs w:val="18"/>
              </w:rPr>
              <w:t>UIT, en adoptant un nouveau modèle de leadership (plus inclusif, horizontal, etc.) et sur la base d</w:t>
            </w:r>
            <w:r w:rsidR="00E14E13">
              <w:rPr>
                <w:rFonts w:asciiTheme="minorHAnsi" w:hAnsiTheme="minorHAnsi" w:cstheme="minorHAnsi"/>
                <w:sz w:val="18"/>
                <w:szCs w:val="18"/>
              </w:rPr>
              <w:t>'</w:t>
            </w:r>
            <w:r w:rsidRPr="007F43CA">
              <w:rPr>
                <w:rFonts w:asciiTheme="minorHAnsi" w:hAnsiTheme="minorHAnsi" w:cstheme="minorHAnsi"/>
                <w:sz w:val="18"/>
                <w:szCs w:val="18"/>
              </w:rPr>
              <w:t>affectations en cours d</w:t>
            </w:r>
            <w:r w:rsidR="00E14E13">
              <w:rPr>
                <w:rFonts w:asciiTheme="minorHAnsi" w:hAnsiTheme="minorHAnsi" w:cstheme="minorHAnsi"/>
                <w:sz w:val="18"/>
                <w:szCs w:val="18"/>
              </w:rPr>
              <w:t>'</w:t>
            </w:r>
            <w:r w:rsidRPr="007F43CA">
              <w:rPr>
                <w:rFonts w:asciiTheme="minorHAnsi" w:hAnsiTheme="minorHAnsi" w:cstheme="minorHAnsi"/>
                <w:sz w:val="18"/>
                <w:szCs w:val="18"/>
              </w:rPr>
              <w:t>emploi</w:t>
            </w:r>
          </w:p>
        </w:tc>
        <w:tc>
          <w:tcPr>
            <w:tcW w:w="1879" w:type="dxa"/>
            <w:tcBorders>
              <w:top w:val="single" w:sz="4" w:space="0" w:color="auto"/>
              <w:bottom w:val="single" w:sz="4" w:space="0" w:color="auto"/>
            </w:tcBorders>
            <w:shd w:val="clear" w:color="auto" w:fill="FDE9D9" w:themeFill="accent6" w:themeFillTint="33"/>
          </w:tcPr>
          <w:p w14:paraId="202E9641" w14:textId="112729D0" w:rsidR="007F43CA" w:rsidRPr="007F43CA" w:rsidRDefault="007F43CA" w:rsidP="001D32F6">
            <w:pPr>
              <w:pStyle w:val="Tabletext"/>
              <w:keepLines/>
              <w:tabs>
                <w:tab w:val="left" w:pos="178"/>
              </w:tabs>
              <w:ind w:left="178" w:hanging="178"/>
              <w:rPr>
                <w:rFonts w:asciiTheme="minorHAnsi" w:hAnsiTheme="minorHAnsi" w:cstheme="minorHAnsi"/>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Politique révisée et intégrée dans le système de gestion de la performance du personnel de l</w:t>
            </w:r>
            <w:r w:rsidR="00E14E13">
              <w:rPr>
                <w:rFonts w:asciiTheme="minorHAnsi" w:hAnsiTheme="minorHAnsi" w:cstheme="minorHAnsi"/>
                <w:sz w:val="18"/>
                <w:szCs w:val="18"/>
              </w:rPr>
              <w:t>'</w:t>
            </w:r>
            <w:r w:rsidRPr="007F43CA">
              <w:rPr>
                <w:rFonts w:asciiTheme="minorHAnsi" w:hAnsiTheme="minorHAnsi" w:cstheme="minorHAnsi"/>
                <w:sz w:val="18"/>
                <w:szCs w:val="18"/>
              </w:rPr>
              <w:t>UIT grâce à des objectifs de formation (à court terme); pourcentage d</w:t>
            </w:r>
            <w:r w:rsidR="00E14E13">
              <w:rPr>
                <w:rFonts w:asciiTheme="minorHAnsi" w:hAnsiTheme="minorHAnsi" w:cstheme="minorHAnsi"/>
                <w:sz w:val="18"/>
                <w:szCs w:val="18"/>
              </w:rPr>
              <w:t>'</w:t>
            </w:r>
            <w:r w:rsidRPr="007F43CA">
              <w:rPr>
                <w:rFonts w:asciiTheme="minorHAnsi" w:hAnsiTheme="minorHAnsi" w:cstheme="minorHAnsi"/>
                <w:sz w:val="18"/>
                <w:szCs w:val="18"/>
              </w:rPr>
              <w:t>objectifs de formation conformes à la politique; pourcentage de demandes de formation soumises au Département HRMD qui sont conformes à la politique</w:t>
            </w:r>
          </w:p>
        </w:tc>
        <w:tc>
          <w:tcPr>
            <w:tcW w:w="1591" w:type="dxa"/>
            <w:tcBorders>
              <w:top w:val="single" w:sz="4" w:space="0" w:color="auto"/>
              <w:bottom w:val="single" w:sz="4" w:space="0" w:color="auto"/>
            </w:tcBorders>
            <w:shd w:val="clear" w:color="auto" w:fill="FDE9D9" w:themeFill="accent6" w:themeFillTint="33"/>
          </w:tcPr>
          <w:p w14:paraId="36470A4A" w14:textId="77777777" w:rsidR="007F43CA" w:rsidRPr="007F43CA" w:rsidRDefault="007F43CA" w:rsidP="001D32F6">
            <w:pPr>
              <w:pStyle w:val="Tabletext"/>
              <w:keepLines/>
              <w:rPr>
                <w:rFonts w:asciiTheme="minorHAnsi" w:hAnsiTheme="minorHAnsi" w:cstheme="minorHAnsi"/>
                <w:sz w:val="18"/>
                <w:szCs w:val="18"/>
              </w:rPr>
            </w:pPr>
          </w:p>
        </w:tc>
        <w:tc>
          <w:tcPr>
            <w:tcW w:w="1205" w:type="dxa"/>
            <w:tcBorders>
              <w:top w:val="single" w:sz="4" w:space="0" w:color="auto"/>
              <w:bottom w:val="single" w:sz="4" w:space="0" w:color="auto"/>
            </w:tcBorders>
            <w:shd w:val="clear" w:color="auto" w:fill="FDE9D9" w:themeFill="accent6" w:themeFillTint="33"/>
          </w:tcPr>
          <w:p w14:paraId="5E629395" w14:textId="31162DD9" w:rsidR="007F43CA" w:rsidRPr="007F43CA" w:rsidRDefault="007F43CA" w:rsidP="001D32F6">
            <w:pPr>
              <w:pStyle w:val="Tabletext"/>
              <w:keepLines/>
              <w:rPr>
                <w:rFonts w:asciiTheme="minorHAnsi" w:hAnsiTheme="minorHAnsi" w:cstheme="minorHAnsi"/>
                <w:sz w:val="18"/>
                <w:szCs w:val="18"/>
              </w:rPr>
            </w:pPr>
            <w:r w:rsidRPr="007F43CA">
              <w:rPr>
                <w:rFonts w:asciiTheme="minorHAnsi" w:hAnsiTheme="minorHAnsi" w:cstheme="minorHAnsi"/>
                <w:sz w:val="18"/>
                <w:szCs w:val="18"/>
              </w:rPr>
              <w:t>2020-2021</w:t>
            </w:r>
          </w:p>
        </w:tc>
        <w:tc>
          <w:tcPr>
            <w:tcW w:w="4687" w:type="dxa"/>
            <w:tcBorders>
              <w:top w:val="single" w:sz="4" w:space="0" w:color="auto"/>
              <w:bottom w:val="single" w:sz="4" w:space="0" w:color="auto"/>
            </w:tcBorders>
            <w:shd w:val="clear" w:color="auto" w:fill="FDE9D9" w:themeFill="accent6" w:themeFillTint="33"/>
          </w:tcPr>
          <w:p w14:paraId="4FBBA5A4" w14:textId="781EC3A8" w:rsidR="007F43CA" w:rsidRPr="007B6CE7" w:rsidRDefault="007B6CE7" w:rsidP="001D32F6">
            <w:pPr>
              <w:pStyle w:val="Tabletext"/>
              <w:rPr>
                <w:rFonts w:asciiTheme="minorHAnsi" w:hAnsiTheme="minorHAnsi" w:cstheme="minorHAnsi"/>
                <w:sz w:val="18"/>
                <w:szCs w:val="18"/>
              </w:rPr>
            </w:pPr>
            <w:r w:rsidRPr="007B6CE7">
              <w:rPr>
                <w:rFonts w:asciiTheme="minorHAnsi" w:hAnsiTheme="minorHAnsi" w:cstheme="minorHAnsi"/>
                <w:sz w:val="18"/>
                <w:szCs w:val="18"/>
              </w:rPr>
              <w:t>La mise en œuvre d</w:t>
            </w:r>
            <w:r w:rsidR="00E14E13">
              <w:rPr>
                <w:rFonts w:asciiTheme="minorHAnsi" w:hAnsiTheme="minorHAnsi" w:cstheme="minorHAnsi"/>
                <w:sz w:val="18"/>
                <w:szCs w:val="18"/>
              </w:rPr>
              <w:t>'</w:t>
            </w:r>
            <w:r>
              <w:rPr>
                <w:rFonts w:asciiTheme="minorHAnsi" w:hAnsiTheme="minorHAnsi" w:cstheme="minorHAnsi"/>
                <w:sz w:val="18"/>
                <w:szCs w:val="18"/>
              </w:rPr>
              <w:t>un système de gestion électronique de la formation a été lancée en 2021, au terme de l</w:t>
            </w:r>
            <w:r w:rsidR="00E14E13">
              <w:rPr>
                <w:rFonts w:asciiTheme="minorHAnsi" w:hAnsiTheme="minorHAnsi" w:cstheme="minorHAnsi"/>
                <w:sz w:val="18"/>
                <w:szCs w:val="18"/>
              </w:rPr>
              <w:t>'</w:t>
            </w:r>
            <w:r>
              <w:rPr>
                <w:rFonts w:asciiTheme="minorHAnsi" w:hAnsiTheme="minorHAnsi" w:cstheme="minorHAnsi"/>
                <w:sz w:val="18"/>
                <w:szCs w:val="18"/>
              </w:rPr>
              <w:t>appel d</w:t>
            </w:r>
            <w:r w:rsidR="00E14E13">
              <w:rPr>
                <w:rFonts w:asciiTheme="minorHAnsi" w:hAnsiTheme="minorHAnsi" w:cstheme="minorHAnsi"/>
                <w:sz w:val="18"/>
                <w:szCs w:val="18"/>
              </w:rPr>
              <w:t>'</w:t>
            </w:r>
            <w:r>
              <w:rPr>
                <w:rFonts w:asciiTheme="minorHAnsi" w:hAnsiTheme="minorHAnsi" w:cstheme="minorHAnsi"/>
                <w:sz w:val="18"/>
                <w:szCs w:val="18"/>
              </w:rPr>
              <w:t xml:space="preserve">offres nécessaire, mené à bien en 2020. Le système </w:t>
            </w:r>
            <w:r w:rsidR="00852168">
              <w:rPr>
                <w:rFonts w:asciiTheme="minorHAnsi" w:hAnsiTheme="minorHAnsi" w:cstheme="minorHAnsi"/>
                <w:sz w:val="18"/>
                <w:szCs w:val="18"/>
              </w:rPr>
              <w:t>est devenu pleinement opérationnel</w:t>
            </w:r>
            <w:r w:rsidR="00A55D59">
              <w:rPr>
                <w:rFonts w:asciiTheme="minorHAnsi" w:hAnsiTheme="minorHAnsi" w:cstheme="minorHAnsi"/>
                <w:sz w:val="18"/>
                <w:szCs w:val="18"/>
              </w:rPr>
              <w:t xml:space="preserve"> et a été lancé le 19 </w:t>
            </w:r>
            <w:r>
              <w:rPr>
                <w:rFonts w:asciiTheme="minorHAnsi" w:hAnsiTheme="minorHAnsi" w:cstheme="minorHAnsi"/>
                <w:sz w:val="18"/>
                <w:szCs w:val="18"/>
              </w:rPr>
              <w:t>janvier 2022</w:t>
            </w:r>
            <w:r w:rsidR="007F43CA" w:rsidRPr="007B6CE7">
              <w:rPr>
                <w:rFonts w:asciiTheme="minorHAnsi" w:hAnsiTheme="minorHAnsi" w:cstheme="minorHAnsi"/>
                <w:sz w:val="18"/>
                <w:szCs w:val="18"/>
              </w:rPr>
              <w:t>.</w:t>
            </w:r>
          </w:p>
          <w:p w14:paraId="7A808906" w14:textId="2950AC34" w:rsidR="007F43CA" w:rsidRPr="00A6162E" w:rsidRDefault="007B6CE7" w:rsidP="001D32F6">
            <w:pPr>
              <w:pStyle w:val="Tabletext"/>
              <w:rPr>
                <w:rFonts w:asciiTheme="minorHAnsi" w:hAnsiTheme="minorHAnsi" w:cstheme="minorHAnsi"/>
                <w:sz w:val="18"/>
                <w:szCs w:val="18"/>
              </w:rPr>
            </w:pPr>
            <w:r w:rsidRPr="007B6CE7">
              <w:rPr>
                <w:rFonts w:asciiTheme="minorHAnsi" w:hAnsiTheme="minorHAnsi" w:cstheme="minorHAnsi"/>
                <w:sz w:val="18"/>
                <w:szCs w:val="18"/>
              </w:rPr>
              <w:t>Le nouveau système de g</w:t>
            </w:r>
            <w:r>
              <w:rPr>
                <w:rFonts w:asciiTheme="minorHAnsi" w:hAnsiTheme="minorHAnsi" w:cstheme="minorHAnsi"/>
                <w:sz w:val="18"/>
                <w:szCs w:val="18"/>
              </w:rPr>
              <w:t xml:space="preserve">estion électronique de la formation </w:t>
            </w:r>
            <w:r w:rsidR="00852168">
              <w:rPr>
                <w:rFonts w:asciiTheme="minorHAnsi" w:hAnsiTheme="minorHAnsi" w:cstheme="minorHAnsi"/>
                <w:sz w:val="18"/>
                <w:szCs w:val="18"/>
              </w:rPr>
              <w:t>fait partie intégrante du</w:t>
            </w:r>
            <w:r>
              <w:rPr>
                <w:rFonts w:asciiTheme="minorHAnsi" w:hAnsiTheme="minorHAnsi" w:cstheme="minorHAnsi"/>
                <w:sz w:val="18"/>
                <w:szCs w:val="18"/>
              </w:rPr>
              <w:t xml:space="preserve"> système de gestion </w:t>
            </w:r>
            <w:r w:rsidR="00852168">
              <w:rPr>
                <w:rFonts w:asciiTheme="minorHAnsi" w:hAnsiTheme="minorHAnsi" w:cstheme="minorHAnsi"/>
                <w:sz w:val="18"/>
                <w:szCs w:val="18"/>
              </w:rPr>
              <w:t>du comportement professionnel</w:t>
            </w:r>
            <w:r w:rsidR="00CA7B94">
              <w:rPr>
                <w:rFonts w:asciiTheme="minorHAnsi" w:hAnsiTheme="minorHAnsi" w:cstheme="minorHAnsi"/>
                <w:sz w:val="18"/>
                <w:szCs w:val="18"/>
              </w:rPr>
              <w:t>. Il permet d</w:t>
            </w:r>
            <w:r w:rsidR="00E14E13">
              <w:rPr>
                <w:rFonts w:asciiTheme="minorHAnsi" w:hAnsiTheme="minorHAnsi" w:cstheme="minorHAnsi"/>
                <w:sz w:val="18"/>
                <w:szCs w:val="18"/>
              </w:rPr>
              <w:t>'</w:t>
            </w:r>
            <w:r w:rsidR="00CA7B94">
              <w:rPr>
                <w:rFonts w:asciiTheme="minorHAnsi" w:hAnsiTheme="minorHAnsi" w:cstheme="minorHAnsi"/>
                <w:sz w:val="18"/>
                <w:szCs w:val="18"/>
              </w:rPr>
              <w:t>accéder facilement aux formations obligatoires, ce qui améliorera la responsabilisation de l</w:t>
            </w:r>
            <w:r w:rsidR="00E14E13">
              <w:rPr>
                <w:rFonts w:asciiTheme="minorHAnsi" w:hAnsiTheme="minorHAnsi" w:cstheme="minorHAnsi"/>
                <w:sz w:val="18"/>
                <w:szCs w:val="18"/>
              </w:rPr>
              <w:t>'</w:t>
            </w:r>
            <w:r w:rsidR="00CA7B94">
              <w:rPr>
                <w:rFonts w:asciiTheme="minorHAnsi" w:hAnsiTheme="minorHAnsi" w:cstheme="minorHAnsi"/>
                <w:sz w:val="18"/>
                <w:szCs w:val="18"/>
              </w:rPr>
              <w:t>UIT au regard de l</w:t>
            </w:r>
            <w:r w:rsidR="00E14E13">
              <w:rPr>
                <w:rFonts w:asciiTheme="minorHAnsi" w:hAnsiTheme="minorHAnsi" w:cstheme="minorHAnsi"/>
                <w:sz w:val="18"/>
                <w:szCs w:val="18"/>
              </w:rPr>
              <w:t>'</w:t>
            </w:r>
            <w:r w:rsidR="00CA7B94">
              <w:rPr>
                <w:rFonts w:asciiTheme="minorHAnsi" w:hAnsiTheme="minorHAnsi" w:cstheme="minorHAnsi"/>
                <w:sz w:val="18"/>
                <w:szCs w:val="18"/>
              </w:rPr>
              <w:t>audit interne et de la vérification extérieure. L</w:t>
            </w:r>
            <w:r w:rsidR="00E14E13">
              <w:rPr>
                <w:rFonts w:asciiTheme="minorHAnsi" w:hAnsiTheme="minorHAnsi" w:cstheme="minorHAnsi"/>
                <w:sz w:val="18"/>
                <w:szCs w:val="18"/>
              </w:rPr>
              <w:t>'</w:t>
            </w:r>
            <w:r w:rsidR="00CA7B94">
              <w:rPr>
                <w:rFonts w:asciiTheme="minorHAnsi" w:hAnsiTheme="minorHAnsi" w:cstheme="minorHAnsi"/>
                <w:sz w:val="18"/>
                <w:szCs w:val="18"/>
              </w:rPr>
              <w:t>outil est convivial et a été intégré avec les fournisseurs de confiance de l</w:t>
            </w:r>
            <w:r w:rsidR="00E14E13">
              <w:rPr>
                <w:rFonts w:asciiTheme="minorHAnsi" w:hAnsiTheme="minorHAnsi" w:cstheme="minorHAnsi"/>
                <w:sz w:val="18"/>
                <w:szCs w:val="18"/>
              </w:rPr>
              <w:t>'</w:t>
            </w:r>
            <w:r w:rsidR="00CA7B94">
              <w:rPr>
                <w:rFonts w:asciiTheme="minorHAnsi" w:hAnsiTheme="minorHAnsi" w:cstheme="minorHAnsi"/>
                <w:sz w:val="18"/>
                <w:szCs w:val="18"/>
              </w:rPr>
              <w:t>UIT, dont LinkedIn</w:t>
            </w:r>
            <w:r w:rsidR="007F43CA" w:rsidRPr="00CA7B94">
              <w:rPr>
                <w:rFonts w:asciiTheme="minorHAnsi" w:hAnsiTheme="minorHAnsi" w:cstheme="minorHAnsi"/>
                <w:sz w:val="18"/>
                <w:szCs w:val="18"/>
              </w:rPr>
              <w:t xml:space="preserve">. </w:t>
            </w:r>
            <w:r w:rsidR="00CA7B94" w:rsidRPr="00CA7B94">
              <w:rPr>
                <w:rFonts w:asciiTheme="minorHAnsi" w:hAnsiTheme="minorHAnsi" w:cstheme="minorHAnsi"/>
                <w:sz w:val="18"/>
                <w:szCs w:val="18"/>
              </w:rPr>
              <w:t>Plus de</w:t>
            </w:r>
            <w:r w:rsidR="007F43CA" w:rsidRPr="00CA7B94">
              <w:rPr>
                <w:rFonts w:asciiTheme="minorHAnsi" w:hAnsiTheme="minorHAnsi" w:cstheme="minorHAnsi"/>
                <w:sz w:val="18"/>
                <w:szCs w:val="18"/>
              </w:rPr>
              <w:t xml:space="preserve"> 16</w:t>
            </w:r>
            <w:r w:rsidR="00CA7B94" w:rsidRPr="00CA7B94">
              <w:rPr>
                <w:rFonts w:asciiTheme="minorHAnsi" w:hAnsiTheme="minorHAnsi" w:cstheme="minorHAnsi"/>
                <w:sz w:val="18"/>
                <w:szCs w:val="18"/>
              </w:rPr>
              <w:t xml:space="preserve"> </w:t>
            </w:r>
            <w:r w:rsidR="007F43CA" w:rsidRPr="00CA7B94">
              <w:rPr>
                <w:rFonts w:asciiTheme="minorHAnsi" w:hAnsiTheme="minorHAnsi" w:cstheme="minorHAnsi"/>
                <w:sz w:val="18"/>
                <w:szCs w:val="18"/>
              </w:rPr>
              <w:t xml:space="preserve">000 </w:t>
            </w:r>
            <w:r w:rsidR="00CA7B94" w:rsidRPr="00CA7B94">
              <w:rPr>
                <w:rFonts w:asciiTheme="minorHAnsi" w:hAnsiTheme="minorHAnsi" w:cstheme="minorHAnsi"/>
                <w:sz w:val="18"/>
                <w:szCs w:val="18"/>
              </w:rPr>
              <w:t xml:space="preserve">cours de formation sont </w:t>
            </w:r>
            <w:r w:rsidR="00852168">
              <w:rPr>
                <w:rFonts w:asciiTheme="minorHAnsi" w:hAnsiTheme="minorHAnsi" w:cstheme="minorHAnsi"/>
                <w:sz w:val="18"/>
                <w:szCs w:val="18"/>
              </w:rPr>
              <w:t>offerts</w:t>
            </w:r>
            <w:r w:rsidR="00CA7B94" w:rsidRPr="00CA7B94">
              <w:rPr>
                <w:rFonts w:asciiTheme="minorHAnsi" w:hAnsiTheme="minorHAnsi" w:cstheme="minorHAnsi"/>
                <w:sz w:val="18"/>
                <w:szCs w:val="18"/>
              </w:rPr>
              <w:t>, et il e</w:t>
            </w:r>
            <w:r w:rsidR="00CA7B94">
              <w:rPr>
                <w:rFonts w:asciiTheme="minorHAnsi" w:hAnsiTheme="minorHAnsi" w:cstheme="minorHAnsi"/>
                <w:sz w:val="18"/>
                <w:szCs w:val="18"/>
              </w:rPr>
              <w:t>st possible d</w:t>
            </w:r>
            <w:r w:rsidR="00E14E13">
              <w:rPr>
                <w:rFonts w:asciiTheme="minorHAnsi" w:hAnsiTheme="minorHAnsi" w:cstheme="minorHAnsi"/>
                <w:sz w:val="18"/>
                <w:szCs w:val="18"/>
              </w:rPr>
              <w:t>'</w:t>
            </w:r>
            <w:r w:rsidR="00CA7B94">
              <w:rPr>
                <w:rFonts w:asciiTheme="minorHAnsi" w:hAnsiTheme="minorHAnsi" w:cstheme="minorHAnsi"/>
                <w:sz w:val="18"/>
                <w:szCs w:val="18"/>
              </w:rPr>
              <w:t>effectuer une recherche par mot clé ou par compétence</w:t>
            </w:r>
            <w:r w:rsidR="007F43CA" w:rsidRPr="00A6162E">
              <w:rPr>
                <w:rFonts w:asciiTheme="minorHAnsi" w:hAnsiTheme="minorHAnsi" w:cstheme="minorHAnsi"/>
                <w:sz w:val="18"/>
                <w:szCs w:val="18"/>
              </w:rPr>
              <w:t>.</w:t>
            </w:r>
          </w:p>
          <w:p w14:paraId="3015AAC9" w14:textId="6AE75387"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 xml:space="preserve">La </w:t>
            </w:r>
            <w:r w:rsidR="00852168">
              <w:rPr>
                <w:rFonts w:asciiTheme="minorHAnsi" w:hAnsiTheme="minorHAnsi" w:cstheme="minorHAnsi"/>
                <w:sz w:val="18"/>
                <w:szCs w:val="18"/>
              </w:rPr>
              <w:t>plupart</w:t>
            </w:r>
            <w:r w:rsidR="00852168" w:rsidRPr="007F43CA">
              <w:rPr>
                <w:rFonts w:asciiTheme="minorHAnsi" w:hAnsiTheme="minorHAnsi" w:cstheme="minorHAnsi"/>
                <w:sz w:val="18"/>
                <w:szCs w:val="18"/>
              </w:rPr>
              <w:t xml:space="preserve"> </w:t>
            </w:r>
            <w:r w:rsidRPr="007F43CA">
              <w:rPr>
                <w:rFonts w:asciiTheme="minorHAnsi" w:hAnsiTheme="minorHAnsi" w:cstheme="minorHAnsi"/>
                <w:sz w:val="18"/>
                <w:szCs w:val="18"/>
              </w:rPr>
              <w:t>des fonctionnaires de l</w:t>
            </w:r>
            <w:r w:rsidR="00E14E13">
              <w:rPr>
                <w:rFonts w:asciiTheme="minorHAnsi" w:hAnsiTheme="minorHAnsi" w:cstheme="minorHAnsi"/>
                <w:sz w:val="18"/>
                <w:szCs w:val="18"/>
              </w:rPr>
              <w:t>'</w:t>
            </w:r>
            <w:r w:rsidRPr="007F43CA">
              <w:rPr>
                <w:rFonts w:asciiTheme="minorHAnsi" w:hAnsiTheme="minorHAnsi" w:cstheme="minorHAnsi"/>
                <w:sz w:val="18"/>
                <w:szCs w:val="18"/>
              </w:rPr>
              <w:t>UIT ont défini au moins un objectif de formation conformément à l</w:t>
            </w:r>
            <w:r w:rsidR="00E14E13">
              <w:rPr>
                <w:rFonts w:asciiTheme="minorHAnsi" w:hAnsiTheme="minorHAnsi" w:cstheme="minorHAnsi"/>
                <w:sz w:val="18"/>
                <w:szCs w:val="18"/>
              </w:rPr>
              <w:t>'</w:t>
            </w:r>
            <w:r w:rsidRPr="007F43CA">
              <w:rPr>
                <w:rFonts w:asciiTheme="minorHAnsi" w:hAnsiTheme="minorHAnsi" w:cstheme="minorHAnsi"/>
                <w:sz w:val="18"/>
                <w:szCs w:val="18"/>
              </w:rPr>
              <w:t>Ordre de service N°</w:t>
            </w:r>
            <w:r w:rsidR="00F74C17">
              <w:rPr>
                <w:rFonts w:asciiTheme="minorHAnsi" w:hAnsiTheme="minorHAnsi" w:cstheme="minorHAnsi"/>
                <w:sz w:val="18"/>
                <w:szCs w:val="18"/>
              </w:rPr>
              <w:t> </w:t>
            </w:r>
            <w:r w:rsidRPr="007F43CA">
              <w:rPr>
                <w:rFonts w:asciiTheme="minorHAnsi" w:hAnsiTheme="minorHAnsi" w:cstheme="minorHAnsi"/>
                <w:sz w:val="18"/>
                <w:szCs w:val="18"/>
              </w:rPr>
              <w:t>18/06.</w:t>
            </w:r>
          </w:p>
          <w:p w14:paraId="4A45A162" w14:textId="72AB61C4"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 xml:space="preserve">Soixante-quatorze pour cent des activités de formation pour les fonctionnaires de </w:t>
            </w:r>
            <w:r w:rsidR="00A55D59">
              <w:rPr>
                <w:rFonts w:asciiTheme="minorHAnsi" w:hAnsiTheme="minorHAnsi" w:cstheme="minorHAnsi"/>
                <w:sz w:val="18"/>
                <w:szCs w:val="18"/>
              </w:rPr>
              <w:t>la catégorie professionnelle et </w:t>
            </w:r>
            <w:r w:rsidRPr="007F43CA">
              <w:rPr>
                <w:rFonts w:asciiTheme="minorHAnsi" w:hAnsiTheme="minorHAnsi" w:cstheme="minorHAnsi"/>
                <w:sz w:val="18"/>
                <w:szCs w:val="18"/>
              </w:rPr>
              <w:t>26% des activités de formation pour les fonctionnaires de la catégorie des servic</w:t>
            </w:r>
            <w:r w:rsidR="00A55D59">
              <w:rPr>
                <w:rFonts w:asciiTheme="minorHAnsi" w:hAnsiTheme="minorHAnsi" w:cstheme="minorHAnsi"/>
                <w:sz w:val="18"/>
                <w:szCs w:val="18"/>
              </w:rPr>
              <w:t>es généraux ont été soumises en </w:t>
            </w:r>
            <w:r w:rsidRPr="007F43CA">
              <w:rPr>
                <w:rFonts w:asciiTheme="minorHAnsi" w:hAnsiTheme="minorHAnsi" w:cstheme="minorHAnsi"/>
                <w:sz w:val="18"/>
                <w:szCs w:val="18"/>
              </w:rPr>
              <w:t>2021 et traitées au regard des politiques de formation actuelles, conformément à l</w:t>
            </w:r>
            <w:r w:rsidR="00E14E13">
              <w:rPr>
                <w:rFonts w:asciiTheme="minorHAnsi" w:hAnsiTheme="minorHAnsi" w:cstheme="minorHAnsi"/>
                <w:sz w:val="18"/>
                <w:szCs w:val="18"/>
              </w:rPr>
              <w:t>'</w:t>
            </w:r>
            <w:r w:rsidRPr="007F43CA">
              <w:rPr>
                <w:rFonts w:asciiTheme="minorHAnsi" w:hAnsiTheme="minorHAnsi" w:cstheme="minorHAnsi"/>
                <w:sz w:val="18"/>
                <w:szCs w:val="18"/>
              </w:rPr>
              <w:t>évaluation des besoins de formation pour</w:t>
            </w:r>
            <w:r w:rsidR="001F79C0">
              <w:rPr>
                <w:rFonts w:asciiTheme="minorHAnsi" w:hAnsiTheme="minorHAnsi" w:cstheme="minorHAnsi"/>
                <w:sz w:val="18"/>
                <w:szCs w:val="18"/>
              </w:rPr>
              <w:t> </w:t>
            </w:r>
            <w:r w:rsidRPr="007F43CA">
              <w:rPr>
                <w:rFonts w:asciiTheme="minorHAnsi" w:hAnsiTheme="minorHAnsi" w:cstheme="minorHAnsi"/>
                <w:sz w:val="18"/>
                <w:szCs w:val="18"/>
              </w:rPr>
              <w:t>2021.</w:t>
            </w:r>
          </w:p>
          <w:p w14:paraId="6C4D0790" w14:textId="1AA65F53" w:rsidR="007F43CA" w:rsidRPr="007F43CA" w:rsidRDefault="007F43CA" w:rsidP="001D32F6">
            <w:pPr>
              <w:pStyle w:val="Tabletext"/>
              <w:keepLines/>
              <w:rPr>
                <w:rFonts w:asciiTheme="minorHAnsi" w:hAnsiTheme="minorHAnsi" w:cstheme="minorHAnsi"/>
                <w:sz w:val="18"/>
                <w:szCs w:val="18"/>
              </w:rPr>
            </w:pPr>
            <w:r w:rsidRPr="007F43CA">
              <w:rPr>
                <w:rFonts w:asciiTheme="minorHAnsi" w:hAnsiTheme="minorHAnsi" w:cstheme="minorHAnsi"/>
                <w:sz w:val="18"/>
                <w:szCs w:val="18"/>
              </w:rPr>
              <w:t>Les programmes mis en œuvre ont été alignés sur les objectifs de formation et étaient entièrement conformes à la politique de l</w:t>
            </w:r>
            <w:r w:rsidR="00E14E13">
              <w:rPr>
                <w:rFonts w:asciiTheme="minorHAnsi" w:hAnsiTheme="minorHAnsi" w:cstheme="minorHAnsi"/>
                <w:sz w:val="18"/>
                <w:szCs w:val="18"/>
              </w:rPr>
              <w:t>'</w:t>
            </w:r>
            <w:r w:rsidRPr="007F43CA">
              <w:rPr>
                <w:rFonts w:asciiTheme="minorHAnsi" w:hAnsiTheme="minorHAnsi" w:cstheme="minorHAnsi"/>
                <w:sz w:val="18"/>
                <w:szCs w:val="18"/>
              </w:rPr>
              <w:t>UIT en la matière.</w:t>
            </w:r>
          </w:p>
          <w:p w14:paraId="62280CC8" w14:textId="45FEC757" w:rsidR="007F43CA" w:rsidRPr="007F43CA" w:rsidRDefault="007F43CA" w:rsidP="001D32F6">
            <w:pPr>
              <w:pStyle w:val="Tabletext"/>
              <w:keepLines/>
              <w:rPr>
                <w:rFonts w:asciiTheme="minorHAnsi" w:hAnsiTheme="minorHAnsi" w:cstheme="minorHAnsi"/>
                <w:sz w:val="18"/>
                <w:szCs w:val="18"/>
              </w:rPr>
            </w:pPr>
            <w:r w:rsidRPr="007F43CA">
              <w:rPr>
                <w:rFonts w:asciiTheme="minorHAnsi" w:hAnsiTheme="minorHAnsi" w:cstheme="minorHAnsi"/>
                <w:sz w:val="18"/>
                <w:szCs w:val="18"/>
              </w:rPr>
              <w:lastRenderedPageBreak/>
              <w:t xml:space="preserve">Les programmes de formation essentielle qui ont été organisés </w:t>
            </w:r>
            <w:r w:rsidR="00852168">
              <w:rPr>
                <w:rFonts w:asciiTheme="minorHAnsi" w:hAnsiTheme="minorHAnsi" w:cstheme="minorHAnsi"/>
                <w:sz w:val="18"/>
                <w:szCs w:val="18"/>
              </w:rPr>
              <w:t>sont</w:t>
            </w:r>
            <w:r w:rsidR="00852168" w:rsidRPr="007F43CA">
              <w:rPr>
                <w:rFonts w:asciiTheme="minorHAnsi" w:hAnsiTheme="minorHAnsi" w:cstheme="minorHAnsi"/>
                <w:sz w:val="18"/>
                <w:szCs w:val="18"/>
              </w:rPr>
              <w:t xml:space="preserve"> </w:t>
            </w:r>
            <w:r w:rsidRPr="007F43CA">
              <w:rPr>
                <w:rFonts w:asciiTheme="minorHAnsi" w:hAnsiTheme="minorHAnsi" w:cstheme="minorHAnsi"/>
                <w:sz w:val="18"/>
                <w:szCs w:val="18"/>
              </w:rPr>
              <w:t>les suivants: Formation sur la lutte contre la fraude, Formation sur la diversité et l</w:t>
            </w:r>
            <w:r w:rsidR="00E14E13">
              <w:rPr>
                <w:rFonts w:asciiTheme="minorHAnsi" w:hAnsiTheme="minorHAnsi" w:cstheme="minorHAnsi"/>
                <w:sz w:val="18"/>
                <w:szCs w:val="18"/>
              </w:rPr>
              <w:t>'</w:t>
            </w:r>
            <w:r w:rsidRPr="007F43CA">
              <w:rPr>
                <w:rFonts w:asciiTheme="minorHAnsi" w:hAnsiTheme="minorHAnsi" w:cstheme="minorHAnsi"/>
                <w:sz w:val="18"/>
                <w:szCs w:val="18"/>
              </w:rPr>
              <w:t>inclusion, Programme Emerge, Autonomiser les coordonnateurs des Nations Unies pour les questions de genre, Proposition d</w:t>
            </w:r>
            <w:r w:rsidR="00E14E13">
              <w:rPr>
                <w:rFonts w:asciiTheme="minorHAnsi" w:hAnsiTheme="minorHAnsi" w:cstheme="minorHAnsi"/>
                <w:sz w:val="18"/>
                <w:szCs w:val="18"/>
              </w:rPr>
              <w:t>'</w:t>
            </w:r>
            <w:r w:rsidRPr="007F43CA">
              <w:rPr>
                <w:rFonts w:asciiTheme="minorHAnsi" w:hAnsiTheme="minorHAnsi" w:cstheme="minorHAnsi"/>
                <w:sz w:val="18"/>
                <w:szCs w:val="18"/>
              </w:rPr>
              <w:t>un mouvement pour l</w:t>
            </w:r>
            <w:r w:rsidR="00E14E13">
              <w:rPr>
                <w:rFonts w:asciiTheme="minorHAnsi" w:hAnsiTheme="minorHAnsi" w:cstheme="minorHAnsi"/>
                <w:sz w:val="18"/>
                <w:szCs w:val="18"/>
              </w:rPr>
              <w:t>'</w:t>
            </w:r>
            <w:r w:rsidRPr="007F43CA">
              <w:rPr>
                <w:rFonts w:asciiTheme="minorHAnsi" w:hAnsiTheme="minorHAnsi" w:cstheme="minorHAnsi"/>
                <w:sz w:val="18"/>
                <w:szCs w:val="18"/>
              </w:rPr>
              <w:t>innovation, Introduction à la gestion du changement, Responsabilités concernant la culture du leadership, Séminaire de préretraite et Certification en matière de gestion de projet.</w:t>
            </w:r>
          </w:p>
          <w:p w14:paraId="0B059F67" w14:textId="62E20B4F"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Un bulletin d</w:t>
            </w:r>
            <w:r w:rsidR="00E14E13">
              <w:rPr>
                <w:rFonts w:asciiTheme="minorHAnsi" w:hAnsiTheme="minorHAnsi" w:cstheme="minorHAnsi"/>
                <w:sz w:val="18"/>
                <w:szCs w:val="18"/>
              </w:rPr>
              <w:t>'</w:t>
            </w:r>
            <w:r w:rsidRPr="007F43CA">
              <w:rPr>
                <w:rFonts w:asciiTheme="minorHAnsi" w:hAnsiTheme="minorHAnsi" w:cstheme="minorHAnsi"/>
                <w:sz w:val="18"/>
                <w:szCs w:val="18"/>
              </w:rPr>
              <w:t>information sur la formation contenant les informations sur les nouvelles initiatives de formation ou les initiatives futures a été lancé. Plus de 80% des membres du personnel consultés ont jugé ce bulletin d</w:t>
            </w:r>
            <w:r w:rsidR="00E14E13">
              <w:rPr>
                <w:rFonts w:asciiTheme="minorHAnsi" w:hAnsiTheme="minorHAnsi" w:cstheme="minorHAnsi"/>
                <w:sz w:val="18"/>
                <w:szCs w:val="18"/>
              </w:rPr>
              <w:t>'</w:t>
            </w:r>
            <w:r w:rsidRPr="007F43CA">
              <w:rPr>
                <w:rFonts w:asciiTheme="minorHAnsi" w:hAnsiTheme="minorHAnsi" w:cstheme="minorHAnsi"/>
                <w:sz w:val="18"/>
                <w:szCs w:val="18"/>
              </w:rPr>
              <w:t>information utile.</w:t>
            </w:r>
          </w:p>
        </w:tc>
      </w:tr>
      <w:tr w:rsidR="007F43CA" w:rsidRPr="007F43CA" w14:paraId="6762373D" w14:textId="77777777" w:rsidTr="005817FB">
        <w:tc>
          <w:tcPr>
            <w:tcW w:w="494" w:type="dxa"/>
            <w:vMerge/>
            <w:tcBorders>
              <w:bottom w:val="single" w:sz="4" w:space="0" w:color="auto"/>
            </w:tcBorders>
            <w:shd w:val="clear" w:color="auto" w:fill="FDE9D9" w:themeFill="accent6" w:themeFillTint="33"/>
          </w:tcPr>
          <w:p w14:paraId="3C870DEB" w14:textId="77777777" w:rsidR="007F43CA" w:rsidRPr="007F43CA" w:rsidRDefault="007F43CA" w:rsidP="001D32F6">
            <w:pPr>
              <w:pStyle w:val="Tabletext"/>
              <w:rPr>
                <w:sz w:val="18"/>
                <w:szCs w:val="18"/>
              </w:rPr>
            </w:pPr>
          </w:p>
        </w:tc>
        <w:tc>
          <w:tcPr>
            <w:tcW w:w="1547" w:type="dxa"/>
            <w:vMerge/>
            <w:tcBorders>
              <w:bottom w:val="single" w:sz="4" w:space="0" w:color="auto"/>
            </w:tcBorders>
            <w:shd w:val="clear" w:color="auto" w:fill="FDE9D9" w:themeFill="accent6" w:themeFillTint="33"/>
          </w:tcPr>
          <w:p w14:paraId="242DBE26" w14:textId="77777777" w:rsidR="007F43CA" w:rsidRPr="007F43CA" w:rsidRDefault="007F43CA" w:rsidP="001D32F6">
            <w:pPr>
              <w:pStyle w:val="Tabletext"/>
              <w:rPr>
                <w:sz w:val="18"/>
                <w:szCs w:val="18"/>
              </w:rPr>
            </w:pPr>
          </w:p>
        </w:tc>
        <w:tc>
          <w:tcPr>
            <w:tcW w:w="2626" w:type="dxa"/>
            <w:tcBorders>
              <w:bottom w:val="single" w:sz="4" w:space="0" w:color="auto"/>
            </w:tcBorders>
            <w:shd w:val="clear" w:color="auto" w:fill="FDE9D9" w:themeFill="accent6" w:themeFillTint="33"/>
          </w:tcPr>
          <w:p w14:paraId="09E4801D" w14:textId="721F53DB" w:rsidR="007F43CA" w:rsidRPr="007F43CA" w:rsidRDefault="007F43CA" w:rsidP="001D32F6">
            <w:pPr>
              <w:pStyle w:val="Tabletext"/>
              <w:tabs>
                <w:tab w:val="left" w:pos="314"/>
              </w:tabs>
              <w:ind w:left="249" w:hanging="249"/>
              <w:rPr>
                <w:sz w:val="18"/>
                <w:szCs w:val="18"/>
              </w:rPr>
            </w:pPr>
            <w:r w:rsidRPr="007F43CA">
              <w:rPr>
                <w:sz w:val="18"/>
                <w:szCs w:val="18"/>
              </w:rPr>
              <w:t>2</w:t>
            </w:r>
            <w:r w:rsidRPr="007F43CA">
              <w:rPr>
                <w:sz w:val="18"/>
                <w:szCs w:val="18"/>
              </w:rPr>
              <w:tab/>
              <w:t>Remanier le budget de l</w:t>
            </w:r>
            <w:r w:rsidR="00E14E13">
              <w:rPr>
                <w:sz w:val="18"/>
                <w:szCs w:val="18"/>
              </w:rPr>
              <w:t>'</w:t>
            </w:r>
            <w:r w:rsidRPr="007F43CA">
              <w:rPr>
                <w:sz w:val="18"/>
                <w:szCs w:val="18"/>
              </w:rPr>
              <w:t>organisation en centralisant les dépenses de formation pour les formations en cours d</w:t>
            </w:r>
            <w:r w:rsidR="00E14E13">
              <w:rPr>
                <w:sz w:val="18"/>
                <w:szCs w:val="18"/>
              </w:rPr>
              <w:t>'</w:t>
            </w:r>
            <w:r w:rsidRPr="007F43CA">
              <w:rPr>
                <w:sz w:val="18"/>
                <w:szCs w:val="18"/>
              </w:rPr>
              <w:t>emploi dans l</w:t>
            </w:r>
            <w:r w:rsidR="00E14E13">
              <w:rPr>
                <w:sz w:val="18"/>
                <w:szCs w:val="18"/>
              </w:rPr>
              <w:t>'</w:t>
            </w:r>
            <w:r w:rsidRPr="007F43CA">
              <w:rPr>
                <w:sz w:val="18"/>
                <w:szCs w:val="18"/>
              </w:rPr>
              <w:t>ensemble de l</w:t>
            </w:r>
            <w:r w:rsidR="00E14E13">
              <w:rPr>
                <w:sz w:val="18"/>
                <w:szCs w:val="18"/>
              </w:rPr>
              <w:t>'</w:t>
            </w:r>
            <w:r w:rsidRPr="007F43CA">
              <w:rPr>
                <w:sz w:val="18"/>
                <w:szCs w:val="18"/>
              </w:rPr>
              <w:t>UIT, afin d</w:t>
            </w:r>
            <w:r w:rsidR="00E14E13">
              <w:rPr>
                <w:sz w:val="18"/>
                <w:szCs w:val="18"/>
              </w:rPr>
              <w:t>'</w:t>
            </w:r>
            <w:r w:rsidRPr="007F43CA">
              <w:rPr>
                <w:sz w:val="18"/>
                <w:szCs w:val="18"/>
              </w:rPr>
              <w:t>assurer également l</w:t>
            </w:r>
            <w:r w:rsidR="00E14E13">
              <w:rPr>
                <w:sz w:val="18"/>
                <w:szCs w:val="18"/>
              </w:rPr>
              <w:t>'</w:t>
            </w:r>
            <w:r w:rsidRPr="007F43CA">
              <w:rPr>
                <w:sz w:val="18"/>
                <w:szCs w:val="18"/>
              </w:rPr>
              <w:t>égalité des chances (siège et bureaux hors siège)</w:t>
            </w:r>
          </w:p>
        </w:tc>
        <w:tc>
          <w:tcPr>
            <w:tcW w:w="1879" w:type="dxa"/>
            <w:tcBorders>
              <w:left w:val="single" w:sz="4" w:space="0" w:color="auto"/>
              <w:bottom w:val="single" w:sz="4" w:space="0" w:color="auto"/>
            </w:tcBorders>
            <w:shd w:val="clear" w:color="auto" w:fill="FDE9D9" w:themeFill="accent6" w:themeFillTint="33"/>
          </w:tcPr>
          <w:p w14:paraId="1E1396E1" w14:textId="5E275EB0" w:rsidR="007F43CA" w:rsidRPr="007F43CA" w:rsidRDefault="007F43CA" w:rsidP="001D32F6">
            <w:pPr>
              <w:pStyle w:val="Tabletext"/>
              <w:keepLines/>
              <w:tabs>
                <w:tab w:val="left" w:pos="178"/>
              </w:tabs>
              <w:ind w:left="178" w:hanging="178"/>
              <w:rPr>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Budget de formation centralisé dans le Département HRMD; ratio entre les programmes de formation en cours d</w:t>
            </w:r>
            <w:r w:rsidR="00E14E13">
              <w:rPr>
                <w:rFonts w:asciiTheme="minorHAnsi" w:hAnsiTheme="minorHAnsi" w:cstheme="minorHAnsi"/>
                <w:sz w:val="18"/>
                <w:szCs w:val="18"/>
              </w:rPr>
              <w:t>'</w:t>
            </w:r>
            <w:r w:rsidRPr="007F43CA">
              <w:rPr>
                <w:rFonts w:asciiTheme="minorHAnsi" w:hAnsiTheme="minorHAnsi" w:cstheme="minorHAnsi"/>
                <w:sz w:val="18"/>
                <w:szCs w:val="18"/>
              </w:rPr>
              <w:t>emploi et de formation au sein de l</w:t>
            </w:r>
            <w:r w:rsidR="00E14E13">
              <w:rPr>
                <w:rFonts w:asciiTheme="minorHAnsi" w:hAnsiTheme="minorHAnsi" w:cstheme="minorHAnsi"/>
                <w:sz w:val="18"/>
                <w:szCs w:val="18"/>
              </w:rPr>
              <w:t>'</w:t>
            </w:r>
            <w:r w:rsidRPr="007F43CA">
              <w:rPr>
                <w:rFonts w:asciiTheme="minorHAnsi" w:hAnsiTheme="minorHAnsi" w:cstheme="minorHAnsi"/>
                <w:sz w:val="18"/>
                <w:szCs w:val="18"/>
              </w:rPr>
              <w:t>organisation; pourcentage de participants des bureaux hors siège ayant bénéficié de programmes de formation au sein de l</w:t>
            </w:r>
            <w:r w:rsidR="00E14E13">
              <w:rPr>
                <w:rFonts w:asciiTheme="minorHAnsi" w:hAnsiTheme="minorHAnsi" w:cstheme="minorHAnsi"/>
                <w:sz w:val="18"/>
                <w:szCs w:val="18"/>
              </w:rPr>
              <w:t>'</w:t>
            </w:r>
            <w:r w:rsidRPr="007F43CA">
              <w:rPr>
                <w:rFonts w:asciiTheme="minorHAnsi" w:hAnsiTheme="minorHAnsi" w:cstheme="minorHAnsi"/>
                <w:sz w:val="18"/>
                <w:szCs w:val="18"/>
              </w:rPr>
              <w:t>organisation</w:t>
            </w:r>
          </w:p>
        </w:tc>
        <w:tc>
          <w:tcPr>
            <w:tcW w:w="1591" w:type="dxa"/>
            <w:tcBorders>
              <w:bottom w:val="single" w:sz="4" w:space="0" w:color="auto"/>
            </w:tcBorders>
            <w:shd w:val="clear" w:color="auto" w:fill="FDE9D9" w:themeFill="accent6" w:themeFillTint="33"/>
          </w:tcPr>
          <w:p w14:paraId="708FEE02" w14:textId="77777777" w:rsidR="007F43CA" w:rsidRPr="007F43CA" w:rsidRDefault="007F43CA" w:rsidP="001D32F6">
            <w:pPr>
              <w:pStyle w:val="Tabletext"/>
              <w:tabs>
                <w:tab w:val="left" w:pos="347"/>
              </w:tabs>
              <w:rPr>
                <w:sz w:val="18"/>
                <w:szCs w:val="18"/>
              </w:rPr>
            </w:pPr>
          </w:p>
        </w:tc>
        <w:tc>
          <w:tcPr>
            <w:tcW w:w="1205" w:type="dxa"/>
            <w:tcBorders>
              <w:bottom w:val="single" w:sz="4" w:space="0" w:color="auto"/>
            </w:tcBorders>
            <w:shd w:val="clear" w:color="auto" w:fill="FDE9D9" w:themeFill="accent6" w:themeFillTint="33"/>
          </w:tcPr>
          <w:p w14:paraId="5CAAAC60" w14:textId="0E1B38EA" w:rsidR="007F43CA" w:rsidRPr="007F43CA" w:rsidRDefault="007F43CA" w:rsidP="001D32F6">
            <w:pPr>
              <w:pStyle w:val="Tabletext"/>
              <w:rPr>
                <w:sz w:val="18"/>
                <w:szCs w:val="18"/>
              </w:rPr>
            </w:pPr>
            <w:r w:rsidRPr="007F43CA">
              <w:rPr>
                <w:sz w:val="18"/>
                <w:szCs w:val="18"/>
              </w:rPr>
              <w:t>2020-2021</w:t>
            </w:r>
          </w:p>
        </w:tc>
        <w:tc>
          <w:tcPr>
            <w:tcW w:w="4687" w:type="dxa"/>
            <w:tcBorders>
              <w:bottom w:val="single" w:sz="4" w:space="0" w:color="auto"/>
            </w:tcBorders>
            <w:shd w:val="clear" w:color="auto" w:fill="FDE9D9" w:themeFill="accent6" w:themeFillTint="33"/>
          </w:tcPr>
          <w:p w14:paraId="502D9161" w14:textId="30C72611" w:rsidR="00660B9B" w:rsidRDefault="00660B9B" w:rsidP="001D32F6">
            <w:pPr>
              <w:pStyle w:val="Tabletext"/>
              <w:rPr>
                <w:sz w:val="18"/>
                <w:szCs w:val="18"/>
              </w:rPr>
            </w:pPr>
            <w:r w:rsidRPr="00660B9B">
              <w:rPr>
                <w:sz w:val="18"/>
                <w:szCs w:val="18"/>
              </w:rPr>
              <w:t>Le budget de la formation en cours d</w:t>
            </w:r>
            <w:r w:rsidR="00E14E13">
              <w:rPr>
                <w:sz w:val="18"/>
                <w:szCs w:val="18"/>
              </w:rPr>
              <w:t>'</w:t>
            </w:r>
            <w:r w:rsidRPr="00660B9B">
              <w:rPr>
                <w:sz w:val="18"/>
                <w:szCs w:val="18"/>
              </w:rPr>
              <w:t>emploi a été centralisé et redéfini à compter de 2020. Le Département HRMD appelle tous les Bureaux et les Départements du Secrétariat général à suivre la procédure et à agir en collaboration pour lui adresser toutes les demandes de formation en temps voulu. Une communication interne a été diffusée concernant la simplification du flux d</w:t>
            </w:r>
            <w:r w:rsidR="00E14E13">
              <w:rPr>
                <w:sz w:val="18"/>
                <w:szCs w:val="18"/>
              </w:rPr>
              <w:t>'</w:t>
            </w:r>
            <w:r w:rsidRPr="00660B9B">
              <w:rPr>
                <w:sz w:val="18"/>
                <w:szCs w:val="18"/>
              </w:rPr>
              <w:t>approbation, suivant le processus lié au système PMDS.</w:t>
            </w:r>
          </w:p>
          <w:p w14:paraId="12261E03" w14:textId="0DBCDB92" w:rsidR="007F43CA" w:rsidRPr="007F43CA" w:rsidRDefault="007F43CA" w:rsidP="001D32F6">
            <w:pPr>
              <w:pStyle w:val="Tabletext"/>
              <w:rPr>
                <w:sz w:val="18"/>
                <w:szCs w:val="18"/>
              </w:rPr>
            </w:pPr>
            <w:r w:rsidRPr="007F43CA">
              <w:rPr>
                <w:sz w:val="18"/>
                <w:szCs w:val="18"/>
              </w:rPr>
              <w:t>Pour 2021, le rapport entre le nombre de formations techniques et le nombre de formations institutionnelles est de 5/22. Ce chiffre ne tient pas compte des autres types de formation, notamment les formations en cours d</w:t>
            </w:r>
            <w:r w:rsidR="00E14E13">
              <w:rPr>
                <w:sz w:val="18"/>
                <w:szCs w:val="18"/>
              </w:rPr>
              <w:t>'</w:t>
            </w:r>
            <w:r w:rsidRPr="007F43CA">
              <w:rPr>
                <w:sz w:val="18"/>
                <w:szCs w:val="18"/>
              </w:rPr>
              <w:t>emploi, l</w:t>
            </w:r>
            <w:r w:rsidR="00E14E13">
              <w:rPr>
                <w:sz w:val="18"/>
                <w:szCs w:val="18"/>
              </w:rPr>
              <w:t>'</w:t>
            </w:r>
            <w:r w:rsidRPr="007F43CA">
              <w:rPr>
                <w:sz w:val="18"/>
                <w:szCs w:val="18"/>
              </w:rPr>
              <w:t>autoformation, etc.</w:t>
            </w:r>
          </w:p>
        </w:tc>
      </w:tr>
      <w:tr w:rsidR="007F43CA" w:rsidRPr="006016BF" w14:paraId="6BA8DEFF" w14:textId="77777777" w:rsidTr="005817FB">
        <w:tc>
          <w:tcPr>
            <w:tcW w:w="494" w:type="dxa"/>
            <w:vMerge w:val="restart"/>
            <w:shd w:val="clear" w:color="auto" w:fill="FDE9D9" w:themeFill="accent6" w:themeFillTint="33"/>
          </w:tcPr>
          <w:p w14:paraId="3DEE08CF" w14:textId="77777777" w:rsidR="007F43CA" w:rsidRPr="007F43CA" w:rsidRDefault="007F43CA" w:rsidP="001D32F6">
            <w:pPr>
              <w:pStyle w:val="Tabletext"/>
              <w:rPr>
                <w:sz w:val="18"/>
                <w:szCs w:val="18"/>
              </w:rPr>
            </w:pPr>
            <w:bookmarkStart w:id="10" w:name="_Hlk70501623"/>
            <w:r w:rsidRPr="007F43CA">
              <w:rPr>
                <w:sz w:val="18"/>
                <w:szCs w:val="18"/>
              </w:rPr>
              <w:lastRenderedPageBreak/>
              <w:t>2.5</w:t>
            </w:r>
          </w:p>
        </w:tc>
        <w:tc>
          <w:tcPr>
            <w:tcW w:w="1547" w:type="dxa"/>
            <w:vMerge w:val="restart"/>
            <w:shd w:val="clear" w:color="auto" w:fill="FDE9D9" w:themeFill="accent6" w:themeFillTint="33"/>
          </w:tcPr>
          <w:p w14:paraId="6FD4CB62" w14:textId="77777777" w:rsidR="007F43CA" w:rsidRPr="007F43CA" w:rsidRDefault="007F43CA" w:rsidP="001D32F6">
            <w:pPr>
              <w:pStyle w:val="Tabletext"/>
              <w:rPr>
                <w:sz w:val="18"/>
                <w:szCs w:val="18"/>
              </w:rPr>
            </w:pPr>
            <w:r w:rsidRPr="007F43CA">
              <w:rPr>
                <w:sz w:val="18"/>
                <w:szCs w:val="18"/>
              </w:rPr>
              <w:t>Orientation, présentation, mentorat du personnel</w:t>
            </w:r>
          </w:p>
        </w:tc>
        <w:tc>
          <w:tcPr>
            <w:tcW w:w="2626" w:type="dxa"/>
            <w:tcBorders>
              <w:bottom w:val="single" w:sz="4" w:space="0" w:color="auto"/>
            </w:tcBorders>
            <w:shd w:val="clear" w:color="auto" w:fill="FDE9D9" w:themeFill="accent6" w:themeFillTint="33"/>
          </w:tcPr>
          <w:p w14:paraId="518B54CE" w14:textId="09411480" w:rsidR="007F43CA" w:rsidRPr="007F43CA" w:rsidRDefault="007F43CA" w:rsidP="001D32F6">
            <w:pPr>
              <w:pStyle w:val="Tabletext"/>
              <w:keepNext/>
              <w:ind w:left="249" w:hanging="249"/>
              <w:rPr>
                <w:sz w:val="18"/>
                <w:szCs w:val="18"/>
              </w:rPr>
            </w:pPr>
            <w:r w:rsidRPr="007F43CA">
              <w:rPr>
                <w:sz w:val="18"/>
                <w:szCs w:val="18"/>
              </w:rPr>
              <w:t>1</w:t>
            </w:r>
            <w:r w:rsidRPr="007F43CA">
              <w:rPr>
                <w:sz w:val="18"/>
                <w:szCs w:val="18"/>
              </w:rPr>
              <w:tab/>
              <w:t>Mettre en place à l</w:t>
            </w:r>
            <w:r w:rsidR="00E14E13">
              <w:rPr>
                <w:sz w:val="18"/>
                <w:szCs w:val="18"/>
              </w:rPr>
              <w:t>'</w:t>
            </w:r>
            <w:r w:rsidRPr="007F43CA">
              <w:rPr>
                <w:sz w:val="18"/>
                <w:szCs w:val="18"/>
              </w:rPr>
              <w:t>UIT un nouveau programme d</w:t>
            </w:r>
            <w:r w:rsidR="00E14E13">
              <w:rPr>
                <w:sz w:val="18"/>
                <w:szCs w:val="18"/>
              </w:rPr>
              <w:t>'</w:t>
            </w:r>
            <w:r w:rsidRPr="007F43CA">
              <w:rPr>
                <w:sz w:val="18"/>
                <w:szCs w:val="18"/>
              </w:rPr>
              <w:t xml:space="preserve">intégration et de départ, prévoyant: </w:t>
            </w:r>
          </w:p>
          <w:p w14:paraId="69413362" w14:textId="28F1C6C0" w:rsidR="007F43CA" w:rsidRPr="007F43CA" w:rsidRDefault="007F43CA" w:rsidP="001D32F6">
            <w:pPr>
              <w:pStyle w:val="Tabletext"/>
              <w:keepNext/>
              <w:ind w:left="533" w:hanging="284"/>
              <w:rPr>
                <w:sz w:val="18"/>
                <w:szCs w:val="18"/>
              </w:rPr>
            </w:pPr>
            <w:r w:rsidRPr="007F43CA">
              <w:rPr>
                <w:sz w:val="18"/>
                <w:szCs w:val="18"/>
              </w:rPr>
              <w:t>a)</w:t>
            </w:r>
            <w:r w:rsidRPr="007F43CA">
              <w:rPr>
                <w:sz w:val="18"/>
                <w:szCs w:val="18"/>
              </w:rPr>
              <w:tab/>
              <w:t>l</w:t>
            </w:r>
            <w:r w:rsidR="00E14E13">
              <w:rPr>
                <w:sz w:val="18"/>
                <w:szCs w:val="18"/>
              </w:rPr>
              <w:t>'</w:t>
            </w:r>
            <w:r w:rsidRPr="007F43CA">
              <w:rPr>
                <w:sz w:val="18"/>
                <w:szCs w:val="18"/>
              </w:rPr>
              <w:t>élaboration et la mise en œuvre d</w:t>
            </w:r>
            <w:r w:rsidR="00E14E13">
              <w:rPr>
                <w:sz w:val="18"/>
                <w:szCs w:val="18"/>
              </w:rPr>
              <w:t>'</w:t>
            </w:r>
            <w:r w:rsidRPr="007F43CA">
              <w:rPr>
                <w:sz w:val="18"/>
                <w:szCs w:val="18"/>
              </w:rPr>
              <w:t>un programme de formation à l</w:t>
            </w:r>
            <w:r w:rsidR="00E14E13">
              <w:rPr>
                <w:sz w:val="18"/>
                <w:szCs w:val="18"/>
              </w:rPr>
              <w:t>'</w:t>
            </w:r>
            <w:r w:rsidRPr="007F43CA">
              <w:rPr>
                <w:sz w:val="18"/>
                <w:szCs w:val="18"/>
              </w:rPr>
              <w:t>intention du personnel nouvellement recruté</w:t>
            </w:r>
          </w:p>
          <w:p w14:paraId="055D1A8F" w14:textId="206D951A" w:rsidR="007F43CA" w:rsidRPr="007F43CA" w:rsidRDefault="007F43CA" w:rsidP="001D32F6">
            <w:pPr>
              <w:pStyle w:val="Tabletext"/>
              <w:keepNext/>
              <w:ind w:left="533" w:hanging="284"/>
              <w:rPr>
                <w:sz w:val="18"/>
                <w:szCs w:val="18"/>
              </w:rPr>
            </w:pPr>
            <w:r w:rsidRPr="007F43CA">
              <w:rPr>
                <w:sz w:val="18"/>
                <w:szCs w:val="18"/>
              </w:rPr>
              <w:t>b)</w:t>
            </w:r>
            <w:r w:rsidRPr="007F43CA">
              <w:rPr>
                <w:sz w:val="18"/>
                <w:szCs w:val="18"/>
              </w:rPr>
              <w:tab/>
              <w:t>l</w:t>
            </w:r>
            <w:r w:rsidR="00E14E13">
              <w:rPr>
                <w:sz w:val="18"/>
                <w:szCs w:val="18"/>
              </w:rPr>
              <w:t>'</w:t>
            </w:r>
            <w:r w:rsidRPr="007F43CA">
              <w:rPr>
                <w:sz w:val="18"/>
                <w:szCs w:val="18"/>
              </w:rPr>
              <w:t>élaboration de divers documents d</w:t>
            </w:r>
            <w:r w:rsidR="00E14E13">
              <w:rPr>
                <w:sz w:val="18"/>
                <w:szCs w:val="18"/>
              </w:rPr>
              <w:t>'</w:t>
            </w:r>
            <w:r w:rsidRPr="007F43CA">
              <w:rPr>
                <w:sz w:val="18"/>
                <w:szCs w:val="18"/>
              </w:rPr>
              <w:t>initiation et d</w:t>
            </w:r>
            <w:r w:rsidR="00E14E13">
              <w:rPr>
                <w:sz w:val="18"/>
                <w:szCs w:val="18"/>
              </w:rPr>
              <w:t>'</w:t>
            </w:r>
            <w:r w:rsidRPr="007F43CA">
              <w:rPr>
                <w:sz w:val="18"/>
                <w:szCs w:val="18"/>
              </w:rPr>
              <w:t>intégration, afin de faciliter la transition pour les nouvelles recrues à l</w:t>
            </w:r>
            <w:r w:rsidR="00E14E13">
              <w:rPr>
                <w:sz w:val="18"/>
                <w:szCs w:val="18"/>
              </w:rPr>
              <w:t>'</w:t>
            </w:r>
            <w:r w:rsidRPr="007F43CA">
              <w:rPr>
                <w:sz w:val="18"/>
                <w:szCs w:val="18"/>
              </w:rPr>
              <w:t>UIT</w:t>
            </w:r>
          </w:p>
          <w:p w14:paraId="5FD09F43" w14:textId="36A5FD4E" w:rsidR="007F43CA" w:rsidRPr="007F43CA" w:rsidRDefault="007F43CA" w:rsidP="001D32F6">
            <w:pPr>
              <w:pStyle w:val="Tabletext"/>
              <w:keepNext/>
              <w:ind w:left="533" w:hanging="284"/>
              <w:rPr>
                <w:sz w:val="18"/>
                <w:szCs w:val="18"/>
              </w:rPr>
            </w:pPr>
            <w:r w:rsidRPr="007F43CA">
              <w:rPr>
                <w:sz w:val="18"/>
                <w:szCs w:val="18"/>
              </w:rPr>
              <w:t>c)</w:t>
            </w:r>
            <w:r w:rsidRPr="007F43CA">
              <w:rPr>
                <w:sz w:val="18"/>
                <w:szCs w:val="18"/>
              </w:rPr>
              <w:tab/>
              <w:t>l</w:t>
            </w:r>
            <w:r w:rsidR="00E14E13">
              <w:rPr>
                <w:sz w:val="18"/>
                <w:szCs w:val="18"/>
              </w:rPr>
              <w:t>'</w:t>
            </w:r>
            <w:r w:rsidRPr="007F43CA">
              <w:rPr>
                <w:sz w:val="18"/>
                <w:szCs w:val="18"/>
              </w:rPr>
              <w:t>élaboration d</w:t>
            </w:r>
            <w:r w:rsidR="00E14E13">
              <w:rPr>
                <w:sz w:val="18"/>
                <w:szCs w:val="18"/>
              </w:rPr>
              <w:t>'</w:t>
            </w:r>
            <w:r w:rsidRPr="007F43CA">
              <w:rPr>
                <w:sz w:val="18"/>
                <w:szCs w:val="18"/>
              </w:rPr>
              <w:t>un questionnaire de départ et le suivi périodique des principales conclusions</w:t>
            </w:r>
          </w:p>
        </w:tc>
        <w:tc>
          <w:tcPr>
            <w:tcW w:w="1879" w:type="dxa"/>
            <w:tcBorders>
              <w:left w:val="single" w:sz="4" w:space="0" w:color="auto"/>
              <w:bottom w:val="single" w:sz="4" w:space="0" w:color="auto"/>
            </w:tcBorders>
            <w:shd w:val="clear" w:color="auto" w:fill="FDE9D9" w:themeFill="accent6" w:themeFillTint="33"/>
          </w:tcPr>
          <w:p w14:paraId="617AB9D6" w14:textId="4AFBA088" w:rsidR="007F43CA" w:rsidRPr="007F43CA" w:rsidRDefault="007F43CA" w:rsidP="001D32F6">
            <w:pPr>
              <w:pStyle w:val="Tabletext"/>
              <w:keepLines/>
              <w:tabs>
                <w:tab w:val="left" w:pos="178"/>
              </w:tabs>
              <w:ind w:left="178" w:hanging="178"/>
              <w:rPr>
                <w:rFonts w:asciiTheme="minorHAnsi" w:hAnsiTheme="minorHAnsi" w:cstheme="minorHAnsi"/>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Nombre de stages d</w:t>
            </w:r>
            <w:r w:rsidR="00E14E13">
              <w:rPr>
                <w:rFonts w:asciiTheme="minorHAnsi" w:hAnsiTheme="minorHAnsi" w:cstheme="minorHAnsi"/>
                <w:sz w:val="18"/>
                <w:szCs w:val="18"/>
              </w:rPr>
              <w:t>'</w:t>
            </w:r>
            <w:r w:rsidRPr="007F43CA">
              <w:rPr>
                <w:rFonts w:asciiTheme="minorHAnsi" w:hAnsiTheme="minorHAnsi" w:cstheme="minorHAnsi"/>
                <w:sz w:val="18"/>
                <w:szCs w:val="18"/>
              </w:rPr>
              <w:t>intégration organisés (taux de participation du personnel nouvellement recruté) par an</w:t>
            </w:r>
          </w:p>
          <w:p w14:paraId="3C38212E" w14:textId="2CAEBCD9" w:rsidR="007F43CA" w:rsidRPr="007F43CA" w:rsidRDefault="007F43CA" w:rsidP="001D32F6">
            <w:pPr>
              <w:pStyle w:val="Tabletext"/>
              <w:keepLines/>
              <w:tabs>
                <w:tab w:val="left" w:pos="178"/>
              </w:tabs>
              <w:ind w:left="178" w:hanging="178"/>
              <w:rPr>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Questionnaire de départ communiqué à tous les fonctionnaires quittant l</w:t>
            </w:r>
            <w:r w:rsidR="00E14E13">
              <w:rPr>
                <w:rFonts w:asciiTheme="minorHAnsi" w:hAnsiTheme="minorHAnsi" w:cstheme="minorHAnsi"/>
                <w:sz w:val="18"/>
                <w:szCs w:val="18"/>
              </w:rPr>
              <w:t>'</w:t>
            </w:r>
            <w:r w:rsidRPr="007F43CA">
              <w:rPr>
                <w:rFonts w:asciiTheme="minorHAnsi" w:hAnsiTheme="minorHAnsi" w:cstheme="minorHAnsi"/>
                <w:sz w:val="18"/>
                <w:szCs w:val="18"/>
              </w:rPr>
              <w:t>organisation, réponses analysées et analyse des points forts, points faibles, perspectives et menaces (SWOT)/plans d</w:t>
            </w:r>
            <w:r w:rsidR="00E14E13">
              <w:rPr>
                <w:rFonts w:asciiTheme="minorHAnsi" w:hAnsiTheme="minorHAnsi" w:cstheme="minorHAnsi"/>
                <w:sz w:val="18"/>
                <w:szCs w:val="18"/>
              </w:rPr>
              <w:t>'</w:t>
            </w:r>
            <w:r w:rsidRPr="007F43CA">
              <w:rPr>
                <w:rFonts w:asciiTheme="minorHAnsi" w:hAnsiTheme="minorHAnsi" w:cstheme="minorHAnsi"/>
                <w:sz w:val="18"/>
                <w:szCs w:val="18"/>
              </w:rPr>
              <w:t>action établis</w:t>
            </w:r>
          </w:p>
        </w:tc>
        <w:tc>
          <w:tcPr>
            <w:tcW w:w="1591" w:type="dxa"/>
            <w:tcBorders>
              <w:bottom w:val="single" w:sz="4" w:space="0" w:color="auto"/>
            </w:tcBorders>
            <w:shd w:val="clear" w:color="auto" w:fill="FDE9D9" w:themeFill="accent6" w:themeFillTint="33"/>
          </w:tcPr>
          <w:p w14:paraId="505DC4C4" w14:textId="77777777" w:rsidR="007F43CA" w:rsidRPr="007F43CA" w:rsidRDefault="007F43CA" w:rsidP="001D32F6">
            <w:pPr>
              <w:pStyle w:val="Tabletext"/>
              <w:tabs>
                <w:tab w:val="left" w:pos="347"/>
              </w:tabs>
              <w:rPr>
                <w:sz w:val="18"/>
                <w:szCs w:val="18"/>
              </w:rPr>
            </w:pPr>
          </w:p>
        </w:tc>
        <w:tc>
          <w:tcPr>
            <w:tcW w:w="1205" w:type="dxa"/>
            <w:tcBorders>
              <w:bottom w:val="single" w:sz="4" w:space="0" w:color="auto"/>
            </w:tcBorders>
            <w:shd w:val="clear" w:color="auto" w:fill="FDE9D9" w:themeFill="accent6" w:themeFillTint="33"/>
          </w:tcPr>
          <w:p w14:paraId="385271FD" w14:textId="30DE4819" w:rsidR="007F43CA" w:rsidRPr="007F43CA" w:rsidRDefault="00F74C17" w:rsidP="001D32F6">
            <w:pPr>
              <w:pStyle w:val="Tabletext"/>
              <w:rPr>
                <w:sz w:val="18"/>
                <w:szCs w:val="18"/>
              </w:rPr>
            </w:pPr>
            <w:r>
              <w:rPr>
                <w:sz w:val="18"/>
                <w:szCs w:val="18"/>
              </w:rPr>
              <w:t>2020-2021</w:t>
            </w:r>
          </w:p>
        </w:tc>
        <w:tc>
          <w:tcPr>
            <w:tcW w:w="4687" w:type="dxa"/>
            <w:tcBorders>
              <w:bottom w:val="single" w:sz="4" w:space="0" w:color="auto"/>
            </w:tcBorders>
            <w:shd w:val="clear" w:color="auto" w:fill="FDE9D9" w:themeFill="accent6" w:themeFillTint="33"/>
          </w:tcPr>
          <w:p w14:paraId="0E365C88" w14:textId="2E013A6D" w:rsidR="007F43CA" w:rsidRPr="00062388" w:rsidRDefault="007F43CA" w:rsidP="001D32F6">
            <w:pPr>
              <w:pStyle w:val="Tabletext"/>
              <w:rPr>
                <w:sz w:val="18"/>
                <w:szCs w:val="18"/>
              </w:rPr>
            </w:pPr>
            <w:r w:rsidRPr="004F1D7C">
              <w:rPr>
                <w:sz w:val="18"/>
                <w:szCs w:val="18"/>
              </w:rPr>
              <w:t xml:space="preserve">En 2021, </w:t>
            </w:r>
            <w:r w:rsidR="00A6162E" w:rsidRPr="004F1D7C">
              <w:rPr>
                <w:sz w:val="18"/>
                <w:szCs w:val="18"/>
              </w:rPr>
              <w:t>dix</w:t>
            </w:r>
            <w:r w:rsidRPr="004F1D7C">
              <w:rPr>
                <w:sz w:val="18"/>
                <w:szCs w:val="18"/>
              </w:rPr>
              <w:t xml:space="preserve"> </w:t>
            </w:r>
            <w:r w:rsidR="00E83B9B" w:rsidRPr="004F1D7C">
              <w:rPr>
                <w:sz w:val="18"/>
                <w:szCs w:val="18"/>
              </w:rPr>
              <w:t xml:space="preserve">séances </w:t>
            </w:r>
            <w:r w:rsidRPr="004F1D7C">
              <w:rPr>
                <w:sz w:val="18"/>
                <w:szCs w:val="18"/>
              </w:rPr>
              <w:t>d</w:t>
            </w:r>
            <w:r w:rsidR="00E14E13" w:rsidRPr="004F1D7C">
              <w:rPr>
                <w:sz w:val="18"/>
                <w:szCs w:val="18"/>
              </w:rPr>
              <w:t>'</w:t>
            </w:r>
            <w:r w:rsidRPr="004F1D7C">
              <w:rPr>
                <w:sz w:val="18"/>
                <w:szCs w:val="18"/>
              </w:rPr>
              <w:t>intégration ont été organisées à distance au moyen de Microsoft 365 T</w:t>
            </w:r>
            <w:r w:rsidR="00A55D59" w:rsidRPr="004F1D7C">
              <w:rPr>
                <w:sz w:val="18"/>
                <w:szCs w:val="18"/>
              </w:rPr>
              <w:t>eams au profit de </w:t>
            </w:r>
            <w:r w:rsidRPr="004F1D7C">
              <w:rPr>
                <w:sz w:val="18"/>
                <w:szCs w:val="18"/>
              </w:rPr>
              <w:t>159</w:t>
            </w:r>
            <w:r w:rsidR="00F74C17" w:rsidRPr="004F1D7C">
              <w:rPr>
                <w:sz w:val="18"/>
                <w:szCs w:val="18"/>
              </w:rPr>
              <w:t> </w:t>
            </w:r>
            <w:r w:rsidRPr="004F1D7C">
              <w:rPr>
                <w:sz w:val="18"/>
                <w:szCs w:val="18"/>
              </w:rPr>
              <w:t xml:space="preserve">fonctionnaires, consultants (SSA) et stagiaires </w:t>
            </w:r>
            <w:r w:rsidR="004F1D7C" w:rsidRPr="004F1D7C">
              <w:rPr>
                <w:sz w:val="18"/>
                <w:szCs w:val="18"/>
              </w:rPr>
              <w:t xml:space="preserve">nouvellement </w:t>
            </w:r>
            <w:r w:rsidRPr="004F1D7C">
              <w:rPr>
                <w:sz w:val="18"/>
                <w:szCs w:val="18"/>
              </w:rPr>
              <w:t xml:space="preserve">recrutés. </w:t>
            </w:r>
            <w:r w:rsidR="00062388" w:rsidRPr="004F1D7C">
              <w:rPr>
                <w:sz w:val="18"/>
                <w:szCs w:val="18"/>
              </w:rPr>
              <w:t>Depuis</w:t>
            </w:r>
            <w:r w:rsidR="00062388" w:rsidRPr="00062388">
              <w:rPr>
                <w:sz w:val="18"/>
                <w:szCs w:val="18"/>
              </w:rPr>
              <w:t xml:space="preserve"> le lancement de ces </w:t>
            </w:r>
            <w:r w:rsidR="00E83B9B">
              <w:rPr>
                <w:sz w:val="18"/>
                <w:szCs w:val="18"/>
              </w:rPr>
              <w:t>séances</w:t>
            </w:r>
            <w:r w:rsidR="00E83B9B" w:rsidRPr="00062388">
              <w:rPr>
                <w:sz w:val="18"/>
                <w:szCs w:val="18"/>
              </w:rPr>
              <w:t xml:space="preserve"> </w:t>
            </w:r>
            <w:r w:rsidR="00062388" w:rsidRPr="00062388">
              <w:rPr>
                <w:sz w:val="18"/>
                <w:szCs w:val="18"/>
              </w:rPr>
              <w:t>d</w:t>
            </w:r>
            <w:r w:rsidR="00E14E13">
              <w:rPr>
                <w:sz w:val="18"/>
                <w:szCs w:val="18"/>
              </w:rPr>
              <w:t>'</w:t>
            </w:r>
            <w:r w:rsidR="00062388" w:rsidRPr="00062388">
              <w:rPr>
                <w:sz w:val="18"/>
                <w:szCs w:val="18"/>
              </w:rPr>
              <w:t>intégration régulières</w:t>
            </w:r>
            <w:r w:rsidR="00062388">
              <w:rPr>
                <w:sz w:val="18"/>
                <w:szCs w:val="18"/>
              </w:rPr>
              <w:t>, d</w:t>
            </w:r>
            <w:r w:rsidR="00E14E13">
              <w:rPr>
                <w:sz w:val="18"/>
                <w:szCs w:val="18"/>
              </w:rPr>
              <w:t>'</w:t>
            </w:r>
            <w:r w:rsidR="00062388">
              <w:rPr>
                <w:sz w:val="18"/>
                <w:szCs w:val="18"/>
              </w:rPr>
              <w:t xml:space="preserve">une durée de 90 minutes, en septembre 2019, 31 sessions ont été organisées au profit de </w:t>
            </w:r>
            <w:r w:rsidRPr="00062388">
              <w:rPr>
                <w:sz w:val="18"/>
                <w:szCs w:val="18"/>
              </w:rPr>
              <w:t xml:space="preserve">371 </w:t>
            </w:r>
            <w:r w:rsidR="00062388">
              <w:rPr>
                <w:sz w:val="18"/>
                <w:szCs w:val="18"/>
              </w:rPr>
              <w:t>participants</w:t>
            </w:r>
            <w:r w:rsidRPr="00062388">
              <w:rPr>
                <w:sz w:val="18"/>
                <w:szCs w:val="18"/>
              </w:rPr>
              <w:t>.</w:t>
            </w:r>
          </w:p>
          <w:p w14:paraId="44BE8E9F" w14:textId="0FEC08C0" w:rsidR="007F43CA" w:rsidRPr="007F43CA" w:rsidRDefault="007F43CA" w:rsidP="001D32F6">
            <w:pPr>
              <w:pStyle w:val="Tabletext"/>
              <w:rPr>
                <w:sz w:val="18"/>
                <w:szCs w:val="18"/>
              </w:rPr>
            </w:pPr>
            <w:r w:rsidRPr="007F43CA">
              <w:rPr>
                <w:sz w:val="18"/>
                <w:szCs w:val="18"/>
              </w:rPr>
              <w:t>Une nouvelle plate-forme d</w:t>
            </w:r>
            <w:r w:rsidR="00E14E13">
              <w:rPr>
                <w:sz w:val="18"/>
                <w:szCs w:val="18"/>
              </w:rPr>
              <w:t>'</w:t>
            </w:r>
            <w:r w:rsidRPr="007F43CA">
              <w:rPr>
                <w:sz w:val="18"/>
                <w:szCs w:val="18"/>
              </w:rPr>
              <w:t>intégration a été créée. Elle comprend des listes de vérification à l</w:t>
            </w:r>
            <w:r w:rsidR="00E14E13">
              <w:rPr>
                <w:sz w:val="18"/>
                <w:szCs w:val="18"/>
              </w:rPr>
              <w:t>'</w:t>
            </w:r>
            <w:r w:rsidRPr="007F43CA">
              <w:rPr>
                <w:sz w:val="18"/>
                <w:szCs w:val="18"/>
              </w:rPr>
              <w:t>usage des responsables et des fonctionnaires. De nouvelles plates</w:t>
            </w:r>
            <w:r w:rsidRPr="007F43CA">
              <w:rPr>
                <w:sz w:val="18"/>
                <w:szCs w:val="18"/>
              </w:rPr>
              <w:noBreakHyphen/>
              <w:t>formes, comprenant notamment un système de gestion de la formation, ont dû être mises en place, en particulier en raison de la nouvelle situation et du télétravail. Le système permettra de prendre en compte les pratiques d</w:t>
            </w:r>
            <w:r w:rsidR="00E14E13">
              <w:rPr>
                <w:sz w:val="18"/>
                <w:szCs w:val="18"/>
              </w:rPr>
              <w:t>'</w:t>
            </w:r>
            <w:r w:rsidRPr="007F43CA">
              <w:rPr>
                <w:sz w:val="18"/>
                <w:szCs w:val="18"/>
              </w:rPr>
              <w:t>intégration et de départ, en particulier en ce qui concerne l</w:t>
            </w:r>
            <w:r w:rsidR="00E14E13">
              <w:rPr>
                <w:sz w:val="18"/>
                <w:szCs w:val="18"/>
              </w:rPr>
              <w:t>'</w:t>
            </w:r>
            <w:r w:rsidRPr="007F43CA">
              <w:rPr>
                <w:sz w:val="18"/>
                <w:szCs w:val="18"/>
              </w:rPr>
              <w:t xml:space="preserve">évaluation du Pilier 2 (personnel motivé). </w:t>
            </w:r>
          </w:p>
          <w:p w14:paraId="02EFEAE6" w14:textId="77777777" w:rsidR="009B3A00" w:rsidRDefault="007F43CA" w:rsidP="001D32F6">
            <w:pPr>
              <w:pStyle w:val="Tabletext"/>
              <w:rPr>
                <w:sz w:val="18"/>
                <w:szCs w:val="18"/>
              </w:rPr>
            </w:pPr>
            <w:r w:rsidRPr="007F43CA">
              <w:rPr>
                <w:sz w:val="18"/>
                <w:szCs w:val="18"/>
              </w:rPr>
              <w:t xml:space="preserve">Stratégie de mentorat: </w:t>
            </w:r>
          </w:p>
          <w:p w14:paraId="5D723D88" w14:textId="764AE95B" w:rsidR="007F43CA" w:rsidRPr="007F43CA" w:rsidRDefault="009B3A00" w:rsidP="009B3A00">
            <w:pPr>
              <w:pStyle w:val="Tabletext"/>
              <w:tabs>
                <w:tab w:val="left" w:pos="302"/>
              </w:tabs>
              <w:ind w:left="302" w:hanging="302"/>
              <w:rPr>
                <w:sz w:val="18"/>
                <w:szCs w:val="18"/>
              </w:rPr>
            </w:pPr>
            <w:r>
              <w:rPr>
                <w:sz w:val="18"/>
                <w:szCs w:val="18"/>
              </w:rPr>
              <w:t>1)</w:t>
            </w:r>
            <w:r>
              <w:rPr>
                <w:sz w:val="18"/>
                <w:szCs w:val="18"/>
              </w:rPr>
              <w:tab/>
            </w:r>
            <w:r w:rsidR="007F43CA" w:rsidRPr="007F43CA">
              <w:rPr>
                <w:sz w:val="18"/>
                <w:szCs w:val="18"/>
              </w:rPr>
              <w:t>Un programme de mentorat interne de l</w:t>
            </w:r>
            <w:r w:rsidR="00E14E13">
              <w:rPr>
                <w:sz w:val="18"/>
                <w:szCs w:val="18"/>
              </w:rPr>
              <w:t>'</w:t>
            </w:r>
            <w:r w:rsidR="007F43CA" w:rsidRPr="007F43CA">
              <w:rPr>
                <w:sz w:val="18"/>
                <w:szCs w:val="18"/>
              </w:rPr>
              <w:t xml:space="preserve">UIT a été lancé </w:t>
            </w:r>
            <w:r w:rsidR="00062388">
              <w:rPr>
                <w:sz w:val="18"/>
                <w:szCs w:val="18"/>
              </w:rPr>
              <w:t>en</w:t>
            </w:r>
            <w:r w:rsidR="007F43CA" w:rsidRPr="007F43CA">
              <w:rPr>
                <w:sz w:val="18"/>
                <w:szCs w:val="18"/>
              </w:rPr>
              <w:t xml:space="preserve"> 2020. </w:t>
            </w:r>
            <w:r w:rsidR="00062388">
              <w:rPr>
                <w:sz w:val="18"/>
                <w:szCs w:val="18"/>
              </w:rPr>
              <w:t xml:space="preserve">Le nombre de </w:t>
            </w:r>
            <w:r w:rsidR="007F43CA" w:rsidRPr="007F43CA">
              <w:rPr>
                <w:sz w:val="18"/>
                <w:szCs w:val="18"/>
              </w:rPr>
              <w:t>membres du personnel de l</w:t>
            </w:r>
            <w:r w:rsidR="00E14E13">
              <w:rPr>
                <w:sz w:val="18"/>
                <w:szCs w:val="18"/>
              </w:rPr>
              <w:t>'</w:t>
            </w:r>
            <w:r w:rsidR="007F43CA" w:rsidRPr="007F43CA">
              <w:rPr>
                <w:sz w:val="18"/>
                <w:szCs w:val="18"/>
              </w:rPr>
              <w:t xml:space="preserve">UIT à différents grades et niveaux </w:t>
            </w:r>
            <w:r w:rsidR="00062388">
              <w:rPr>
                <w:sz w:val="18"/>
                <w:szCs w:val="18"/>
              </w:rPr>
              <w:t xml:space="preserve">qui </w:t>
            </w:r>
            <w:r w:rsidR="007F43CA" w:rsidRPr="007F43CA">
              <w:rPr>
                <w:sz w:val="18"/>
                <w:szCs w:val="18"/>
              </w:rPr>
              <w:t xml:space="preserve">ont participé au programme </w:t>
            </w:r>
            <w:r w:rsidR="00062388">
              <w:rPr>
                <w:sz w:val="18"/>
                <w:szCs w:val="18"/>
              </w:rPr>
              <w:t>en 2021 a continué d</w:t>
            </w:r>
            <w:r w:rsidR="00E14E13">
              <w:rPr>
                <w:sz w:val="18"/>
                <w:szCs w:val="18"/>
              </w:rPr>
              <w:t>'</w:t>
            </w:r>
            <w:r w:rsidR="00062388">
              <w:rPr>
                <w:sz w:val="18"/>
                <w:szCs w:val="18"/>
              </w:rPr>
              <w:t>augmenter</w:t>
            </w:r>
            <w:r w:rsidR="007F43CA" w:rsidRPr="007F43CA">
              <w:rPr>
                <w:sz w:val="18"/>
                <w:szCs w:val="18"/>
              </w:rPr>
              <w:t>. Le programme est dispensé sur une plate-forme en ligne proposant des lignes directrices et des cours en ligne, des webinaires d</w:t>
            </w:r>
            <w:r w:rsidR="00E14E13">
              <w:rPr>
                <w:sz w:val="18"/>
                <w:szCs w:val="18"/>
              </w:rPr>
              <w:t>'</w:t>
            </w:r>
            <w:r w:rsidR="007F43CA" w:rsidRPr="007F43CA">
              <w:rPr>
                <w:sz w:val="18"/>
                <w:szCs w:val="18"/>
              </w:rPr>
              <w:t>orientation, des sessions de formation personnalisées pour les mentors et leurs protégés, ainsi que d</w:t>
            </w:r>
            <w:r w:rsidR="00E14E13">
              <w:rPr>
                <w:sz w:val="18"/>
                <w:szCs w:val="18"/>
              </w:rPr>
              <w:t>'</w:t>
            </w:r>
            <w:r w:rsidR="007F43CA" w:rsidRPr="007F43CA">
              <w:rPr>
                <w:sz w:val="18"/>
                <w:szCs w:val="18"/>
              </w:rPr>
              <w:t>autres possibilités de mise en relation guidée. Le programme a été très bien reçu par le personnel (note de satisfaction de 4,5/5).</w:t>
            </w:r>
          </w:p>
          <w:p w14:paraId="161188F2" w14:textId="7EA36A50" w:rsidR="007F43CA" w:rsidRPr="007F43CA" w:rsidRDefault="009B3A00" w:rsidP="009B3A00">
            <w:pPr>
              <w:pStyle w:val="Tabletext"/>
              <w:tabs>
                <w:tab w:val="left" w:pos="306"/>
              </w:tabs>
              <w:ind w:left="306" w:hanging="306"/>
              <w:rPr>
                <w:sz w:val="18"/>
                <w:szCs w:val="18"/>
              </w:rPr>
            </w:pPr>
            <w:r>
              <w:rPr>
                <w:sz w:val="18"/>
                <w:szCs w:val="18"/>
              </w:rPr>
              <w:t>2)</w:t>
            </w:r>
            <w:r>
              <w:rPr>
                <w:sz w:val="18"/>
                <w:szCs w:val="18"/>
              </w:rPr>
              <w:tab/>
            </w:r>
            <w:r w:rsidR="007F43CA" w:rsidRPr="007F43CA">
              <w:rPr>
                <w:sz w:val="18"/>
                <w:szCs w:val="18"/>
              </w:rPr>
              <w:t>Une collaboration a été mise en place avec le Secrétariat de l</w:t>
            </w:r>
            <w:r w:rsidR="00E14E13">
              <w:rPr>
                <w:sz w:val="18"/>
                <w:szCs w:val="18"/>
              </w:rPr>
              <w:t>'</w:t>
            </w:r>
            <w:r w:rsidR="007F43CA" w:rsidRPr="007F43CA">
              <w:rPr>
                <w:sz w:val="18"/>
                <w:szCs w:val="18"/>
              </w:rPr>
              <w:t>ONU au sujet d</w:t>
            </w:r>
            <w:r w:rsidR="00E14E13">
              <w:rPr>
                <w:sz w:val="18"/>
                <w:szCs w:val="18"/>
              </w:rPr>
              <w:t>'</w:t>
            </w:r>
            <w:r w:rsidR="007F43CA" w:rsidRPr="007F43CA">
              <w:rPr>
                <w:sz w:val="18"/>
                <w:szCs w:val="18"/>
              </w:rPr>
              <w:t>un programme de mentorat interinstitutions (auquel ont participé environ 25</w:t>
            </w:r>
            <w:r w:rsidR="00F74C17">
              <w:rPr>
                <w:sz w:val="18"/>
                <w:szCs w:val="18"/>
              </w:rPr>
              <w:t> </w:t>
            </w:r>
            <w:r w:rsidR="007F43CA" w:rsidRPr="007F43CA">
              <w:rPr>
                <w:sz w:val="18"/>
                <w:szCs w:val="18"/>
              </w:rPr>
              <w:t>fonctionnaires de l</w:t>
            </w:r>
            <w:r w:rsidR="00E14E13">
              <w:rPr>
                <w:sz w:val="18"/>
                <w:szCs w:val="18"/>
              </w:rPr>
              <w:t>'</w:t>
            </w:r>
            <w:r w:rsidR="007F43CA" w:rsidRPr="007F43CA">
              <w:rPr>
                <w:sz w:val="18"/>
                <w:szCs w:val="18"/>
              </w:rPr>
              <w:t>UIT).</w:t>
            </w:r>
          </w:p>
          <w:p w14:paraId="27AF7336" w14:textId="4E943EAA" w:rsidR="007F43CA" w:rsidRPr="006016BF" w:rsidRDefault="00062388" w:rsidP="001D32F6">
            <w:pPr>
              <w:pStyle w:val="Tabletext"/>
              <w:keepNext/>
              <w:keepLines/>
              <w:rPr>
                <w:sz w:val="18"/>
                <w:szCs w:val="18"/>
              </w:rPr>
            </w:pPr>
            <w:r w:rsidRPr="00062388">
              <w:rPr>
                <w:sz w:val="18"/>
                <w:szCs w:val="18"/>
              </w:rPr>
              <w:lastRenderedPageBreak/>
              <w:t>L</w:t>
            </w:r>
            <w:r w:rsidR="00280101">
              <w:rPr>
                <w:sz w:val="18"/>
                <w:szCs w:val="18"/>
              </w:rPr>
              <w:t>a correspondance</w:t>
            </w:r>
            <w:r w:rsidR="00BD54AF">
              <w:rPr>
                <w:sz w:val="18"/>
                <w:szCs w:val="18"/>
              </w:rPr>
              <w:t xml:space="preserve"> sortante</w:t>
            </w:r>
            <w:r w:rsidR="00280101">
              <w:rPr>
                <w:sz w:val="18"/>
                <w:szCs w:val="18"/>
              </w:rPr>
              <w:t xml:space="preserve">, par exemple les courriels contenant les offres de contrat, a été examinée et </w:t>
            </w:r>
            <w:r w:rsidR="00BD54AF">
              <w:rPr>
                <w:sz w:val="18"/>
                <w:szCs w:val="18"/>
              </w:rPr>
              <w:t>mise à jour,</w:t>
            </w:r>
            <w:r w:rsidR="00280101">
              <w:rPr>
                <w:sz w:val="18"/>
                <w:szCs w:val="18"/>
              </w:rPr>
              <w:t xml:space="preserve"> afin de simplifier le processus d</w:t>
            </w:r>
            <w:r w:rsidR="00E14E13">
              <w:rPr>
                <w:sz w:val="18"/>
                <w:szCs w:val="18"/>
              </w:rPr>
              <w:t>'</w:t>
            </w:r>
            <w:r w:rsidR="00280101">
              <w:rPr>
                <w:sz w:val="18"/>
                <w:szCs w:val="18"/>
              </w:rPr>
              <w:t xml:space="preserve">intégration. </w:t>
            </w:r>
            <w:r w:rsidR="006016BF" w:rsidRPr="006016BF">
              <w:rPr>
                <w:sz w:val="18"/>
                <w:szCs w:val="18"/>
              </w:rPr>
              <w:t xml:space="preserve">Des </w:t>
            </w:r>
            <w:r w:rsidR="00ED4558">
              <w:rPr>
                <w:sz w:val="18"/>
                <w:szCs w:val="18"/>
              </w:rPr>
              <w:t xml:space="preserve">consultations sont en cours en interne </w:t>
            </w:r>
            <w:r w:rsidR="006016BF" w:rsidRPr="006016BF">
              <w:rPr>
                <w:sz w:val="18"/>
                <w:szCs w:val="18"/>
              </w:rPr>
              <w:t>avec le Service médical a</w:t>
            </w:r>
            <w:r w:rsidR="006016BF">
              <w:rPr>
                <w:sz w:val="18"/>
                <w:szCs w:val="18"/>
              </w:rPr>
              <w:t>fin d</w:t>
            </w:r>
            <w:r w:rsidR="00E14E13">
              <w:rPr>
                <w:sz w:val="18"/>
                <w:szCs w:val="18"/>
              </w:rPr>
              <w:t>'</w:t>
            </w:r>
            <w:r w:rsidR="006016BF">
              <w:rPr>
                <w:sz w:val="18"/>
                <w:szCs w:val="18"/>
              </w:rPr>
              <w:t xml:space="preserve">optimiser le processus </w:t>
            </w:r>
            <w:r w:rsidR="006016BF" w:rsidRPr="006016BF">
              <w:rPr>
                <w:sz w:val="18"/>
                <w:szCs w:val="18"/>
              </w:rPr>
              <w:t>de</w:t>
            </w:r>
            <w:r w:rsidR="006016BF">
              <w:rPr>
                <w:sz w:val="18"/>
                <w:szCs w:val="18"/>
              </w:rPr>
              <w:t xml:space="preserve"> certificat médical.</w:t>
            </w:r>
          </w:p>
        </w:tc>
      </w:tr>
      <w:bookmarkEnd w:id="10"/>
      <w:tr w:rsidR="007F43CA" w:rsidRPr="00683D89" w14:paraId="04D1CB94" w14:textId="77777777" w:rsidTr="005817FB">
        <w:tc>
          <w:tcPr>
            <w:tcW w:w="494" w:type="dxa"/>
            <w:vMerge/>
            <w:tcBorders>
              <w:bottom w:val="single" w:sz="4" w:space="0" w:color="auto"/>
            </w:tcBorders>
            <w:shd w:val="clear" w:color="auto" w:fill="FDE9D9" w:themeFill="accent6" w:themeFillTint="33"/>
          </w:tcPr>
          <w:p w14:paraId="487FD26C" w14:textId="77777777" w:rsidR="007F43CA" w:rsidRPr="006016BF" w:rsidRDefault="007F43CA" w:rsidP="001D32F6">
            <w:pPr>
              <w:pStyle w:val="Tabletext"/>
              <w:keepLines/>
              <w:rPr>
                <w:sz w:val="18"/>
                <w:szCs w:val="18"/>
              </w:rPr>
            </w:pPr>
          </w:p>
        </w:tc>
        <w:tc>
          <w:tcPr>
            <w:tcW w:w="1547" w:type="dxa"/>
            <w:vMerge/>
            <w:tcBorders>
              <w:bottom w:val="single" w:sz="4" w:space="0" w:color="auto"/>
            </w:tcBorders>
            <w:shd w:val="clear" w:color="auto" w:fill="FDE9D9" w:themeFill="accent6" w:themeFillTint="33"/>
          </w:tcPr>
          <w:p w14:paraId="6AB867C0" w14:textId="77777777" w:rsidR="007F43CA" w:rsidRPr="006016BF" w:rsidRDefault="007F43CA" w:rsidP="001D32F6">
            <w:pPr>
              <w:pStyle w:val="Tabletext"/>
              <w:keepLines/>
              <w:rPr>
                <w:sz w:val="18"/>
                <w:szCs w:val="18"/>
              </w:rPr>
            </w:pPr>
          </w:p>
        </w:tc>
        <w:tc>
          <w:tcPr>
            <w:tcW w:w="2626" w:type="dxa"/>
            <w:tcBorders>
              <w:top w:val="single" w:sz="4" w:space="0" w:color="auto"/>
              <w:bottom w:val="single" w:sz="4" w:space="0" w:color="auto"/>
            </w:tcBorders>
            <w:shd w:val="clear" w:color="auto" w:fill="FDE9D9" w:themeFill="accent6" w:themeFillTint="33"/>
          </w:tcPr>
          <w:p w14:paraId="3F712DE1" w14:textId="117512C3" w:rsidR="007F43CA" w:rsidRPr="007F43CA" w:rsidRDefault="007F43CA" w:rsidP="001D32F6">
            <w:pPr>
              <w:pStyle w:val="Tabletext"/>
              <w:keepLines/>
              <w:tabs>
                <w:tab w:val="left" w:pos="289"/>
              </w:tabs>
              <w:ind w:left="249" w:hanging="249"/>
              <w:rPr>
                <w:sz w:val="18"/>
                <w:szCs w:val="18"/>
              </w:rPr>
            </w:pPr>
            <w:r w:rsidRPr="009B3A00">
              <w:rPr>
                <w:sz w:val="18"/>
                <w:szCs w:val="18"/>
              </w:rPr>
              <w:t>2</w:t>
            </w:r>
            <w:r w:rsidRPr="007F43CA">
              <w:rPr>
                <w:sz w:val="18"/>
                <w:szCs w:val="18"/>
              </w:rPr>
              <w:tab/>
              <w:t>Simplifier les processus d</w:t>
            </w:r>
            <w:r w:rsidR="00E14E13">
              <w:rPr>
                <w:sz w:val="18"/>
                <w:szCs w:val="18"/>
              </w:rPr>
              <w:t>'</w:t>
            </w:r>
            <w:r w:rsidRPr="007F43CA">
              <w:rPr>
                <w:sz w:val="18"/>
                <w:szCs w:val="18"/>
              </w:rPr>
              <w:t>intégration</w:t>
            </w:r>
          </w:p>
        </w:tc>
        <w:tc>
          <w:tcPr>
            <w:tcW w:w="1879" w:type="dxa"/>
            <w:tcBorders>
              <w:top w:val="single" w:sz="4" w:space="0" w:color="auto"/>
            </w:tcBorders>
            <w:shd w:val="clear" w:color="auto" w:fill="FDE9D9" w:themeFill="accent6" w:themeFillTint="33"/>
          </w:tcPr>
          <w:p w14:paraId="73F9F79D" w14:textId="33C8310B" w:rsidR="007F43CA" w:rsidRPr="007F43CA" w:rsidRDefault="007F43CA" w:rsidP="001D32F6">
            <w:pPr>
              <w:pStyle w:val="Tabletext"/>
              <w:keepLines/>
              <w:tabs>
                <w:tab w:val="left" w:pos="178"/>
              </w:tabs>
              <w:ind w:left="178" w:hanging="178"/>
              <w:rPr>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Processus d</w:t>
            </w:r>
            <w:r w:rsidR="00E14E13">
              <w:rPr>
                <w:rFonts w:asciiTheme="minorHAnsi" w:hAnsiTheme="minorHAnsi" w:cstheme="minorHAnsi"/>
                <w:sz w:val="18"/>
                <w:szCs w:val="18"/>
              </w:rPr>
              <w:t>'</w:t>
            </w:r>
            <w:r w:rsidRPr="007F43CA">
              <w:rPr>
                <w:rFonts w:asciiTheme="minorHAnsi" w:hAnsiTheme="minorHAnsi" w:cstheme="minorHAnsi"/>
                <w:sz w:val="18"/>
                <w:szCs w:val="18"/>
              </w:rPr>
              <w:t>intégration révisé pour le personnel de l</w:t>
            </w:r>
            <w:r w:rsidR="00E14E13">
              <w:rPr>
                <w:rFonts w:asciiTheme="minorHAnsi" w:hAnsiTheme="minorHAnsi" w:cstheme="minorHAnsi"/>
                <w:sz w:val="18"/>
                <w:szCs w:val="18"/>
              </w:rPr>
              <w:t>'</w:t>
            </w:r>
            <w:r w:rsidRPr="007F43CA">
              <w:rPr>
                <w:rFonts w:asciiTheme="minorHAnsi" w:hAnsiTheme="minorHAnsi" w:cstheme="minorHAnsi"/>
                <w:sz w:val="18"/>
                <w:szCs w:val="18"/>
              </w:rPr>
              <w:t>UIT, afin de réduire le nombre d</w:t>
            </w:r>
            <w:r w:rsidR="00E14E13">
              <w:rPr>
                <w:rFonts w:asciiTheme="minorHAnsi" w:hAnsiTheme="minorHAnsi" w:cstheme="minorHAnsi"/>
                <w:sz w:val="18"/>
                <w:szCs w:val="18"/>
              </w:rPr>
              <w:t>'</w:t>
            </w:r>
            <w:r w:rsidRPr="007F43CA">
              <w:rPr>
                <w:rFonts w:asciiTheme="minorHAnsi" w:hAnsiTheme="minorHAnsi" w:cstheme="minorHAnsi"/>
                <w:sz w:val="18"/>
                <w:szCs w:val="18"/>
              </w:rPr>
              <w:t>étapes et le flux de travail (correspondance, vérification des références)</w:t>
            </w:r>
          </w:p>
        </w:tc>
        <w:tc>
          <w:tcPr>
            <w:tcW w:w="1591" w:type="dxa"/>
            <w:tcBorders>
              <w:top w:val="single" w:sz="4" w:space="0" w:color="auto"/>
            </w:tcBorders>
            <w:shd w:val="clear" w:color="auto" w:fill="FDE9D9" w:themeFill="accent6" w:themeFillTint="33"/>
          </w:tcPr>
          <w:p w14:paraId="579D2AEF" w14:textId="77777777" w:rsidR="007F43CA" w:rsidRPr="007F43CA" w:rsidRDefault="007F43CA" w:rsidP="001D32F6">
            <w:pPr>
              <w:pStyle w:val="Tabletext"/>
              <w:rPr>
                <w:sz w:val="18"/>
                <w:szCs w:val="18"/>
              </w:rPr>
            </w:pPr>
            <w:r w:rsidRPr="007F43CA">
              <w:rPr>
                <w:sz w:val="18"/>
                <w:szCs w:val="18"/>
              </w:rPr>
              <w:t>SAS</w:t>
            </w:r>
          </w:p>
          <w:p w14:paraId="4384F80D" w14:textId="77777777" w:rsidR="007F43CA" w:rsidRPr="007F43CA" w:rsidRDefault="007F43CA" w:rsidP="001D32F6">
            <w:pPr>
              <w:pStyle w:val="Tabletext"/>
              <w:rPr>
                <w:sz w:val="18"/>
                <w:szCs w:val="18"/>
              </w:rPr>
            </w:pPr>
            <w:r w:rsidRPr="007F43CA">
              <w:rPr>
                <w:sz w:val="18"/>
                <w:szCs w:val="18"/>
              </w:rPr>
              <w:t>ODR</w:t>
            </w:r>
          </w:p>
        </w:tc>
        <w:tc>
          <w:tcPr>
            <w:tcW w:w="1205" w:type="dxa"/>
            <w:tcBorders>
              <w:top w:val="single" w:sz="4" w:space="0" w:color="auto"/>
            </w:tcBorders>
            <w:shd w:val="clear" w:color="auto" w:fill="FDE9D9" w:themeFill="accent6" w:themeFillTint="33"/>
          </w:tcPr>
          <w:p w14:paraId="5F2CF3C5" w14:textId="77777777" w:rsidR="007F43CA" w:rsidRPr="007F43CA" w:rsidRDefault="007F43CA" w:rsidP="001D32F6">
            <w:pPr>
              <w:pStyle w:val="Tabletext"/>
              <w:rPr>
                <w:sz w:val="18"/>
                <w:szCs w:val="18"/>
              </w:rPr>
            </w:pPr>
            <w:r w:rsidRPr="007F43CA">
              <w:rPr>
                <w:sz w:val="18"/>
                <w:szCs w:val="18"/>
              </w:rPr>
              <w:t>2021</w:t>
            </w:r>
          </w:p>
        </w:tc>
        <w:tc>
          <w:tcPr>
            <w:tcW w:w="4687" w:type="dxa"/>
            <w:tcBorders>
              <w:top w:val="single" w:sz="4" w:space="0" w:color="auto"/>
            </w:tcBorders>
            <w:shd w:val="clear" w:color="auto" w:fill="FDE9D9" w:themeFill="accent6" w:themeFillTint="33"/>
          </w:tcPr>
          <w:p w14:paraId="0B397167" w14:textId="243716A3" w:rsidR="007F43CA" w:rsidRPr="00E14E13" w:rsidRDefault="00683D89" w:rsidP="001D32F6">
            <w:pPr>
              <w:pStyle w:val="Tabletext"/>
              <w:rPr>
                <w:sz w:val="18"/>
                <w:szCs w:val="18"/>
              </w:rPr>
            </w:pPr>
            <w:r>
              <w:rPr>
                <w:sz w:val="18"/>
                <w:szCs w:val="18"/>
              </w:rPr>
              <w:t>Ce projet est en cours. Le Département HRMD envisage la mise en place d</w:t>
            </w:r>
            <w:r w:rsidR="00E14E13">
              <w:rPr>
                <w:sz w:val="18"/>
                <w:szCs w:val="18"/>
              </w:rPr>
              <w:t>'</w:t>
            </w:r>
            <w:r>
              <w:rPr>
                <w:sz w:val="18"/>
                <w:szCs w:val="18"/>
              </w:rPr>
              <w:t>une plate-forme électronique permettant de simplifier les processus d</w:t>
            </w:r>
            <w:r w:rsidR="00E14E13">
              <w:rPr>
                <w:sz w:val="18"/>
                <w:szCs w:val="18"/>
              </w:rPr>
              <w:t>'</w:t>
            </w:r>
            <w:r>
              <w:rPr>
                <w:sz w:val="18"/>
                <w:szCs w:val="18"/>
              </w:rPr>
              <w:t>intégration en 2022.</w:t>
            </w:r>
          </w:p>
        </w:tc>
      </w:tr>
      <w:tr w:rsidR="007F43CA" w:rsidRPr="007F43CA" w14:paraId="5AB6429B" w14:textId="77777777" w:rsidTr="005817FB">
        <w:tc>
          <w:tcPr>
            <w:tcW w:w="494" w:type="dxa"/>
            <w:tcBorders>
              <w:top w:val="single" w:sz="4" w:space="0" w:color="auto"/>
              <w:bottom w:val="single" w:sz="4" w:space="0" w:color="auto"/>
            </w:tcBorders>
            <w:shd w:val="clear" w:color="auto" w:fill="FDE9D9" w:themeFill="accent6" w:themeFillTint="33"/>
          </w:tcPr>
          <w:p w14:paraId="7F7BA03D" w14:textId="77777777" w:rsidR="007F43CA" w:rsidRPr="007F43CA" w:rsidRDefault="007F43CA" w:rsidP="001D32F6">
            <w:pPr>
              <w:pStyle w:val="Tabletext"/>
              <w:keepLines/>
              <w:rPr>
                <w:sz w:val="18"/>
                <w:szCs w:val="18"/>
              </w:rPr>
            </w:pPr>
            <w:r w:rsidRPr="007F43CA">
              <w:rPr>
                <w:sz w:val="18"/>
                <w:szCs w:val="18"/>
              </w:rPr>
              <w:t>2.6</w:t>
            </w:r>
          </w:p>
        </w:tc>
        <w:tc>
          <w:tcPr>
            <w:tcW w:w="1547" w:type="dxa"/>
            <w:tcBorders>
              <w:top w:val="single" w:sz="4" w:space="0" w:color="auto"/>
              <w:bottom w:val="single" w:sz="4" w:space="0" w:color="auto"/>
            </w:tcBorders>
            <w:shd w:val="clear" w:color="auto" w:fill="FDE9D9" w:themeFill="accent6" w:themeFillTint="33"/>
          </w:tcPr>
          <w:p w14:paraId="44BF3C32" w14:textId="04432008" w:rsidR="007F43CA" w:rsidRPr="007F43CA" w:rsidRDefault="007F43CA" w:rsidP="001D32F6">
            <w:pPr>
              <w:pStyle w:val="Tabletext"/>
              <w:keepLines/>
              <w:rPr>
                <w:sz w:val="18"/>
                <w:szCs w:val="18"/>
              </w:rPr>
            </w:pPr>
            <w:r w:rsidRPr="007F43CA">
              <w:rPr>
                <w:sz w:val="18"/>
                <w:szCs w:val="18"/>
              </w:rPr>
              <w:t>Programme de récompense au mérite mis en place par l</w:t>
            </w:r>
            <w:r w:rsidR="00E14E13">
              <w:rPr>
                <w:sz w:val="18"/>
                <w:szCs w:val="18"/>
              </w:rPr>
              <w:t>'</w:t>
            </w:r>
            <w:r w:rsidRPr="007F43CA">
              <w:rPr>
                <w:sz w:val="18"/>
                <w:szCs w:val="18"/>
              </w:rPr>
              <w:t>organisation</w:t>
            </w:r>
          </w:p>
        </w:tc>
        <w:tc>
          <w:tcPr>
            <w:tcW w:w="2626" w:type="dxa"/>
            <w:tcBorders>
              <w:top w:val="single" w:sz="4" w:space="0" w:color="auto"/>
              <w:bottom w:val="single" w:sz="4" w:space="0" w:color="auto"/>
            </w:tcBorders>
            <w:shd w:val="clear" w:color="auto" w:fill="FDE9D9" w:themeFill="accent6" w:themeFillTint="33"/>
          </w:tcPr>
          <w:p w14:paraId="777523B3" w14:textId="182DBBD8" w:rsidR="007F43CA" w:rsidRPr="007F43CA" w:rsidRDefault="007F43CA" w:rsidP="00470104">
            <w:pPr>
              <w:pStyle w:val="Tabletext"/>
              <w:keepLines/>
              <w:tabs>
                <w:tab w:val="left" w:pos="289"/>
              </w:tabs>
              <w:rPr>
                <w:sz w:val="18"/>
                <w:szCs w:val="18"/>
              </w:rPr>
            </w:pPr>
            <w:r w:rsidRPr="007F43CA">
              <w:rPr>
                <w:sz w:val="18"/>
                <w:szCs w:val="18"/>
              </w:rPr>
              <w:t>Réaménager le Programme de récompense au mérite de l</w:t>
            </w:r>
            <w:r w:rsidR="00E14E13">
              <w:rPr>
                <w:sz w:val="18"/>
                <w:szCs w:val="18"/>
              </w:rPr>
              <w:t>'</w:t>
            </w:r>
            <w:r w:rsidRPr="007F43CA">
              <w:rPr>
                <w:sz w:val="18"/>
                <w:szCs w:val="18"/>
              </w:rPr>
              <w:t>UIT, pour assurer une certaine reconnaissance (activités courantes) et prévoir l</w:t>
            </w:r>
            <w:r w:rsidR="00E14E13">
              <w:rPr>
                <w:sz w:val="18"/>
                <w:szCs w:val="18"/>
              </w:rPr>
              <w:t>'</w:t>
            </w:r>
            <w:r w:rsidRPr="007F43CA">
              <w:rPr>
                <w:sz w:val="18"/>
                <w:szCs w:val="18"/>
              </w:rPr>
              <w:t>octroi de récompenses au mérite (réalisations, personnes et équipes d</w:t>
            </w:r>
            <w:r w:rsidR="00E14E13">
              <w:rPr>
                <w:sz w:val="18"/>
                <w:szCs w:val="18"/>
              </w:rPr>
              <w:t>'</w:t>
            </w:r>
            <w:r w:rsidRPr="007F43CA">
              <w:rPr>
                <w:sz w:val="18"/>
                <w:szCs w:val="18"/>
              </w:rPr>
              <w:t>exception)</w:t>
            </w:r>
          </w:p>
        </w:tc>
        <w:tc>
          <w:tcPr>
            <w:tcW w:w="1879" w:type="dxa"/>
            <w:tcBorders>
              <w:top w:val="single" w:sz="4" w:space="0" w:color="auto"/>
            </w:tcBorders>
            <w:shd w:val="clear" w:color="auto" w:fill="FDE9D9" w:themeFill="accent6" w:themeFillTint="33"/>
          </w:tcPr>
          <w:p w14:paraId="63E78C8D" w14:textId="77777777" w:rsidR="007F43CA" w:rsidRPr="007F43CA" w:rsidRDefault="007F43CA" w:rsidP="001D32F6">
            <w:pPr>
              <w:pStyle w:val="Tabletext"/>
              <w:keepLines/>
              <w:tabs>
                <w:tab w:val="left" w:pos="178"/>
              </w:tabs>
              <w:ind w:left="178" w:hanging="178"/>
              <w:rPr>
                <w:rFonts w:asciiTheme="minorHAnsi" w:hAnsiTheme="minorHAnsi" w:cstheme="minorHAnsi"/>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Programme de récompense au mérite réaménagé, nombre de récompenses par an</w:t>
            </w:r>
          </w:p>
          <w:p w14:paraId="4507E73F" w14:textId="67D0ADBF" w:rsidR="007F43CA" w:rsidRPr="007F43CA" w:rsidRDefault="007F43CA" w:rsidP="001D32F6">
            <w:pPr>
              <w:pStyle w:val="Tabletext"/>
              <w:keepLines/>
              <w:tabs>
                <w:tab w:val="left" w:pos="178"/>
              </w:tabs>
              <w:ind w:left="178" w:hanging="178"/>
              <w:rPr>
                <w:rFonts w:asciiTheme="minorHAnsi" w:hAnsiTheme="minorHAnsi" w:cstheme="minorHAnsi"/>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Nouvelle politique élaborée pour mesurer l</w:t>
            </w:r>
            <w:r w:rsidR="00E14E13">
              <w:rPr>
                <w:rFonts w:asciiTheme="minorHAnsi" w:hAnsiTheme="minorHAnsi" w:cstheme="minorHAnsi"/>
                <w:sz w:val="18"/>
                <w:szCs w:val="18"/>
              </w:rPr>
              <w:t>'</w:t>
            </w:r>
            <w:r w:rsidRPr="007F43CA">
              <w:rPr>
                <w:rFonts w:asciiTheme="minorHAnsi" w:hAnsiTheme="minorHAnsi" w:cstheme="minorHAnsi"/>
                <w:sz w:val="18"/>
                <w:szCs w:val="18"/>
              </w:rPr>
              <w:t>évolution dans le temps en matière de reconnaissance</w:t>
            </w:r>
          </w:p>
        </w:tc>
        <w:tc>
          <w:tcPr>
            <w:tcW w:w="1591" w:type="dxa"/>
            <w:tcBorders>
              <w:top w:val="single" w:sz="4" w:space="0" w:color="auto"/>
            </w:tcBorders>
            <w:shd w:val="clear" w:color="auto" w:fill="FDE9D9" w:themeFill="accent6" w:themeFillTint="33"/>
          </w:tcPr>
          <w:p w14:paraId="5B3F368C" w14:textId="77777777" w:rsidR="007F43CA" w:rsidRPr="007F43CA" w:rsidRDefault="007F43CA" w:rsidP="001D32F6">
            <w:pPr>
              <w:pStyle w:val="Tabletext"/>
              <w:keepLines/>
              <w:tabs>
                <w:tab w:val="left" w:pos="347"/>
              </w:tabs>
              <w:rPr>
                <w:sz w:val="18"/>
                <w:szCs w:val="18"/>
              </w:rPr>
            </w:pPr>
          </w:p>
        </w:tc>
        <w:tc>
          <w:tcPr>
            <w:tcW w:w="1205" w:type="dxa"/>
            <w:tcBorders>
              <w:top w:val="single" w:sz="4" w:space="0" w:color="auto"/>
            </w:tcBorders>
            <w:shd w:val="clear" w:color="auto" w:fill="FDE9D9" w:themeFill="accent6" w:themeFillTint="33"/>
          </w:tcPr>
          <w:p w14:paraId="231C90D2" w14:textId="37B4F28F" w:rsidR="007F43CA" w:rsidRPr="007F43CA" w:rsidRDefault="007F43CA" w:rsidP="001D32F6">
            <w:pPr>
              <w:pStyle w:val="Tabletext"/>
              <w:keepLines/>
              <w:rPr>
                <w:sz w:val="18"/>
                <w:szCs w:val="18"/>
              </w:rPr>
            </w:pPr>
            <w:r w:rsidRPr="007F43CA">
              <w:rPr>
                <w:sz w:val="18"/>
                <w:szCs w:val="18"/>
              </w:rPr>
              <w:t>2020-2021</w:t>
            </w:r>
          </w:p>
        </w:tc>
        <w:tc>
          <w:tcPr>
            <w:tcW w:w="4687" w:type="dxa"/>
            <w:tcBorders>
              <w:top w:val="single" w:sz="4" w:space="0" w:color="auto"/>
            </w:tcBorders>
            <w:shd w:val="clear" w:color="auto" w:fill="FDE9D9" w:themeFill="accent6" w:themeFillTint="33"/>
          </w:tcPr>
          <w:p w14:paraId="2AF41F1A" w14:textId="16117D9F" w:rsidR="007F43CA" w:rsidRPr="007F43CA" w:rsidRDefault="007F43CA" w:rsidP="009B3A00">
            <w:pPr>
              <w:pStyle w:val="Tabletext"/>
              <w:keepLines/>
              <w:rPr>
                <w:sz w:val="18"/>
                <w:szCs w:val="18"/>
              </w:rPr>
            </w:pPr>
            <w:r w:rsidRPr="007F43CA">
              <w:rPr>
                <w:rFonts w:cstheme="minorHAnsi"/>
                <w:sz w:val="18"/>
                <w:szCs w:val="18"/>
              </w:rPr>
              <w:t xml:space="preserve">Le nouveau </w:t>
            </w:r>
            <w:r w:rsidR="009B3A00">
              <w:rPr>
                <w:rFonts w:cstheme="minorHAnsi"/>
                <w:sz w:val="18"/>
                <w:szCs w:val="18"/>
              </w:rPr>
              <w:t>P</w:t>
            </w:r>
            <w:r w:rsidRPr="007F43CA">
              <w:rPr>
                <w:rFonts w:cstheme="minorHAnsi"/>
                <w:sz w:val="18"/>
                <w:szCs w:val="18"/>
              </w:rPr>
              <w:t>rogramme de récompenses et de reconnaissance, qui prévoit des récompenses dans trois domaines (innovation, travail d</w:t>
            </w:r>
            <w:r w:rsidR="00E14E13">
              <w:rPr>
                <w:rFonts w:cstheme="minorHAnsi"/>
                <w:sz w:val="18"/>
                <w:szCs w:val="18"/>
              </w:rPr>
              <w:t>'</w:t>
            </w:r>
            <w:r w:rsidRPr="007F43CA">
              <w:rPr>
                <w:rFonts w:cstheme="minorHAnsi"/>
                <w:sz w:val="18"/>
                <w:szCs w:val="18"/>
              </w:rPr>
              <w:t xml:space="preserve">équipe et </w:t>
            </w:r>
            <w:r w:rsidR="00ED4558">
              <w:rPr>
                <w:rFonts w:cstheme="minorHAnsi"/>
                <w:sz w:val="18"/>
                <w:szCs w:val="18"/>
              </w:rPr>
              <w:t>aptitude à mener une équipe</w:t>
            </w:r>
            <w:r w:rsidRPr="007F43CA">
              <w:rPr>
                <w:rFonts w:cstheme="minorHAnsi"/>
                <w:sz w:val="18"/>
                <w:szCs w:val="18"/>
              </w:rPr>
              <w:t>) a été lancé, et de nombreuses personnes y ont participé.</w:t>
            </w:r>
          </w:p>
        </w:tc>
      </w:tr>
    </w:tbl>
    <w:p w14:paraId="1D262A2C" w14:textId="77777777" w:rsidR="0029041D" w:rsidRPr="00B651E4" w:rsidRDefault="0029041D" w:rsidP="001D32F6">
      <w:pPr>
        <w:tabs>
          <w:tab w:val="clear" w:pos="567"/>
          <w:tab w:val="clear" w:pos="1134"/>
          <w:tab w:val="clear" w:pos="1701"/>
          <w:tab w:val="clear" w:pos="2268"/>
          <w:tab w:val="clear" w:pos="2835"/>
        </w:tabs>
        <w:overflowPunct/>
        <w:autoSpaceDE/>
        <w:autoSpaceDN/>
        <w:adjustRightInd/>
        <w:spacing w:before="0"/>
        <w:textAlignment w:val="auto"/>
      </w:pPr>
      <w:r w:rsidRPr="00B651E4">
        <w:br w:type="page"/>
      </w:r>
    </w:p>
    <w:tbl>
      <w:tblPr>
        <w:tblStyle w:val="TableGrid"/>
        <w:tblW w:w="13886" w:type="dxa"/>
        <w:jc w:val="center"/>
        <w:tblLook w:val="04A0" w:firstRow="1" w:lastRow="0" w:firstColumn="1" w:lastColumn="0" w:noHBand="0" w:noVBand="1"/>
      </w:tblPr>
      <w:tblGrid>
        <w:gridCol w:w="577"/>
        <w:gridCol w:w="1447"/>
        <w:gridCol w:w="2236"/>
        <w:gridCol w:w="2063"/>
        <w:gridCol w:w="1941"/>
        <w:gridCol w:w="1190"/>
        <w:gridCol w:w="4432"/>
      </w:tblGrid>
      <w:tr w:rsidR="007F43CA" w:rsidRPr="007F43CA" w14:paraId="7BD772B5" w14:textId="77777777" w:rsidTr="005817FB">
        <w:trPr>
          <w:tblHeader/>
          <w:jc w:val="center"/>
        </w:trPr>
        <w:tc>
          <w:tcPr>
            <w:tcW w:w="2031" w:type="dxa"/>
            <w:gridSpan w:val="2"/>
            <w:tcBorders>
              <w:top w:val="single" w:sz="4" w:space="0" w:color="auto"/>
              <w:bottom w:val="single" w:sz="4" w:space="0" w:color="auto"/>
            </w:tcBorders>
            <w:shd w:val="clear" w:color="auto" w:fill="D9D9D9" w:themeFill="background1" w:themeFillShade="D9"/>
          </w:tcPr>
          <w:p w14:paraId="5C2CA91B" w14:textId="77777777" w:rsidR="007F43CA" w:rsidRPr="007F43CA" w:rsidRDefault="007F43CA" w:rsidP="001D32F6">
            <w:pPr>
              <w:pStyle w:val="Tablehead"/>
              <w:rPr>
                <w:bCs/>
                <w:sz w:val="18"/>
                <w:szCs w:val="18"/>
              </w:rPr>
            </w:pPr>
            <w:r w:rsidRPr="007F43CA">
              <w:rPr>
                <w:bCs/>
                <w:sz w:val="18"/>
                <w:szCs w:val="18"/>
              </w:rPr>
              <w:lastRenderedPageBreak/>
              <w:t>A</w:t>
            </w:r>
          </w:p>
        </w:tc>
        <w:tc>
          <w:tcPr>
            <w:tcW w:w="2248" w:type="dxa"/>
            <w:tcBorders>
              <w:top w:val="single" w:sz="4" w:space="0" w:color="auto"/>
              <w:bottom w:val="single" w:sz="4" w:space="0" w:color="auto"/>
            </w:tcBorders>
            <w:shd w:val="clear" w:color="auto" w:fill="D9D9D9" w:themeFill="background1" w:themeFillShade="D9"/>
          </w:tcPr>
          <w:p w14:paraId="386069D2" w14:textId="77777777" w:rsidR="007F43CA" w:rsidRPr="007F43CA" w:rsidRDefault="007F43CA" w:rsidP="001D32F6">
            <w:pPr>
              <w:pStyle w:val="Tablehead"/>
              <w:rPr>
                <w:bCs/>
                <w:sz w:val="18"/>
                <w:szCs w:val="18"/>
              </w:rPr>
            </w:pPr>
            <w:r w:rsidRPr="007F43CA">
              <w:rPr>
                <w:bCs/>
                <w:sz w:val="18"/>
                <w:szCs w:val="18"/>
              </w:rPr>
              <w:t>B</w:t>
            </w:r>
          </w:p>
        </w:tc>
        <w:tc>
          <w:tcPr>
            <w:tcW w:w="2074" w:type="dxa"/>
            <w:shd w:val="clear" w:color="auto" w:fill="D9D9D9" w:themeFill="background1" w:themeFillShade="D9"/>
          </w:tcPr>
          <w:p w14:paraId="65C85E2D" w14:textId="77777777" w:rsidR="007F43CA" w:rsidRPr="007F43CA" w:rsidRDefault="007F43CA" w:rsidP="001D32F6">
            <w:pPr>
              <w:pStyle w:val="Tablehead"/>
              <w:rPr>
                <w:bCs/>
                <w:sz w:val="18"/>
                <w:szCs w:val="18"/>
              </w:rPr>
            </w:pPr>
            <w:r w:rsidRPr="007F43CA">
              <w:rPr>
                <w:bCs/>
                <w:sz w:val="18"/>
                <w:szCs w:val="18"/>
              </w:rPr>
              <w:t>C</w:t>
            </w:r>
          </w:p>
        </w:tc>
        <w:tc>
          <w:tcPr>
            <w:tcW w:w="1952" w:type="dxa"/>
            <w:shd w:val="clear" w:color="auto" w:fill="D9D9D9" w:themeFill="background1" w:themeFillShade="D9"/>
          </w:tcPr>
          <w:p w14:paraId="52D1C9BA" w14:textId="77777777" w:rsidR="007F43CA" w:rsidRPr="007F43CA" w:rsidRDefault="007F43CA" w:rsidP="001D32F6">
            <w:pPr>
              <w:pStyle w:val="Tablehead"/>
              <w:rPr>
                <w:bCs/>
                <w:sz w:val="18"/>
                <w:szCs w:val="18"/>
              </w:rPr>
            </w:pPr>
            <w:r w:rsidRPr="007F43CA">
              <w:rPr>
                <w:bCs/>
                <w:sz w:val="18"/>
                <w:szCs w:val="18"/>
              </w:rPr>
              <w:t>D</w:t>
            </w:r>
          </w:p>
        </w:tc>
        <w:tc>
          <w:tcPr>
            <w:tcW w:w="1196" w:type="dxa"/>
            <w:shd w:val="clear" w:color="auto" w:fill="D9D9D9" w:themeFill="background1" w:themeFillShade="D9"/>
          </w:tcPr>
          <w:p w14:paraId="5534B531" w14:textId="77777777" w:rsidR="007F43CA" w:rsidRPr="007F43CA" w:rsidRDefault="007F43CA" w:rsidP="001D32F6">
            <w:pPr>
              <w:pStyle w:val="Tablehead"/>
              <w:rPr>
                <w:bCs/>
                <w:sz w:val="18"/>
                <w:szCs w:val="18"/>
              </w:rPr>
            </w:pPr>
            <w:r w:rsidRPr="007F43CA">
              <w:rPr>
                <w:bCs/>
                <w:sz w:val="18"/>
                <w:szCs w:val="18"/>
              </w:rPr>
              <w:t>E</w:t>
            </w:r>
          </w:p>
        </w:tc>
        <w:tc>
          <w:tcPr>
            <w:tcW w:w="4528" w:type="dxa"/>
            <w:shd w:val="clear" w:color="auto" w:fill="D9D9D9" w:themeFill="background1" w:themeFillShade="D9"/>
          </w:tcPr>
          <w:p w14:paraId="2D124009" w14:textId="216DC683" w:rsidR="007F43CA" w:rsidRPr="007F43CA" w:rsidRDefault="007F43CA" w:rsidP="001D32F6">
            <w:pPr>
              <w:pStyle w:val="Tablehead"/>
              <w:rPr>
                <w:bCs/>
                <w:sz w:val="18"/>
                <w:szCs w:val="18"/>
              </w:rPr>
            </w:pPr>
            <w:r w:rsidRPr="007F43CA">
              <w:rPr>
                <w:bCs/>
                <w:sz w:val="18"/>
                <w:szCs w:val="18"/>
              </w:rPr>
              <w:t>F</w:t>
            </w:r>
          </w:p>
        </w:tc>
      </w:tr>
      <w:tr w:rsidR="007F43CA" w:rsidRPr="007F43CA" w14:paraId="0AE2C182" w14:textId="77777777" w:rsidTr="005817FB">
        <w:trPr>
          <w:tblHeader/>
          <w:jc w:val="center"/>
        </w:trPr>
        <w:tc>
          <w:tcPr>
            <w:tcW w:w="2031" w:type="dxa"/>
            <w:gridSpan w:val="2"/>
            <w:tcBorders>
              <w:top w:val="single" w:sz="4" w:space="0" w:color="auto"/>
              <w:bottom w:val="single" w:sz="4" w:space="0" w:color="auto"/>
            </w:tcBorders>
            <w:shd w:val="clear" w:color="auto" w:fill="D9D9D9" w:themeFill="background1" w:themeFillShade="D9"/>
          </w:tcPr>
          <w:p w14:paraId="13588709" w14:textId="77777777" w:rsidR="007F43CA" w:rsidRPr="007F43CA" w:rsidRDefault="007F43CA" w:rsidP="001D32F6">
            <w:pPr>
              <w:pStyle w:val="Tablehead"/>
              <w:rPr>
                <w:bCs/>
                <w:sz w:val="18"/>
                <w:szCs w:val="18"/>
              </w:rPr>
            </w:pPr>
            <w:r w:rsidRPr="007F43CA">
              <w:rPr>
                <w:bCs/>
                <w:sz w:val="18"/>
                <w:szCs w:val="18"/>
              </w:rPr>
              <w:t>Pilier et élément correspondants</w:t>
            </w:r>
          </w:p>
        </w:tc>
        <w:tc>
          <w:tcPr>
            <w:tcW w:w="2248" w:type="dxa"/>
            <w:tcBorders>
              <w:top w:val="single" w:sz="4" w:space="0" w:color="auto"/>
              <w:bottom w:val="single" w:sz="4" w:space="0" w:color="auto"/>
            </w:tcBorders>
            <w:shd w:val="clear" w:color="auto" w:fill="D9D9D9" w:themeFill="background1" w:themeFillShade="D9"/>
          </w:tcPr>
          <w:p w14:paraId="464132B8" w14:textId="77777777" w:rsidR="007F43CA" w:rsidRPr="007F43CA" w:rsidRDefault="007F43CA" w:rsidP="001D32F6">
            <w:pPr>
              <w:pStyle w:val="Tablehead"/>
              <w:rPr>
                <w:bCs/>
                <w:sz w:val="18"/>
                <w:szCs w:val="18"/>
              </w:rPr>
            </w:pPr>
            <w:r w:rsidRPr="007F43CA">
              <w:rPr>
                <w:bCs/>
                <w:sz w:val="18"/>
                <w:szCs w:val="18"/>
              </w:rPr>
              <w:t>Intitulé et activités concrètes (de haut niveau)</w:t>
            </w:r>
          </w:p>
        </w:tc>
        <w:tc>
          <w:tcPr>
            <w:tcW w:w="2074" w:type="dxa"/>
            <w:shd w:val="clear" w:color="auto" w:fill="D9D9D9" w:themeFill="background1" w:themeFillShade="D9"/>
          </w:tcPr>
          <w:p w14:paraId="4E439D80" w14:textId="77777777" w:rsidR="007F43CA" w:rsidRPr="007F43CA" w:rsidRDefault="007F43CA" w:rsidP="001D32F6">
            <w:pPr>
              <w:pStyle w:val="Tablehead"/>
              <w:rPr>
                <w:bCs/>
                <w:sz w:val="18"/>
                <w:szCs w:val="18"/>
              </w:rPr>
            </w:pPr>
            <w:r w:rsidRPr="007F43CA">
              <w:rPr>
                <w:bCs/>
                <w:sz w:val="18"/>
                <w:szCs w:val="18"/>
              </w:rPr>
              <w:t>Indicateurs fondamentaux de performance institutionnels</w:t>
            </w:r>
          </w:p>
        </w:tc>
        <w:tc>
          <w:tcPr>
            <w:tcW w:w="1952" w:type="dxa"/>
            <w:shd w:val="clear" w:color="auto" w:fill="D9D9D9" w:themeFill="background1" w:themeFillShade="D9"/>
          </w:tcPr>
          <w:p w14:paraId="12FE1D7B" w14:textId="77777777" w:rsidR="007F43CA" w:rsidRPr="007F43CA" w:rsidRDefault="007F43CA" w:rsidP="001D32F6">
            <w:pPr>
              <w:pStyle w:val="Tablehead"/>
              <w:rPr>
                <w:bCs/>
                <w:sz w:val="18"/>
                <w:szCs w:val="18"/>
              </w:rPr>
            </w:pPr>
            <w:r w:rsidRPr="007F43CA">
              <w:rPr>
                <w:bCs/>
                <w:sz w:val="18"/>
                <w:szCs w:val="18"/>
              </w:rPr>
              <w:t>Unités organisationnelles et partenaires du Département HRMD</w:t>
            </w:r>
          </w:p>
        </w:tc>
        <w:tc>
          <w:tcPr>
            <w:tcW w:w="1196" w:type="dxa"/>
            <w:shd w:val="clear" w:color="auto" w:fill="D9D9D9" w:themeFill="background1" w:themeFillShade="D9"/>
          </w:tcPr>
          <w:p w14:paraId="39BDB354" w14:textId="77777777" w:rsidR="007F43CA" w:rsidRPr="007F43CA" w:rsidRDefault="007F43CA" w:rsidP="001D32F6">
            <w:pPr>
              <w:pStyle w:val="Tablehead"/>
              <w:rPr>
                <w:bCs/>
                <w:sz w:val="18"/>
                <w:szCs w:val="18"/>
              </w:rPr>
            </w:pPr>
            <w:r w:rsidRPr="007F43CA">
              <w:rPr>
                <w:bCs/>
                <w:sz w:val="18"/>
                <w:szCs w:val="18"/>
              </w:rPr>
              <w:t>Échéances</w:t>
            </w:r>
          </w:p>
        </w:tc>
        <w:tc>
          <w:tcPr>
            <w:tcW w:w="4528" w:type="dxa"/>
            <w:shd w:val="clear" w:color="auto" w:fill="D9D9D9" w:themeFill="background1" w:themeFillShade="D9"/>
          </w:tcPr>
          <w:p w14:paraId="23521988" w14:textId="14384C02" w:rsidR="007F43CA" w:rsidRPr="007F43CA" w:rsidRDefault="007F43CA" w:rsidP="001D32F6">
            <w:pPr>
              <w:pStyle w:val="Tablehead"/>
              <w:rPr>
                <w:bCs/>
                <w:sz w:val="18"/>
                <w:szCs w:val="18"/>
              </w:rPr>
            </w:pPr>
            <w:r w:rsidRPr="007F43CA">
              <w:rPr>
                <w:bCs/>
                <w:sz w:val="18"/>
                <w:szCs w:val="18"/>
              </w:rPr>
              <w:t>Rapport (état d</w:t>
            </w:r>
            <w:r w:rsidR="00E14E13">
              <w:rPr>
                <w:bCs/>
                <w:sz w:val="18"/>
                <w:szCs w:val="18"/>
              </w:rPr>
              <w:t>'</w:t>
            </w:r>
            <w:r w:rsidRPr="007F43CA">
              <w:rPr>
                <w:bCs/>
                <w:sz w:val="18"/>
                <w:szCs w:val="18"/>
              </w:rPr>
              <w:t>avancement février 2022)</w:t>
            </w:r>
          </w:p>
        </w:tc>
      </w:tr>
      <w:tr w:rsidR="007F43CA" w:rsidRPr="007F43CA" w14:paraId="6A8CE015" w14:textId="77777777" w:rsidTr="005817FB">
        <w:trPr>
          <w:jc w:val="center"/>
        </w:trPr>
        <w:tc>
          <w:tcPr>
            <w:tcW w:w="14029" w:type="dxa"/>
            <w:gridSpan w:val="7"/>
            <w:shd w:val="clear" w:color="auto" w:fill="FDF2B1"/>
          </w:tcPr>
          <w:p w14:paraId="627F41F2" w14:textId="02877845" w:rsidR="007F43CA" w:rsidRPr="007F43CA" w:rsidRDefault="007F43CA" w:rsidP="001D32F6">
            <w:pPr>
              <w:pStyle w:val="Tabletext"/>
              <w:tabs>
                <w:tab w:val="left" w:pos="347"/>
              </w:tabs>
              <w:rPr>
                <w:b/>
                <w:sz w:val="18"/>
                <w:szCs w:val="18"/>
              </w:rPr>
            </w:pPr>
            <w:r w:rsidRPr="007F43CA">
              <w:rPr>
                <w:b/>
                <w:sz w:val="18"/>
                <w:szCs w:val="18"/>
              </w:rPr>
              <w:t>Pilier 3 – Services RH tournés vers l</w:t>
            </w:r>
            <w:r w:rsidR="00E14E13">
              <w:rPr>
                <w:b/>
                <w:sz w:val="18"/>
                <w:szCs w:val="18"/>
              </w:rPr>
              <w:t>'</w:t>
            </w:r>
            <w:r w:rsidRPr="007F43CA">
              <w:rPr>
                <w:b/>
                <w:sz w:val="18"/>
                <w:szCs w:val="18"/>
              </w:rPr>
              <w:t>excellence</w:t>
            </w:r>
          </w:p>
        </w:tc>
      </w:tr>
      <w:tr w:rsidR="007F43CA" w:rsidRPr="00165EBE" w14:paraId="21C254A4" w14:textId="77777777" w:rsidTr="005817FB">
        <w:trPr>
          <w:trHeight w:val="280"/>
          <w:jc w:val="center"/>
        </w:trPr>
        <w:tc>
          <w:tcPr>
            <w:tcW w:w="582" w:type="dxa"/>
            <w:vMerge w:val="restart"/>
            <w:tcBorders>
              <w:top w:val="single" w:sz="4" w:space="0" w:color="auto"/>
            </w:tcBorders>
            <w:shd w:val="clear" w:color="auto" w:fill="FDF2B1"/>
          </w:tcPr>
          <w:p w14:paraId="397D7F63" w14:textId="77777777" w:rsidR="007F43CA" w:rsidRPr="007F43CA" w:rsidRDefault="007F43CA" w:rsidP="001D32F6">
            <w:pPr>
              <w:pStyle w:val="Tabletext"/>
              <w:rPr>
                <w:sz w:val="18"/>
                <w:szCs w:val="18"/>
              </w:rPr>
            </w:pPr>
            <w:r w:rsidRPr="007F43CA">
              <w:rPr>
                <w:sz w:val="18"/>
                <w:szCs w:val="18"/>
              </w:rPr>
              <w:t>3.1</w:t>
            </w:r>
          </w:p>
        </w:tc>
        <w:tc>
          <w:tcPr>
            <w:tcW w:w="1449" w:type="dxa"/>
            <w:vMerge w:val="restart"/>
            <w:tcBorders>
              <w:top w:val="single" w:sz="4" w:space="0" w:color="auto"/>
            </w:tcBorders>
            <w:shd w:val="clear" w:color="auto" w:fill="FDF2B1"/>
          </w:tcPr>
          <w:p w14:paraId="1E8CD92D" w14:textId="688C622A" w:rsidR="007F43CA" w:rsidRPr="007F43CA" w:rsidRDefault="007F43CA" w:rsidP="001D32F6">
            <w:pPr>
              <w:pStyle w:val="Tabletext"/>
              <w:rPr>
                <w:sz w:val="18"/>
                <w:szCs w:val="18"/>
              </w:rPr>
            </w:pPr>
            <w:r w:rsidRPr="007F43CA">
              <w:rPr>
                <w:sz w:val="18"/>
                <w:szCs w:val="18"/>
              </w:rPr>
              <w:t>Rationalisation du Département de la gestion des ressources humaines en tant que partenaire responsable et digne de confiance, sur la base d</w:t>
            </w:r>
            <w:r w:rsidR="00E14E13">
              <w:rPr>
                <w:sz w:val="18"/>
                <w:szCs w:val="18"/>
              </w:rPr>
              <w:t>'</w:t>
            </w:r>
            <w:r w:rsidRPr="007F43CA">
              <w:rPr>
                <w:sz w:val="18"/>
                <w:szCs w:val="18"/>
              </w:rPr>
              <w:t>un modèle des RH intégré et axé sur les résultats</w:t>
            </w:r>
          </w:p>
        </w:tc>
        <w:tc>
          <w:tcPr>
            <w:tcW w:w="2248" w:type="dxa"/>
            <w:vMerge w:val="restart"/>
            <w:tcBorders>
              <w:top w:val="single" w:sz="4" w:space="0" w:color="auto"/>
            </w:tcBorders>
            <w:shd w:val="clear" w:color="auto" w:fill="FDF2B1"/>
          </w:tcPr>
          <w:p w14:paraId="4997F173" w14:textId="302AAA73" w:rsidR="007F43CA" w:rsidRPr="007F43CA" w:rsidRDefault="007F43CA" w:rsidP="001D32F6">
            <w:pPr>
              <w:pStyle w:val="Tabletext"/>
              <w:ind w:left="263" w:hanging="263"/>
              <w:rPr>
                <w:sz w:val="18"/>
                <w:szCs w:val="18"/>
              </w:rPr>
            </w:pPr>
            <w:r w:rsidRPr="007F43CA">
              <w:rPr>
                <w:sz w:val="18"/>
                <w:szCs w:val="18"/>
              </w:rPr>
              <w:t>1</w:t>
            </w:r>
            <w:r w:rsidRPr="007F43CA">
              <w:rPr>
                <w:sz w:val="18"/>
                <w:szCs w:val="18"/>
              </w:rPr>
              <w:tab/>
              <w:t>Procéder à une analyse approfondie de l</w:t>
            </w:r>
            <w:r w:rsidR="00E14E13">
              <w:rPr>
                <w:sz w:val="18"/>
                <w:szCs w:val="18"/>
              </w:rPr>
              <w:t>'</w:t>
            </w:r>
            <w:r w:rsidRPr="007F43CA">
              <w:rPr>
                <w:sz w:val="18"/>
                <w:szCs w:val="18"/>
              </w:rPr>
              <w:t>efficacité et de l</w:t>
            </w:r>
            <w:r w:rsidR="00E14E13">
              <w:rPr>
                <w:sz w:val="18"/>
                <w:szCs w:val="18"/>
              </w:rPr>
              <w:t>'</w:t>
            </w:r>
            <w:r w:rsidRPr="007F43CA">
              <w:rPr>
                <w:sz w:val="18"/>
                <w:szCs w:val="18"/>
              </w:rPr>
              <w:t>efficience des services d</w:t>
            </w:r>
            <w:r w:rsidR="00E14E13">
              <w:rPr>
                <w:sz w:val="18"/>
                <w:szCs w:val="18"/>
              </w:rPr>
              <w:t>'</w:t>
            </w:r>
            <w:r w:rsidRPr="007F43CA">
              <w:rPr>
                <w:sz w:val="18"/>
                <w:szCs w:val="18"/>
              </w:rPr>
              <w:t>appui administratif</w:t>
            </w:r>
          </w:p>
          <w:p w14:paraId="1C744F84" w14:textId="141ACD10" w:rsidR="007F43CA" w:rsidRPr="007F43CA" w:rsidRDefault="007F43CA" w:rsidP="001D32F6">
            <w:pPr>
              <w:pStyle w:val="Tabletext"/>
              <w:ind w:left="263" w:hanging="263"/>
              <w:rPr>
                <w:sz w:val="18"/>
                <w:szCs w:val="18"/>
              </w:rPr>
            </w:pPr>
            <w:r w:rsidRPr="007F43CA">
              <w:rPr>
                <w:sz w:val="18"/>
                <w:szCs w:val="18"/>
              </w:rPr>
              <w:t>2</w:t>
            </w:r>
            <w:r w:rsidRPr="007F43CA">
              <w:rPr>
                <w:sz w:val="18"/>
                <w:szCs w:val="18"/>
              </w:rPr>
              <w:tab/>
              <w:t>Mettre en place les mesures nécessaires pour rationaliser les flux de stockage et de gestion des données, investir dans les ressources informatiques, afin de supprimer toute insertion manuelle des données suivant une liste de priorités préétablie; et améliorer la fonction de paiement des traitements</w:t>
            </w:r>
          </w:p>
        </w:tc>
        <w:tc>
          <w:tcPr>
            <w:tcW w:w="2074" w:type="dxa"/>
            <w:vMerge w:val="restart"/>
            <w:tcBorders>
              <w:top w:val="single" w:sz="4" w:space="0" w:color="auto"/>
            </w:tcBorders>
            <w:shd w:val="clear" w:color="auto" w:fill="FDF2B1"/>
          </w:tcPr>
          <w:p w14:paraId="351B4F53" w14:textId="11B62B25" w:rsidR="007F43CA" w:rsidRPr="007F43CA" w:rsidRDefault="007F43CA" w:rsidP="001D32F6">
            <w:pPr>
              <w:pStyle w:val="Tabletext"/>
              <w:keepLines/>
              <w:tabs>
                <w:tab w:val="left" w:pos="178"/>
              </w:tabs>
              <w:ind w:left="178" w:hanging="178"/>
              <w:rPr>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Une analyse est effectuée et un plan d</w:t>
            </w:r>
            <w:r w:rsidR="00E14E13">
              <w:rPr>
                <w:rFonts w:asciiTheme="minorHAnsi" w:hAnsiTheme="minorHAnsi" w:cstheme="minorHAnsi"/>
                <w:sz w:val="18"/>
                <w:szCs w:val="18"/>
              </w:rPr>
              <w:t>'</w:t>
            </w:r>
            <w:r w:rsidRPr="007F43CA">
              <w:rPr>
                <w:rFonts w:asciiTheme="minorHAnsi" w:hAnsiTheme="minorHAnsi" w:cstheme="minorHAnsi"/>
                <w:sz w:val="18"/>
                <w:szCs w:val="18"/>
              </w:rPr>
              <w:t>action est établi (pourcentage de mesures prises par an)</w:t>
            </w:r>
            <w:r w:rsidRPr="007F43CA">
              <w:rPr>
                <w:sz w:val="18"/>
                <w:szCs w:val="18"/>
              </w:rPr>
              <w:t xml:space="preserve"> </w:t>
            </w:r>
          </w:p>
        </w:tc>
        <w:tc>
          <w:tcPr>
            <w:tcW w:w="1952" w:type="dxa"/>
            <w:vMerge w:val="restart"/>
            <w:tcBorders>
              <w:top w:val="single" w:sz="4" w:space="0" w:color="auto"/>
            </w:tcBorders>
            <w:shd w:val="clear" w:color="auto" w:fill="FDF2B1"/>
          </w:tcPr>
          <w:p w14:paraId="73BEEADB" w14:textId="77777777" w:rsidR="007F43CA" w:rsidRPr="007F43CA" w:rsidRDefault="007F43CA" w:rsidP="001D32F6">
            <w:pPr>
              <w:pStyle w:val="Tabletext"/>
              <w:rPr>
                <w:sz w:val="18"/>
                <w:szCs w:val="18"/>
              </w:rPr>
            </w:pPr>
          </w:p>
        </w:tc>
        <w:tc>
          <w:tcPr>
            <w:tcW w:w="1196" w:type="dxa"/>
            <w:vMerge w:val="restart"/>
            <w:tcBorders>
              <w:top w:val="single" w:sz="4" w:space="0" w:color="auto"/>
            </w:tcBorders>
            <w:shd w:val="clear" w:color="auto" w:fill="FDF2B1"/>
          </w:tcPr>
          <w:p w14:paraId="7E44CD3D" w14:textId="79CF8826" w:rsidR="007F43CA" w:rsidRPr="007F43CA" w:rsidRDefault="007F43CA" w:rsidP="001D32F6">
            <w:pPr>
              <w:pStyle w:val="Tabletext"/>
              <w:rPr>
                <w:sz w:val="18"/>
                <w:szCs w:val="18"/>
              </w:rPr>
            </w:pPr>
            <w:r w:rsidRPr="007F43CA">
              <w:rPr>
                <w:sz w:val="18"/>
                <w:szCs w:val="18"/>
              </w:rPr>
              <w:t>En cours</w:t>
            </w:r>
          </w:p>
        </w:tc>
        <w:tc>
          <w:tcPr>
            <w:tcW w:w="4528" w:type="dxa"/>
            <w:vMerge w:val="restart"/>
            <w:tcBorders>
              <w:top w:val="single" w:sz="4" w:space="0" w:color="auto"/>
            </w:tcBorders>
            <w:shd w:val="clear" w:color="auto" w:fill="FDF2B1"/>
          </w:tcPr>
          <w:p w14:paraId="259A078B" w14:textId="41A2BB09" w:rsidR="007F43CA" w:rsidRDefault="007F43CA" w:rsidP="001D32F6">
            <w:pPr>
              <w:pStyle w:val="Tabletext"/>
              <w:rPr>
                <w:sz w:val="18"/>
                <w:szCs w:val="18"/>
              </w:rPr>
            </w:pPr>
            <w:r w:rsidRPr="007F43CA">
              <w:rPr>
                <w:sz w:val="18"/>
                <w:szCs w:val="18"/>
              </w:rPr>
              <w:t>L</w:t>
            </w:r>
            <w:r w:rsidR="00E14E13">
              <w:rPr>
                <w:sz w:val="18"/>
                <w:szCs w:val="18"/>
              </w:rPr>
              <w:t>'</w:t>
            </w:r>
            <w:r w:rsidRPr="007F43CA">
              <w:rPr>
                <w:sz w:val="18"/>
                <w:szCs w:val="18"/>
              </w:rPr>
              <w:t>équipe des ressources humaines a préparé un document d</w:t>
            </w:r>
            <w:r w:rsidR="00E14E13">
              <w:rPr>
                <w:sz w:val="18"/>
                <w:szCs w:val="18"/>
              </w:rPr>
              <w:t>'</w:t>
            </w:r>
            <w:r w:rsidRPr="007F43CA">
              <w:rPr>
                <w:sz w:val="18"/>
                <w:szCs w:val="18"/>
              </w:rPr>
              <w:t>information complet pour le nouveau chef du Département HRMD. Le Département donne la priorité aux domaines liés au remaniement des processus opérationnels.</w:t>
            </w:r>
          </w:p>
          <w:p w14:paraId="27155931" w14:textId="649657EA" w:rsidR="00A84042" w:rsidRPr="007F43CA" w:rsidRDefault="00A84042" w:rsidP="001D32F6">
            <w:pPr>
              <w:pStyle w:val="Tabletext"/>
              <w:rPr>
                <w:sz w:val="18"/>
                <w:szCs w:val="18"/>
              </w:rPr>
            </w:pPr>
            <w:r w:rsidRPr="00A84042">
              <w:rPr>
                <w:sz w:val="18"/>
                <w:szCs w:val="18"/>
              </w:rPr>
              <w:t xml:space="preserve">Un examen des processus opérationnels </w:t>
            </w:r>
            <w:r>
              <w:rPr>
                <w:sz w:val="18"/>
                <w:szCs w:val="18"/>
              </w:rPr>
              <w:t>est en cours de réalisation</w:t>
            </w:r>
            <w:r w:rsidRPr="00A84042">
              <w:rPr>
                <w:sz w:val="18"/>
                <w:szCs w:val="18"/>
              </w:rPr>
              <w:t xml:space="preserve"> afin de rationaliser et de simplifier l</w:t>
            </w:r>
            <w:r w:rsidR="00E14E13">
              <w:rPr>
                <w:sz w:val="18"/>
                <w:szCs w:val="18"/>
              </w:rPr>
              <w:t>'</w:t>
            </w:r>
            <w:r w:rsidRPr="00A84042">
              <w:rPr>
                <w:sz w:val="18"/>
                <w:szCs w:val="18"/>
              </w:rPr>
              <w:t>intégration dans l</w:t>
            </w:r>
            <w:r w:rsidR="00E14E13">
              <w:rPr>
                <w:sz w:val="18"/>
                <w:szCs w:val="18"/>
              </w:rPr>
              <w:t>'</w:t>
            </w:r>
            <w:r w:rsidRPr="00A84042">
              <w:rPr>
                <w:sz w:val="18"/>
                <w:szCs w:val="18"/>
              </w:rPr>
              <w:t>environnement ERP.</w:t>
            </w:r>
          </w:p>
          <w:p w14:paraId="12A5BCB4" w14:textId="3C0F5B0D" w:rsidR="007F43CA" w:rsidRPr="00165EBE" w:rsidRDefault="00A84042" w:rsidP="001D32F6">
            <w:pPr>
              <w:pStyle w:val="Tabletext"/>
              <w:rPr>
                <w:sz w:val="18"/>
                <w:szCs w:val="18"/>
              </w:rPr>
            </w:pPr>
            <w:r w:rsidRPr="00A84042">
              <w:rPr>
                <w:sz w:val="18"/>
                <w:szCs w:val="18"/>
              </w:rPr>
              <w:t>Une description d</w:t>
            </w:r>
            <w:r w:rsidR="00E14E13">
              <w:rPr>
                <w:sz w:val="18"/>
                <w:szCs w:val="18"/>
              </w:rPr>
              <w:t>'</w:t>
            </w:r>
            <w:r w:rsidRPr="00A84042">
              <w:rPr>
                <w:sz w:val="18"/>
                <w:szCs w:val="18"/>
              </w:rPr>
              <w:t xml:space="preserve">emploi actualisée </w:t>
            </w:r>
            <w:r w:rsidR="00ED4558">
              <w:rPr>
                <w:sz w:val="18"/>
                <w:szCs w:val="18"/>
              </w:rPr>
              <w:t>relative au</w:t>
            </w:r>
            <w:r w:rsidRPr="00A84042">
              <w:rPr>
                <w:sz w:val="18"/>
                <w:szCs w:val="18"/>
              </w:rPr>
              <w:t xml:space="preserve"> Conseiller stratégique pour les politiques relatives aux ressources humaines a été créée en 2021 et pub</w:t>
            </w:r>
            <w:r>
              <w:rPr>
                <w:sz w:val="18"/>
                <w:szCs w:val="18"/>
              </w:rPr>
              <w:t xml:space="preserve">liée à la fin </w:t>
            </w:r>
            <w:r w:rsidR="00ED4558">
              <w:rPr>
                <w:sz w:val="18"/>
                <w:szCs w:val="18"/>
              </w:rPr>
              <w:t>la même année</w:t>
            </w:r>
            <w:r>
              <w:rPr>
                <w:sz w:val="18"/>
                <w:szCs w:val="18"/>
              </w:rPr>
              <w:t xml:space="preserve">, </w:t>
            </w:r>
            <w:r w:rsidR="00ED4558">
              <w:rPr>
                <w:sz w:val="18"/>
                <w:szCs w:val="18"/>
              </w:rPr>
              <w:t xml:space="preserve">pour </w:t>
            </w:r>
            <w:r>
              <w:rPr>
                <w:sz w:val="18"/>
                <w:szCs w:val="18"/>
              </w:rPr>
              <w:t xml:space="preserve">répondre à la nécessité </w:t>
            </w:r>
            <w:r w:rsidR="00ED4558">
              <w:rPr>
                <w:sz w:val="18"/>
                <w:szCs w:val="18"/>
              </w:rPr>
              <w:t>d</w:t>
            </w:r>
            <w:r w:rsidR="00E14E13">
              <w:rPr>
                <w:sz w:val="18"/>
                <w:szCs w:val="18"/>
              </w:rPr>
              <w:t>'</w:t>
            </w:r>
            <w:r w:rsidR="00ED4558">
              <w:rPr>
                <w:sz w:val="18"/>
                <w:szCs w:val="18"/>
              </w:rPr>
              <w:t xml:space="preserve">actualiser </w:t>
            </w:r>
            <w:r>
              <w:rPr>
                <w:sz w:val="18"/>
                <w:szCs w:val="18"/>
              </w:rPr>
              <w:t>le cadre réglementaire</w:t>
            </w:r>
            <w:r w:rsidR="00165EBE">
              <w:rPr>
                <w:sz w:val="18"/>
                <w:szCs w:val="18"/>
              </w:rPr>
              <w:t xml:space="preserve"> et les politiques </w:t>
            </w:r>
            <w:r w:rsidR="00ED4558">
              <w:rPr>
                <w:sz w:val="18"/>
                <w:szCs w:val="18"/>
              </w:rPr>
              <w:t xml:space="preserve">des </w:t>
            </w:r>
            <w:r w:rsidR="00165EBE">
              <w:rPr>
                <w:sz w:val="18"/>
                <w:szCs w:val="18"/>
              </w:rPr>
              <w:t>ressources humaines.</w:t>
            </w:r>
          </w:p>
        </w:tc>
      </w:tr>
      <w:tr w:rsidR="007F43CA" w:rsidRPr="00165EBE" w14:paraId="43247743" w14:textId="77777777" w:rsidTr="005817FB">
        <w:trPr>
          <w:trHeight w:val="340"/>
          <w:jc w:val="center"/>
        </w:trPr>
        <w:tc>
          <w:tcPr>
            <w:tcW w:w="582" w:type="dxa"/>
            <w:vMerge/>
            <w:shd w:val="clear" w:color="auto" w:fill="FDF2B1"/>
          </w:tcPr>
          <w:p w14:paraId="3735DEB0" w14:textId="77777777" w:rsidR="007F43CA" w:rsidRPr="00165EBE" w:rsidRDefault="007F43CA" w:rsidP="001D32F6">
            <w:pPr>
              <w:pStyle w:val="Tabletext"/>
              <w:rPr>
                <w:sz w:val="18"/>
                <w:szCs w:val="18"/>
              </w:rPr>
            </w:pPr>
          </w:p>
        </w:tc>
        <w:tc>
          <w:tcPr>
            <w:tcW w:w="1449" w:type="dxa"/>
            <w:vMerge/>
            <w:shd w:val="clear" w:color="auto" w:fill="FDF2B1"/>
          </w:tcPr>
          <w:p w14:paraId="28ACC7E0" w14:textId="77777777" w:rsidR="007F43CA" w:rsidRPr="00165EBE" w:rsidRDefault="007F43CA" w:rsidP="001D32F6">
            <w:pPr>
              <w:pStyle w:val="Tabletext"/>
              <w:rPr>
                <w:sz w:val="18"/>
                <w:szCs w:val="18"/>
              </w:rPr>
            </w:pPr>
          </w:p>
        </w:tc>
        <w:tc>
          <w:tcPr>
            <w:tcW w:w="2248" w:type="dxa"/>
            <w:vMerge/>
            <w:shd w:val="clear" w:color="auto" w:fill="FDF2B1"/>
          </w:tcPr>
          <w:p w14:paraId="077CB039" w14:textId="53B21C21" w:rsidR="007F43CA" w:rsidRPr="00165EBE" w:rsidRDefault="007F43CA" w:rsidP="001D32F6">
            <w:pPr>
              <w:pStyle w:val="Tabletext"/>
              <w:tabs>
                <w:tab w:val="left" w:pos="547"/>
              </w:tabs>
              <w:ind w:left="547" w:hanging="547"/>
              <w:rPr>
                <w:sz w:val="18"/>
                <w:szCs w:val="18"/>
              </w:rPr>
            </w:pPr>
          </w:p>
        </w:tc>
        <w:tc>
          <w:tcPr>
            <w:tcW w:w="2074" w:type="dxa"/>
            <w:vMerge/>
            <w:shd w:val="clear" w:color="auto" w:fill="FDF2B1"/>
          </w:tcPr>
          <w:p w14:paraId="558137FF" w14:textId="77777777" w:rsidR="007F43CA" w:rsidRPr="00165EBE" w:rsidRDefault="007F43CA" w:rsidP="001D32F6">
            <w:pPr>
              <w:pStyle w:val="Tabletext"/>
              <w:rPr>
                <w:sz w:val="18"/>
                <w:szCs w:val="18"/>
              </w:rPr>
            </w:pPr>
          </w:p>
        </w:tc>
        <w:tc>
          <w:tcPr>
            <w:tcW w:w="1952" w:type="dxa"/>
            <w:vMerge/>
            <w:shd w:val="clear" w:color="auto" w:fill="FDF2B1"/>
          </w:tcPr>
          <w:p w14:paraId="594E21CE" w14:textId="77777777" w:rsidR="007F43CA" w:rsidRPr="00165EBE" w:rsidRDefault="007F43CA" w:rsidP="001D32F6">
            <w:pPr>
              <w:pStyle w:val="Tabletext"/>
              <w:rPr>
                <w:sz w:val="18"/>
                <w:szCs w:val="18"/>
              </w:rPr>
            </w:pPr>
          </w:p>
        </w:tc>
        <w:tc>
          <w:tcPr>
            <w:tcW w:w="1196" w:type="dxa"/>
            <w:vMerge/>
            <w:shd w:val="clear" w:color="auto" w:fill="FDF2B1"/>
          </w:tcPr>
          <w:p w14:paraId="2573B274" w14:textId="77777777" w:rsidR="007F43CA" w:rsidRPr="00165EBE" w:rsidRDefault="007F43CA" w:rsidP="001D32F6">
            <w:pPr>
              <w:pStyle w:val="Tabletext"/>
              <w:rPr>
                <w:sz w:val="18"/>
                <w:szCs w:val="18"/>
              </w:rPr>
            </w:pPr>
          </w:p>
        </w:tc>
        <w:tc>
          <w:tcPr>
            <w:tcW w:w="4528" w:type="dxa"/>
            <w:vMerge/>
            <w:shd w:val="clear" w:color="auto" w:fill="FDF2B1"/>
          </w:tcPr>
          <w:p w14:paraId="233F6977" w14:textId="77777777" w:rsidR="007F43CA" w:rsidRPr="00165EBE" w:rsidRDefault="007F43CA" w:rsidP="001D32F6">
            <w:pPr>
              <w:pStyle w:val="Tabletext"/>
              <w:rPr>
                <w:sz w:val="18"/>
                <w:szCs w:val="18"/>
              </w:rPr>
            </w:pPr>
          </w:p>
        </w:tc>
      </w:tr>
      <w:tr w:rsidR="007F43CA" w:rsidRPr="007F43CA" w14:paraId="34CF3182" w14:textId="77777777" w:rsidTr="005817FB">
        <w:trPr>
          <w:trHeight w:val="6237"/>
          <w:jc w:val="center"/>
        </w:trPr>
        <w:tc>
          <w:tcPr>
            <w:tcW w:w="582" w:type="dxa"/>
            <w:shd w:val="clear" w:color="auto" w:fill="FDF2B1"/>
          </w:tcPr>
          <w:p w14:paraId="69000F11" w14:textId="77777777" w:rsidR="007F43CA" w:rsidRPr="007F43CA" w:rsidRDefault="007F43CA" w:rsidP="001D32F6">
            <w:pPr>
              <w:pStyle w:val="Tabletext"/>
              <w:rPr>
                <w:rFonts w:asciiTheme="minorHAnsi" w:hAnsiTheme="minorHAnsi" w:cstheme="minorHAnsi"/>
                <w:sz w:val="18"/>
                <w:szCs w:val="18"/>
              </w:rPr>
            </w:pPr>
            <w:bookmarkStart w:id="11" w:name="_Hlk70507460"/>
            <w:r w:rsidRPr="007F43CA">
              <w:rPr>
                <w:rFonts w:asciiTheme="minorHAnsi" w:hAnsiTheme="minorHAnsi" w:cstheme="minorHAnsi"/>
                <w:sz w:val="18"/>
                <w:szCs w:val="18"/>
              </w:rPr>
              <w:lastRenderedPageBreak/>
              <w:t>3.2</w:t>
            </w:r>
          </w:p>
        </w:tc>
        <w:tc>
          <w:tcPr>
            <w:tcW w:w="1449" w:type="dxa"/>
            <w:shd w:val="clear" w:color="auto" w:fill="FDF2B1"/>
          </w:tcPr>
          <w:p w14:paraId="424EF530" w14:textId="77777777"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 xml:space="preserve">Système ERP innovant, rationalisé et intégré </w:t>
            </w:r>
          </w:p>
        </w:tc>
        <w:tc>
          <w:tcPr>
            <w:tcW w:w="2248" w:type="dxa"/>
            <w:shd w:val="clear" w:color="auto" w:fill="FDF2B1"/>
          </w:tcPr>
          <w:p w14:paraId="6A210F7F" w14:textId="42A3E2CA" w:rsidR="007F43CA" w:rsidRPr="007F43CA" w:rsidRDefault="007F43CA" w:rsidP="00470104">
            <w:pPr>
              <w:pStyle w:val="Tabletext"/>
              <w:keepNext/>
              <w:keepLines/>
              <w:rPr>
                <w:rFonts w:asciiTheme="minorHAnsi" w:hAnsiTheme="minorHAnsi" w:cstheme="minorHAnsi"/>
                <w:sz w:val="18"/>
                <w:szCs w:val="18"/>
              </w:rPr>
            </w:pPr>
            <w:r w:rsidRPr="00470104">
              <w:rPr>
                <w:rFonts w:asciiTheme="minorHAnsi" w:hAnsiTheme="minorHAnsi" w:cstheme="minorHAnsi"/>
                <w:sz w:val="18"/>
                <w:szCs w:val="18"/>
              </w:rPr>
              <w:t>Évaluer le rapport coût</w:t>
            </w:r>
            <w:r w:rsidRPr="00470104">
              <w:rPr>
                <w:rFonts w:asciiTheme="minorHAnsi" w:hAnsiTheme="minorHAnsi" w:cstheme="minorHAnsi"/>
                <w:sz w:val="18"/>
                <w:szCs w:val="18"/>
              </w:rPr>
              <w:noBreakHyphen/>
              <w:t>efficacité d</w:t>
            </w:r>
            <w:r w:rsidR="00E14E13" w:rsidRPr="00470104">
              <w:rPr>
                <w:rFonts w:asciiTheme="minorHAnsi" w:hAnsiTheme="minorHAnsi" w:cstheme="minorHAnsi"/>
                <w:sz w:val="18"/>
                <w:szCs w:val="18"/>
              </w:rPr>
              <w:t>'</w:t>
            </w:r>
            <w:r w:rsidRPr="00470104">
              <w:rPr>
                <w:rFonts w:asciiTheme="minorHAnsi" w:hAnsiTheme="minorHAnsi" w:cstheme="minorHAnsi"/>
                <w:sz w:val="18"/>
                <w:szCs w:val="18"/>
              </w:rPr>
              <w:t>une numérisation des dossiers du personnel pour assurer la continuité des activités (afin d</w:t>
            </w:r>
            <w:r w:rsidR="00E14E13" w:rsidRPr="00470104">
              <w:rPr>
                <w:rFonts w:asciiTheme="minorHAnsi" w:hAnsiTheme="minorHAnsi" w:cstheme="minorHAnsi"/>
                <w:sz w:val="18"/>
                <w:szCs w:val="18"/>
              </w:rPr>
              <w:t>'</w:t>
            </w:r>
            <w:r w:rsidRPr="00470104">
              <w:rPr>
                <w:rFonts w:asciiTheme="minorHAnsi" w:hAnsiTheme="minorHAnsi" w:cstheme="minorHAnsi"/>
                <w:sz w:val="18"/>
                <w:szCs w:val="18"/>
              </w:rPr>
              <w:t>éviter qu</w:t>
            </w:r>
            <w:r w:rsidR="00E14E13" w:rsidRPr="00470104">
              <w:rPr>
                <w:rFonts w:asciiTheme="minorHAnsi" w:hAnsiTheme="minorHAnsi" w:cstheme="minorHAnsi"/>
                <w:sz w:val="18"/>
                <w:szCs w:val="18"/>
              </w:rPr>
              <w:t>'</w:t>
            </w:r>
            <w:r w:rsidRPr="00470104">
              <w:rPr>
                <w:rFonts w:asciiTheme="minorHAnsi" w:hAnsiTheme="minorHAnsi" w:cstheme="minorHAnsi"/>
                <w:sz w:val="18"/>
                <w:szCs w:val="18"/>
              </w:rPr>
              <w:t>un événement accidentel provoque la perte de données essentielles) et pour permettre une interface directe des dossiers du personnel avec les Systèmes, applications et produits (SAP) de traitement de données RH. Le processus de numérisation permettra non seulement l</w:t>
            </w:r>
            <w:r w:rsidR="00E14E13" w:rsidRPr="00470104">
              <w:rPr>
                <w:rFonts w:asciiTheme="minorHAnsi" w:hAnsiTheme="minorHAnsi" w:cstheme="minorHAnsi"/>
                <w:sz w:val="18"/>
                <w:szCs w:val="18"/>
              </w:rPr>
              <w:t>'</w:t>
            </w:r>
            <w:r w:rsidRPr="00470104">
              <w:rPr>
                <w:rFonts w:asciiTheme="minorHAnsi" w:hAnsiTheme="minorHAnsi" w:cstheme="minorHAnsi"/>
                <w:sz w:val="18"/>
                <w:szCs w:val="18"/>
              </w:rPr>
              <w:t>automatisation des fonctions RH, mais également une utilisation plus stratégique de l</w:t>
            </w:r>
            <w:r w:rsidR="00E14E13" w:rsidRPr="00470104">
              <w:rPr>
                <w:rFonts w:asciiTheme="minorHAnsi" w:hAnsiTheme="minorHAnsi" w:cstheme="minorHAnsi"/>
                <w:sz w:val="18"/>
                <w:szCs w:val="18"/>
              </w:rPr>
              <w:t>'</w:t>
            </w:r>
            <w:r w:rsidRPr="00470104">
              <w:rPr>
                <w:rFonts w:asciiTheme="minorHAnsi" w:hAnsiTheme="minorHAnsi" w:cstheme="minorHAnsi"/>
                <w:sz w:val="18"/>
                <w:szCs w:val="18"/>
              </w:rPr>
              <w:t>information pour l</w:t>
            </w:r>
            <w:r w:rsidR="00E14E13" w:rsidRPr="00470104">
              <w:rPr>
                <w:rFonts w:asciiTheme="minorHAnsi" w:hAnsiTheme="minorHAnsi" w:cstheme="minorHAnsi"/>
                <w:sz w:val="18"/>
                <w:szCs w:val="18"/>
              </w:rPr>
              <w:t>'</w:t>
            </w:r>
            <w:r w:rsidRPr="00470104">
              <w:rPr>
                <w:rFonts w:asciiTheme="minorHAnsi" w:hAnsiTheme="minorHAnsi" w:cstheme="minorHAnsi"/>
                <w:sz w:val="18"/>
                <w:szCs w:val="18"/>
              </w:rPr>
              <w:t xml:space="preserve">étude des effectifs, la gestion des </w:t>
            </w:r>
            <w:r w:rsidRPr="007F43CA">
              <w:rPr>
                <w:rFonts w:asciiTheme="minorHAnsi" w:hAnsiTheme="minorHAnsi" w:cstheme="minorHAnsi"/>
                <w:sz w:val="18"/>
                <w:szCs w:val="18"/>
              </w:rPr>
              <w:t>aptitudes, etc. En conséquence:</w:t>
            </w:r>
          </w:p>
          <w:p w14:paraId="115C6BE8" w14:textId="77777777" w:rsidR="007F43CA" w:rsidRPr="007F43CA" w:rsidRDefault="007F43CA" w:rsidP="00470104">
            <w:pPr>
              <w:pStyle w:val="Tabletext"/>
              <w:keepNext/>
              <w:keepLines/>
              <w:tabs>
                <w:tab w:val="left" w:pos="378"/>
              </w:tabs>
              <w:ind w:left="378" w:hanging="378"/>
              <w:rPr>
                <w:rFonts w:asciiTheme="minorHAnsi" w:hAnsiTheme="minorHAnsi" w:cstheme="minorHAnsi"/>
                <w:sz w:val="18"/>
                <w:szCs w:val="18"/>
              </w:rPr>
            </w:pPr>
            <w:r w:rsidRPr="007F43CA">
              <w:rPr>
                <w:rFonts w:asciiTheme="minorHAnsi" w:hAnsiTheme="minorHAnsi" w:cstheme="minorHAnsi"/>
                <w:sz w:val="18"/>
                <w:szCs w:val="18"/>
              </w:rPr>
              <w:t>a)</w:t>
            </w:r>
            <w:r w:rsidRPr="007F43CA">
              <w:rPr>
                <w:rFonts w:asciiTheme="minorHAnsi" w:hAnsiTheme="minorHAnsi" w:cstheme="minorHAnsi"/>
                <w:sz w:val="18"/>
                <w:szCs w:val="18"/>
              </w:rPr>
              <w:tab/>
              <w:t xml:space="preserve">un nouveau système de gestion du recrutement (RMS) sera élaboré et mis en place </w:t>
            </w:r>
          </w:p>
          <w:p w14:paraId="21A464EC" w14:textId="77777777" w:rsidR="007F43CA" w:rsidRPr="007F43CA" w:rsidRDefault="007F43CA" w:rsidP="00470104">
            <w:pPr>
              <w:pStyle w:val="Tabletext"/>
              <w:keepNext/>
              <w:keepLines/>
              <w:tabs>
                <w:tab w:val="left" w:pos="389"/>
              </w:tabs>
              <w:ind w:left="389" w:hanging="389"/>
              <w:rPr>
                <w:rFonts w:asciiTheme="minorHAnsi" w:hAnsiTheme="minorHAnsi" w:cstheme="minorHAnsi"/>
                <w:sz w:val="18"/>
                <w:szCs w:val="18"/>
              </w:rPr>
            </w:pPr>
            <w:r w:rsidRPr="007F43CA">
              <w:rPr>
                <w:rFonts w:asciiTheme="minorHAnsi" w:hAnsiTheme="minorHAnsi" w:cstheme="minorHAnsi"/>
                <w:sz w:val="18"/>
                <w:szCs w:val="18"/>
              </w:rPr>
              <w:t>b)</w:t>
            </w:r>
            <w:r w:rsidRPr="007F43CA">
              <w:rPr>
                <w:rFonts w:asciiTheme="minorHAnsi" w:hAnsiTheme="minorHAnsi" w:cstheme="minorHAnsi"/>
                <w:sz w:val="18"/>
                <w:szCs w:val="18"/>
              </w:rPr>
              <w:tab/>
              <w:t xml:space="preserve">un nouveau système de gestion de la formation (LMS) sera élaboré et mis en place </w:t>
            </w:r>
          </w:p>
          <w:p w14:paraId="3AC069B5" w14:textId="1E579B4E" w:rsidR="007F43CA" w:rsidRPr="007F43CA" w:rsidRDefault="007F43CA" w:rsidP="00470104">
            <w:pPr>
              <w:pStyle w:val="Tabletext"/>
              <w:keepNext/>
              <w:keepLines/>
              <w:tabs>
                <w:tab w:val="left" w:pos="397"/>
              </w:tabs>
              <w:ind w:left="397" w:hanging="397"/>
              <w:rPr>
                <w:rFonts w:asciiTheme="minorHAnsi" w:hAnsiTheme="minorHAnsi" w:cstheme="minorHAnsi"/>
                <w:sz w:val="18"/>
                <w:szCs w:val="18"/>
              </w:rPr>
            </w:pPr>
            <w:r w:rsidRPr="007F43CA">
              <w:rPr>
                <w:rFonts w:asciiTheme="minorHAnsi" w:hAnsiTheme="minorHAnsi" w:cstheme="minorHAnsi"/>
                <w:sz w:val="18"/>
                <w:szCs w:val="18"/>
              </w:rPr>
              <w:t>c)</w:t>
            </w:r>
            <w:r w:rsidRPr="007F43CA">
              <w:rPr>
                <w:rFonts w:asciiTheme="minorHAnsi" w:hAnsiTheme="minorHAnsi" w:cstheme="minorHAnsi"/>
                <w:sz w:val="18"/>
                <w:szCs w:val="18"/>
              </w:rPr>
              <w:tab/>
              <w:t>la stratégie actuelle de gestion de l</w:t>
            </w:r>
            <w:r w:rsidR="00E14E13">
              <w:rPr>
                <w:rFonts w:asciiTheme="minorHAnsi" w:hAnsiTheme="minorHAnsi" w:cstheme="minorHAnsi"/>
                <w:sz w:val="18"/>
                <w:szCs w:val="18"/>
              </w:rPr>
              <w:t>'</w:t>
            </w:r>
            <w:r w:rsidRPr="007F43CA">
              <w:rPr>
                <w:rFonts w:asciiTheme="minorHAnsi" w:hAnsiTheme="minorHAnsi" w:cstheme="minorHAnsi"/>
                <w:sz w:val="18"/>
                <w:szCs w:val="18"/>
              </w:rPr>
              <w:t>information et des technologies de l</w:t>
            </w:r>
            <w:r w:rsidR="00E14E13">
              <w:rPr>
                <w:rFonts w:asciiTheme="minorHAnsi" w:hAnsiTheme="minorHAnsi" w:cstheme="minorHAnsi"/>
                <w:sz w:val="18"/>
                <w:szCs w:val="18"/>
              </w:rPr>
              <w:t>'</w:t>
            </w:r>
            <w:r w:rsidRPr="007F43CA">
              <w:rPr>
                <w:rFonts w:asciiTheme="minorHAnsi" w:hAnsiTheme="minorHAnsi" w:cstheme="minorHAnsi"/>
                <w:sz w:val="18"/>
                <w:szCs w:val="18"/>
              </w:rPr>
              <w:t xml:space="preserve">information des RH </w:t>
            </w:r>
            <w:r w:rsidRPr="007F43CA">
              <w:rPr>
                <w:rFonts w:asciiTheme="minorHAnsi" w:hAnsiTheme="minorHAnsi" w:cstheme="minorHAnsi"/>
                <w:sz w:val="18"/>
                <w:szCs w:val="18"/>
              </w:rPr>
              <w:lastRenderedPageBreak/>
              <w:t>sera actualisée, de manière à inclure tous les aspects de la gestion de l</w:t>
            </w:r>
            <w:r w:rsidR="00E14E13">
              <w:rPr>
                <w:rFonts w:asciiTheme="minorHAnsi" w:hAnsiTheme="minorHAnsi" w:cstheme="minorHAnsi"/>
                <w:sz w:val="18"/>
                <w:szCs w:val="18"/>
              </w:rPr>
              <w:t>'</w:t>
            </w:r>
            <w:r w:rsidRPr="007F43CA">
              <w:rPr>
                <w:rFonts w:asciiTheme="minorHAnsi" w:hAnsiTheme="minorHAnsi" w:cstheme="minorHAnsi"/>
                <w:sz w:val="18"/>
                <w:szCs w:val="18"/>
              </w:rPr>
              <w:t>information (gestion électronique des dossiers), de façon à fournir un éventail de fonctionnalités nouvelles permettant d</w:t>
            </w:r>
            <w:r w:rsidR="00E14E13">
              <w:rPr>
                <w:rFonts w:asciiTheme="minorHAnsi" w:hAnsiTheme="minorHAnsi" w:cstheme="minorHAnsi"/>
                <w:sz w:val="18"/>
                <w:szCs w:val="18"/>
              </w:rPr>
              <w:t>'</w:t>
            </w:r>
            <w:r w:rsidRPr="007F43CA">
              <w:rPr>
                <w:rFonts w:asciiTheme="minorHAnsi" w:hAnsiTheme="minorHAnsi" w:cstheme="minorHAnsi"/>
                <w:sz w:val="18"/>
                <w:szCs w:val="18"/>
              </w:rPr>
              <w:t>accroître l</w:t>
            </w:r>
            <w:r w:rsidR="00E14E13">
              <w:rPr>
                <w:rFonts w:asciiTheme="minorHAnsi" w:hAnsiTheme="minorHAnsi" w:cstheme="minorHAnsi"/>
                <w:sz w:val="18"/>
                <w:szCs w:val="18"/>
              </w:rPr>
              <w:t>'</w:t>
            </w:r>
            <w:r w:rsidRPr="007F43CA">
              <w:rPr>
                <w:rFonts w:asciiTheme="minorHAnsi" w:hAnsiTheme="minorHAnsi" w:cstheme="minorHAnsi"/>
                <w:sz w:val="18"/>
                <w:szCs w:val="18"/>
              </w:rPr>
              <w:t>efficacité des activités dans un environnement sans papier</w:t>
            </w:r>
          </w:p>
        </w:tc>
        <w:tc>
          <w:tcPr>
            <w:tcW w:w="2074" w:type="dxa"/>
            <w:shd w:val="clear" w:color="auto" w:fill="FDF2B1"/>
          </w:tcPr>
          <w:p w14:paraId="02A41289" w14:textId="77777777" w:rsidR="007F43CA" w:rsidRPr="007F43CA" w:rsidRDefault="007F43CA" w:rsidP="001D32F6">
            <w:pPr>
              <w:pStyle w:val="Tabletext"/>
              <w:keepLines/>
              <w:tabs>
                <w:tab w:val="left" w:pos="178"/>
              </w:tabs>
              <w:ind w:left="178" w:hanging="178"/>
              <w:rPr>
                <w:rFonts w:asciiTheme="minorHAnsi" w:hAnsiTheme="minorHAnsi" w:cstheme="minorHAnsi"/>
                <w:sz w:val="18"/>
                <w:szCs w:val="18"/>
              </w:rPr>
            </w:pPr>
            <w:r w:rsidRPr="007F43CA">
              <w:rPr>
                <w:rFonts w:asciiTheme="minorHAnsi" w:hAnsiTheme="minorHAnsi" w:cstheme="minorHAnsi"/>
                <w:sz w:val="18"/>
                <w:szCs w:val="18"/>
              </w:rPr>
              <w:lastRenderedPageBreak/>
              <w:t>•</w:t>
            </w:r>
            <w:r w:rsidRPr="007F43CA">
              <w:rPr>
                <w:rFonts w:asciiTheme="minorHAnsi" w:hAnsiTheme="minorHAnsi" w:cstheme="minorHAnsi"/>
                <w:sz w:val="18"/>
                <w:szCs w:val="18"/>
              </w:rPr>
              <w:tab/>
              <w:t xml:space="preserve">Justification économique établie de la numérisation des RH par domaine (administration, recrutement et développement) </w:t>
            </w:r>
          </w:p>
          <w:p w14:paraId="6B67B3B6" w14:textId="2DF37A6D" w:rsidR="007F43CA" w:rsidRPr="007F43CA" w:rsidRDefault="007F43CA" w:rsidP="001D32F6">
            <w:pPr>
              <w:pStyle w:val="Tabletext"/>
              <w:keepLines/>
              <w:tabs>
                <w:tab w:val="left" w:pos="178"/>
              </w:tabs>
              <w:ind w:left="178" w:hanging="178"/>
              <w:rPr>
                <w:rFonts w:asciiTheme="minorHAnsi" w:hAnsiTheme="minorHAnsi" w:cstheme="minorHAnsi"/>
                <w:sz w:val="18"/>
                <w:szCs w:val="18"/>
              </w:rPr>
            </w:pPr>
            <w:r w:rsidRPr="007F43CA">
              <w:rPr>
                <w:rFonts w:asciiTheme="minorHAnsi" w:hAnsiTheme="minorHAnsi" w:cstheme="minorHAnsi"/>
                <w:sz w:val="18"/>
                <w:szCs w:val="18"/>
              </w:rPr>
              <w:t>•</w:t>
            </w:r>
            <w:r w:rsidRPr="007F43CA">
              <w:rPr>
                <w:rFonts w:asciiTheme="minorHAnsi" w:hAnsiTheme="minorHAnsi" w:cstheme="minorHAnsi"/>
                <w:sz w:val="18"/>
                <w:szCs w:val="18"/>
              </w:rPr>
              <w:tab/>
              <w:t>Simplification et mesure qualitative et quantitative de l</w:t>
            </w:r>
            <w:r w:rsidR="00E14E13">
              <w:rPr>
                <w:rFonts w:asciiTheme="minorHAnsi" w:hAnsiTheme="minorHAnsi" w:cstheme="minorHAnsi"/>
                <w:sz w:val="18"/>
                <w:szCs w:val="18"/>
              </w:rPr>
              <w:t>'</w:t>
            </w:r>
            <w:r w:rsidRPr="007F43CA">
              <w:rPr>
                <w:rFonts w:asciiTheme="minorHAnsi" w:hAnsiTheme="minorHAnsi" w:cstheme="minorHAnsi"/>
                <w:sz w:val="18"/>
                <w:szCs w:val="18"/>
              </w:rPr>
              <w:t>efficacité moyennant l</w:t>
            </w:r>
            <w:r w:rsidR="00E14E13">
              <w:rPr>
                <w:rFonts w:asciiTheme="minorHAnsi" w:hAnsiTheme="minorHAnsi" w:cstheme="minorHAnsi"/>
                <w:sz w:val="18"/>
                <w:szCs w:val="18"/>
              </w:rPr>
              <w:t>'</w:t>
            </w:r>
            <w:r w:rsidRPr="007F43CA">
              <w:rPr>
                <w:rFonts w:asciiTheme="minorHAnsi" w:hAnsiTheme="minorHAnsi" w:cstheme="minorHAnsi"/>
                <w:sz w:val="18"/>
                <w:szCs w:val="18"/>
              </w:rPr>
              <w:t>élaboration et la mise en place de dossiers électroniques et de projets RMS et LMS</w:t>
            </w:r>
          </w:p>
        </w:tc>
        <w:tc>
          <w:tcPr>
            <w:tcW w:w="1952" w:type="dxa"/>
            <w:shd w:val="clear" w:color="auto" w:fill="FDF2B1"/>
          </w:tcPr>
          <w:p w14:paraId="046631D4" w14:textId="77777777"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 xml:space="preserve"> </w:t>
            </w:r>
          </w:p>
        </w:tc>
        <w:tc>
          <w:tcPr>
            <w:tcW w:w="1196" w:type="dxa"/>
            <w:shd w:val="clear" w:color="auto" w:fill="FDF2B1"/>
          </w:tcPr>
          <w:p w14:paraId="5F923B00" w14:textId="58DFA55A"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202</w:t>
            </w:r>
            <w:r w:rsidR="00F74C17">
              <w:rPr>
                <w:rFonts w:asciiTheme="minorHAnsi" w:hAnsiTheme="minorHAnsi" w:cstheme="minorHAnsi"/>
                <w:sz w:val="18"/>
                <w:szCs w:val="18"/>
              </w:rPr>
              <w:t>1</w:t>
            </w:r>
            <w:r w:rsidRPr="007F43CA">
              <w:rPr>
                <w:rFonts w:asciiTheme="minorHAnsi" w:hAnsiTheme="minorHAnsi" w:cstheme="minorHAnsi"/>
                <w:sz w:val="18"/>
                <w:szCs w:val="18"/>
              </w:rPr>
              <w:t>-202</w:t>
            </w:r>
            <w:r w:rsidR="00F74C17">
              <w:rPr>
                <w:rFonts w:asciiTheme="minorHAnsi" w:hAnsiTheme="minorHAnsi" w:cstheme="minorHAnsi"/>
                <w:sz w:val="18"/>
                <w:szCs w:val="18"/>
              </w:rPr>
              <w:t>2</w:t>
            </w:r>
          </w:p>
        </w:tc>
        <w:tc>
          <w:tcPr>
            <w:tcW w:w="4528" w:type="dxa"/>
            <w:shd w:val="clear" w:color="auto" w:fill="FDF2B1"/>
          </w:tcPr>
          <w:p w14:paraId="340B8649" w14:textId="017412D0" w:rsidR="007F43CA" w:rsidRPr="00165EBE" w:rsidRDefault="00165EBE" w:rsidP="001D32F6">
            <w:pPr>
              <w:pStyle w:val="Tabletext"/>
              <w:rPr>
                <w:rFonts w:asciiTheme="minorHAnsi" w:hAnsiTheme="minorHAnsi" w:cstheme="minorHAnsi"/>
                <w:sz w:val="18"/>
                <w:szCs w:val="18"/>
              </w:rPr>
            </w:pPr>
            <w:r w:rsidRPr="00165EBE">
              <w:rPr>
                <w:rFonts w:asciiTheme="minorHAnsi" w:hAnsiTheme="minorHAnsi" w:cstheme="minorHAnsi"/>
                <w:sz w:val="18"/>
                <w:szCs w:val="18"/>
              </w:rPr>
              <w:t>Le système de gestion de la formation et le système de gestion d</w:t>
            </w:r>
            <w:r>
              <w:rPr>
                <w:rFonts w:asciiTheme="minorHAnsi" w:hAnsiTheme="minorHAnsi" w:cstheme="minorHAnsi"/>
                <w:sz w:val="18"/>
                <w:szCs w:val="18"/>
              </w:rPr>
              <w:t xml:space="preserve">es recrutements ont été mis en </w:t>
            </w:r>
            <w:r w:rsidR="00ED4558">
              <w:rPr>
                <w:rFonts w:asciiTheme="minorHAnsi" w:hAnsiTheme="minorHAnsi" w:cstheme="minorHAnsi"/>
                <w:sz w:val="18"/>
                <w:szCs w:val="18"/>
              </w:rPr>
              <w:t xml:space="preserve">place </w:t>
            </w:r>
            <w:r>
              <w:rPr>
                <w:rFonts w:asciiTheme="minorHAnsi" w:hAnsiTheme="minorHAnsi" w:cstheme="minorHAnsi"/>
                <w:sz w:val="18"/>
                <w:szCs w:val="18"/>
              </w:rPr>
              <w:t>avec succès en 2021 et ont été respectivement lancés en janvier et février 2022</w:t>
            </w:r>
            <w:r w:rsidR="007F43CA" w:rsidRPr="00165EBE">
              <w:rPr>
                <w:rFonts w:asciiTheme="minorHAnsi" w:hAnsiTheme="minorHAnsi" w:cstheme="minorHAnsi"/>
                <w:sz w:val="18"/>
                <w:szCs w:val="18"/>
              </w:rPr>
              <w:t>.</w:t>
            </w:r>
          </w:p>
          <w:p w14:paraId="10D39818" w14:textId="56578492" w:rsidR="00165EBE" w:rsidRDefault="00165EBE" w:rsidP="001D32F6">
            <w:pPr>
              <w:pStyle w:val="Tabletext"/>
              <w:rPr>
                <w:rFonts w:asciiTheme="minorHAnsi" w:hAnsiTheme="minorHAnsi" w:cstheme="minorHAnsi"/>
                <w:sz w:val="18"/>
                <w:szCs w:val="18"/>
              </w:rPr>
            </w:pPr>
            <w:r>
              <w:rPr>
                <w:rFonts w:asciiTheme="minorHAnsi" w:hAnsiTheme="minorHAnsi" w:cstheme="minorHAnsi"/>
                <w:sz w:val="18"/>
                <w:szCs w:val="18"/>
              </w:rPr>
              <w:t>L</w:t>
            </w:r>
            <w:r w:rsidR="00E14E13">
              <w:rPr>
                <w:rFonts w:asciiTheme="minorHAnsi" w:hAnsiTheme="minorHAnsi" w:cstheme="minorHAnsi"/>
                <w:sz w:val="18"/>
                <w:szCs w:val="18"/>
              </w:rPr>
              <w:t>'</w:t>
            </w:r>
            <w:r>
              <w:rPr>
                <w:rFonts w:asciiTheme="minorHAnsi" w:hAnsiTheme="minorHAnsi" w:cstheme="minorHAnsi"/>
                <w:sz w:val="18"/>
                <w:szCs w:val="18"/>
              </w:rPr>
              <w:t xml:space="preserve">intégration des </w:t>
            </w:r>
            <w:r w:rsidR="007F43CA" w:rsidRPr="007F43CA">
              <w:rPr>
                <w:rFonts w:asciiTheme="minorHAnsi" w:hAnsiTheme="minorHAnsi" w:cstheme="minorHAnsi"/>
                <w:sz w:val="18"/>
                <w:szCs w:val="18"/>
              </w:rPr>
              <w:t>processus opérationnels existants dans le système ERP</w:t>
            </w:r>
            <w:r>
              <w:rPr>
                <w:rFonts w:asciiTheme="minorHAnsi" w:hAnsiTheme="minorHAnsi" w:cstheme="minorHAnsi"/>
                <w:sz w:val="18"/>
                <w:szCs w:val="18"/>
              </w:rPr>
              <w:t xml:space="preserve"> se poursuit</w:t>
            </w:r>
            <w:r w:rsidR="00BD54AF">
              <w:rPr>
                <w:rFonts w:asciiTheme="minorHAnsi" w:hAnsiTheme="minorHAnsi" w:cstheme="minorHAnsi"/>
                <w:sz w:val="18"/>
                <w:szCs w:val="18"/>
              </w:rPr>
              <w:t>,</w:t>
            </w:r>
            <w:r>
              <w:rPr>
                <w:rFonts w:asciiTheme="minorHAnsi" w:hAnsiTheme="minorHAnsi" w:cstheme="minorHAnsi"/>
                <w:sz w:val="18"/>
                <w:szCs w:val="18"/>
              </w:rPr>
              <w:t xml:space="preserve"> en collaboration avec le Département des services informatiques,</w:t>
            </w:r>
            <w:r w:rsidR="007F43CA" w:rsidRPr="007F43CA">
              <w:rPr>
                <w:rFonts w:asciiTheme="minorHAnsi" w:hAnsiTheme="minorHAnsi" w:cstheme="minorHAnsi"/>
                <w:sz w:val="18"/>
                <w:szCs w:val="18"/>
              </w:rPr>
              <w:t xml:space="preserve"> afin de réduire les activités de traitement manuelles et de les automatiser davantage, l</w:t>
            </w:r>
            <w:r w:rsidR="00E14E13">
              <w:rPr>
                <w:rFonts w:asciiTheme="minorHAnsi" w:hAnsiTheme="minorHAnsi" w:cstheme="minorHAnsi"/>
                <w:sz w:val="18"/>
                <w:szCs w:val="18"/>
              </w:rPr>
              <w:t>'</w:t>
            </w:r>
            <w:r w:rsidR="007F43CA" w:rsidRPr="007F43CA">
              <w:rPr>
                <w:rFonts w:asciiTheme="minorHAnsi" w:hAnsiTheme="minorHAnsi" w:cstheme="minorHAnsi"/>
                <w:sz w:val="18"/>
                <w:szCs w:val="18"/>
              </w:rPr>
              <w:t>objectif étant de simplifier les tâches, de raccourcir les délais de traitement et d</w:t>
            </w:r>
            <w:r w:rsidR="00E14E13">
              <w:rPr>
                <w:rFonts w:asciiTheme="minorHAnsi" w:hAnsiTheme="minorHAnsi" w:cstheme="minorHAnsi"/>
                <w:sz w:val="18"/>
                <w:szCs w:val="18"/>
              </w:rPr>
              <w:t>'</w:t>
            </w:r>
            <w:r w:rsidR="007F43CA" w:rsidRPr="007F43CA">
              <w:rPr>
                <w:rFonts w:asciiTheme="minorHAnsi" w:hAnsiTheme="minorHAnsi" w:cstheme="minorHAnsi"/>
                <w:sz w:val="18"/>
                <w:szCs w:val="18"/>
              </w:rPr>
              <w:t>atténuer les risques. De nouvelles fonctionnalités ont été déployées: nouveaux rapports de l</w:t>
            </w:r>
            <w:r w:rsidR="00E14E13">
              <w:rPr>
                <w:rFonts w:asciiTheme="minorHAnsi" w:hAnsiTheme="minorHAnsi" w:cstheme="minorHAnsi"/>
                <w:sz w:val="18"/>
                <w:szCs w:val="18"/>
              </w:rPr>
              <w:t>'</w:t>
            </w:r>
            <w:r w:rsidR="007F43CA" w:rsidRPr="007F43CA">
              <w:rPr>
                <w:rFonts w:asciiTheme="minorHAnsi" w:hAnsiTheme="minorHAnsi" w:cstheme="minorHAnsi"/>
                <w:sz w:val="18"/>
                <w:szCs w:val="18"/>
              </w:rPr>
              <w:t>UNSMIS, génération automatique des lettres de nomination et prolongations de contrat, modules RH pour les indemnités pour frais d</w:t>
            </w:r>
            <w:r w:rsidR="00E14E13">
              <w:rPr>
                <w:rFonts w:asciiTheme="minorHAnsi" w:hAnsiTheme="minorHAnsi" w:cstheme="minorHAnsi"/>
                <w:sz w:val="18"/>
                <w:szCs w:val="18"/>
              </w:rPr>
              <w:t>'</w:t>
            </w:r>
            <w:r w:rsidR="007F43CA" w:rsidRPr="007F43CA">
              <w:rPr>
                <w:rFonts w:asciiTheme="minorHAnsi" w:hAnsiTheme="minorHAnsi" w:cstheme="minorHAnsi"/>
                <w:sz w:val="18"/>
                <w:szCs w:val="18"/>
              </w:rPr>
              <w:t>études. La comptabilisation des indemnités pour frais d</w:t>
            </w:r>
            <w:r w:rsidR="00E14E13">
              <w:rPr>
                <w:rFonts w:asciiTheme="minorHAnsi" w:hAnsiTheme="minorHAnsi" w:cstheme="minorHAnsi"/>
                <w:sz w:val="18"/>
                <w:szCs w:val="18"/>
              </w:rPr>
              <w:t>'</w:t>
            </w:r>
            <w:r w:rsidR="007F43CA" w:rsidRPr="007F43CA">
              <w:rPr>
                <w:rFonts w:asciiTheme="minorHAnsi" w:hAnsiTheme="minorHAnsi" w:cstheme="minorHAnsi"/>
                <w:sz w:val="18"/>
                <w:szCs w:val="18"/>
              </w:rPr>
              <w:t>études dans le module de comptabilité devrait être déployée d</w:t>
            </w:r>
            <w:r w:rsidR="00E14E13">
              <w:rPr>
                <w:rFonts w:asciiTheme="minorHAnsi" w:hAnsiTheme="minorHAnsi" w:cstheme="minorHAnsi"/>
                <w:sz w:val="18"/>
                <w:szCs w:val="18"/>
              </w:rPr>
              <w:t>'</w:t>
            </w:r>
            <w:r w:rsidR="007F43CA" w:rsidRPr="007F43CA">
              <w:rPr>
                <w:rFonts w:asciiTheme="minorHAnsi" w:hAnsiTheme="minorHAnsi" w:cstheme="minorHAnsi"/>
                <w:sz w:val="18"/>
                <w:szCs w:val="18"/>
              </w:rPr>
              <w:t>ici à juin</w:t>
            </w:r>
            <w:r w:rsidR="00F74C17">
              <w:rPr>
                <w:rFonts w:asciiTheme="minorHAnsi" w:hAnsiTheme="minorHAnsi" w:cstheme="minorHAnsi"/>
                <w:sz w:val="18"/>
                <w:szCs w:val="18"/>
              </w:rPr>
              <w:t> </w:t>
            </w:r>
            <w:r w:rsidR="007F43CA" w:rsidRPr="007F43CA">
              <w:rPr>
                <w:rFonts w:asciiTheme="minorHAnsi" w:hAnsiTheme="minorHAnsi" w:cstheme="minorHAnsi"/>
                <w:sz w:val="18"/>
                <w:szCs w:val="18"/>
              </w:rPr>
              <w:t>2022.</w:t>
            </w:r>
            <w:r>
              <w:rPr>
                <w:rFonts w:asciiTheme="minorHAnsi" w:hAnsiTheme="minorHAnsi" w:cstheme="minorHAnsi"/>
                <w:sz w:val="18"/>
                <w:szCs w:val="18"/>
              </w:rPr>
              <w:t xml:space="preserve"> </w:t>
            </w:r>
          </w:p>
          <w:p w14:paraId="53E5B198" w14:textId="3CA6DC97" w:rsidR="007F43CA" w:rsidRPr="007F43CA" w:rsidRDefault="00165EBE" w:rsidP="001D32F6">
            <w:pPr>
              <w:pStyle w:val="Tabletext"/>
              <w:rPr>
                <w:rFonts w:asciiTheme="minorHAnsi" w:hAnsiTheme="minorHAnsi" w:cstheme="minorHAnsi"/>
                <w:sz w:val="18"/>
                <w:szCs w:val="18"/>
              </w:rPr>
            </w:pPr>
            <w:r>
              <w:rPr>
                <w:rFonts w:asciiTheme="minorHAnsi" w:hAnsiTheme="minorHAnsi" w:cstheme="minorHAnsi"/>
                <w:sz w:val="18"/>
                <w:szCs w:val="18"/>
              </w:rPr>
              <w:t>L</w:t>
            </w:r>
            <w:r w:rsidR="003B01FD">
              <w:rPr>
                <w:rFonts w:asciiTheme="minorHAnsi" w:hAnsiTheme="minorHAnsi" w:cstheme="minorHAnsi"/>
                <w:sz w:val="18"/>
                <w:szCs w:val="18"/>
              </w:rPr>
              <w:t>e</w:t>
            </w:r>
            <w:r>
              <w:rPr>
                <w:rFonts w:asciiTheme="minorHAnsi" w:hAnsiTheme="minorHAnsi" w:cstheme="minorHAnsi"/>
                <w:sz w:val="18"/>
                <w:szCs w:val="18"/>
              </w:rPr>
              <w:t xml:space="preserve"> Département HRMD a également participé au processus de</w:t>
            </w:r>
            <w:r w:rsidR="007F43CA" w:rsidRPr="007F43CA">
              <w:rPr>
                <w:rFonts w:asciiTheme="minorHAnsi" w:hAnsiTheme="minorHAnsi" w:cstheme="minorHAnsi"/>
                <w:sz w:val="18"/>
                <w:szCs w:val="18"/>
              </w:rPr>
              <w:t xml:space="preserve"> migration du système de gestion des experts du BDT vers le système SAP-ERP.</w:t>
            </w:r>
          </w:p>
        </w:tc>
      </w:tr>
      <w:tr w:rsidR="007F43CA" w:rsidRPr="00683D89" w14:paraId="421B43F6" w14:textId="77777777" w:rsidTr="005817FB">
        <w:trPr>
          <w:trHeight w:val="3658"/>
          <w:jc w:val="center"/>
        </w:trPr>
        <w:tc>
          <w:tcPr>
            <w:tcW w:w="582" w:type="dxa"/>
            <w:shd w:val="clear" w:color="auto" w:fill="FDF2B1"/>
          </w:tcPr>
          <w:p w14:paraId="0514A57F" w14:textId="42577F39" w:rsidR="007F43CA" w:rsidRPr="007F43CA" w:rsidRDefault="007F43CA" w:rsidP="001D32F6">
            <w:pPr>
              <w:pStyle w:val="Tabletext"/>
              <w:rPr>
                <w:rFonts w:cstheme="minorHAnsi"/>
                <w:sz w:val="18"/>
              </w:rPr>
            </w:pPr>
            <w:r w:rsidRPr="007F43CA">
              <w:rPr>
                <w:sz w:val="18"/>
                <w:lang w:val="en-US"/>
              </w:rPr>
              <w:lastRenderedPageBreak/>
              <w:t>3.3</w:t>
            </w:r>
          </w:p>
        </w:tc>
        <w:tc>
          <w:tcPr>
            <w:tcW w:w="1449" w:type="dxa"/>
            <w:shd w:val="clear" w:color="auto" w:fill="FDF2B1"/>
          </w:tcPr>
          <w:p w14:paraId="041DA7AC" w14:textId="64BFB51B" w:rsidR="007F43CA" w:rsidRPr="003B01FD" w:rsidRDefault="003B01FD" w:rsidP="001D32F6">
            <w:pPr>
              <w:pStyle w:val="Tabletext"/>
              <w:rPr>
                <w:rFonts w:cstheme="minorHAnsi"/>
                <w:sz w:val="18"/>
              </w:rPr>
            </w:pPr>
            <w:r w:rsidRPr="003B01FD">
              <w:rPr>
                <w:sz w:val="18"/>
              </w:rPr>
              <w:t>Communication systématique avec les c</w:t>
            </w:r>
            <w:r>
              <w:rPr>
                <w:sz w:val="18"/>
              </w:rPr>
              <w:t>lients du Département HRMD</w:t>
            </w:r>
          </w:p>
        </w:tc>
        <w:tc>
          <w:tcPr>
            <w:tcW w:w="2248" w:type="dxa"/>
            <w:shd w:val="clear" w:color="auto" w:fill="FDF2B1"/>
          </w:tcPr>
          <w:p w14:paraId="0F405704" w14:textId="0313EE16" w:rsidR="007F43CA" w:rsidRPr="003B01FD" w:rsidRDefault="007F43CA" w:rsidP="001D32F6">
            <w:pPr>
              <w:pStyle w:val="Tabletext"/>
              <w:tabs>
                <w:tab w:val="left" w:pos="263"/>
              </w:tabs>
              <w:ind w:left="263" w:hanging="263"/>
              <w:rPr>
                <w:sz w:val="18"/>
              </w:rPr>
            </w:pPr>
            <w:r w:rsidRPr="003B01FD">
              <w:rPr>
                <w:sz w:val="18"/>
              </w:rPr>
              <w:t>1</w:t>
            </w:r>
            <w:r w:rsidRPr="003B01FD">
              <w:rPr>
                <w:sz w:val="18"/>
              </w:rPr>
              <w:tab/>
            </w:r>
            <w:r w:rsidR="003B01FD" w:rsidRPr="003B01FD">
              <w:rPr>
                <w:sz w:val="18"/>
              </w:rPr>
              <w:t>Identifier les domaines dans lesquels les connaissances des clients sont</w:t>
            </w:r>
            <w:r w:rsidR="003B01FD">
              <w:rPr>
                <w:sz w:val="18"/>
              </w:rPr>
              <w:t xml:space="preserve"> lacunaires (fonctionnaires et retraités</w:t>
            </w:r>
            <w:r w:rsidR="00224624">
              <w:rPr>
                <w:sz w:val="18"/>
              </w:rPr>
              <w:t xml:space="preserve"> en ce qui concerne les questions de pension et d</w:t>
            </w:r>
            <w:r w:rsidR="00E14E13">
              <w:rPr>
                <w:sz w:val="18"/>
              </w:rPr>
              <w:t>'</w:t>
            </w:r>
            <w:r w:rsidR="00224624">
              <w:rPr>
                <w:sz w:val="18"/>
              </w:rPr>
              <w:t>assurance</w:t>
            </w:r>
            <w:r w:rsidRPr="003B01FD">
              <w:rPr>
                <w:sz w:val="18"/>
              </w:rPr>
              <w:t xml:space="preserve">) </w:t>
            </w:r>
          </w:p>
          <w:p w14:paraId="3256FD5C" w14:textId="2582666F" w:rsidR="007F43CA" w:rsidRPr="00386FE3" w:rsidRDefault="007F43CA" w:rsidP="001D32F6">
            <w:pPr>
              <w:pStyle w:val="Tabletext"/>
              <w:tabs>
                <w:tab w:val="left" w:pos="263"/>
              </w:tabs>
              <w:ind w:left="263" w:hanging="263"/>
              <w:rPr>
                <w:sz w:val="18"/>
              </w:rPr>
            </w:pPr>
            <w:r w:rsidRPr="00386FE3">
              <w:rPr>
                <w:sz w:val="18"/>
              </w:rPr>
              <w:t>2</w:t>
            </w:r>
            <w:r w:rsidRPr="00386FE3">
              <w:rPr>
                <w:sz w:val="18"/>
              </w:rPr>
              <w:tab/>
              <w:t>O</w:t>
            </w:r>
            <w:r w:rsidR="00224624" w:rsidRPr="00386FE3">
              <w:rPr>
                <w:sz w:val="18"/>
              </w:rPr>
              <w:t xml:space="preserve">rganiser une réunion </w:t>
            </w:r>
            <w:r w:rsidR="00386FE3" w:rsidRPr="00386FE3">
              <w:rPr>
                <w:sz w:val="18"/>
              </w:rPr>
              <w:t>publique</w:t>
            </w:r>
            <w:r w:rsidRPr="00386FE3">
              <w:rPr>
                <w:sz w:val="18"/>
              </w:rPr>
              <w:t xml:space="preserve"> </w:t>
            </w:r>
          </w:p>
          <w:p w14:paraId="00B61D3F" w14:textId="163FDC1B" w:rsidR="007F43CA" w:rsidRPr="00386FE3" w:rsidRDefault="009B3A00" w:rsidP="009B3A00">
            <w:pPr>
              <w:pStyle w:val="Tabletext"/>
              <w:tabs>
                <w:tab w:val="left" w:pos="257"/>
              </w:tabs>
              <w:ind w:left="257" w:hanging="257"/>
              <w:rPr>
                <w:sz w:val="18"/>
              </w:rPr>
            </w:pPr>
            <w:r>
              <w:rPr>
                <w:sz w:val="18"/>
              </w:rPr>
              <w:t>3</w:t>
            </w:r>
            <w:r>
              <w:rPr>
                <w:sz w:val="18"/>
              </w:rPr>
              <w:tab/>
            </w:r>
            <w:r w:rsidR="00386FE3" w:rsidRPr="00386FE3">
              <w:rPr>
                <w:sz w:val="18"/>
              </w:rPr>
              <w:t>Tenir les assurés systéma</w:t>
            </w:r>
            <w:r w:rsidR="00386FE3">
              <w:rPr>
                <w:sz w:val="18"/>
              </w:rPr>
              <w:t>tiquement informés</w:t>
            </w:r>
          </w:p>
        </w:tc>
        <w:tc>
          <w:tcPr>
            <w:tcW w:w="2074" w:type="dxa"/>
            <w:shd w:val="clear" w:color="auto" w:fill="FDF2B1"/>
          </w:tcPr>
          <w:p w14:paraId="6887A978" w14:textId="00CE692C" w:rsidR="007F43CA" w:rsidRPr="009A611A" w:rsidRDefault="007F43CA" w:rsidP="001D32F6">
            <w:pPr>
              <w:pStyle w:val="Tabletext"/>
              <w:tabs>
                <w:tab w:val="left" w:pos="289"/>
              </w:tabs>
              <w:ind w:left="289" w:hanging="289"/>
              <w:rPr>
                <w:sz w:val="18"/>
              </w:rPr>
            </w:pPr>
            <w:r w:rsidRPr="009A611A">
              <w:rPr>
                <w:sz w:val="18"/>
              </w:rPr>
              <w:t>•</w:t>
            </w:r>
            <w:r w:rsidRPr="009A611A">
              <w:rPr>
                <w:sz w:val="18"/>
              </w:rPr>
              <w:tab/>
            </w:r>
            <w:r w:rsidR="009A611A" w:rsidRPr="009A611A">
              <w:rPr>
                <w:sz w:val="18"/>
              </w:rPr>
              <w:t xml:space="preserve">Organiser une réunion publique </w:t>
            </w:r>
            <w:r w:rsidR="00BD54AF">
              <w:rPr>
                <w:sz w:val="18"/>
              </w:rPr>
              <w:t>visant à donner d</w:t>
            </w:r>
            <w:r w:rsidR="009A611A" w:rsidRPr="009A611A">
              <w:rPr>
                <w:sz w:val="18"/>
              </w:rPr>
              <w:t>es renseignements conc</w:t>
            </w:r>
            <w:r w:rsidR="009A611A">
              <w:rPr>
                <w:sz w:val="18"/>
              </w:rPr>
              <w:t>ernant l</w:t>
            </w:r>
            <w:r w:rsidR="00E14E13">
              <w:rPr>
                <w:sz w:val="18"/>
              </w:rPr>
              <w:t>'</w:t>
            </w:r>
            <w:r w:rsidR="009A611A">
              <w:rPr>
                <w:sz w:val="18"/>
              </w:rPr>
              <w:t xml:space="preserve">UNSMIS </w:t>
            </w:r>
            <w:r w:rsidR="00BD54AF">
              <w:rPr>
                <w:sz w:val="18"/>
              </w:rPr>
              <w:t>à</w:t>
            </w:r>
            <w:r w:rsidR="009A611A">
              <w:rPr>
                <w:sz w:val="18"/>
              </w:rPr>
              <w:t xml:space="preserve"> tous les assurés (fonctionnaires actifs et retraités</w:t>
            </w:r>
            <w:r w:rsidRPr="009A611A">
              <w:rPr>
                <w:sz w:val="18"/>
              </w:rPr>
              <w:t>)</w:t>
            </w:r>
          </w:p>
          <w:p w14:paraId="658CB05C" w14:textId="2A739511" w:rsidR="007F43CA" w:rsidRPr="009A611A" w:rsidRDefault="007F43CA" w:rsidP="001D32F6">
            <w:pPr>
              <w:pStyle w:val="Tabletext"/>
              <w:tabs>
                <w:tab w:val="left" w:pos="289"/>
              </w:tabs>
              <w:ind w:left="289" w:hanging="289"/>
              <w:rPr>
                <w:rFonts w:cstheme="minorHAnsi"/>
                <w:sz w:val="18"/>
              </w:rPr>
            </w:pPr>
            <w:r w:rsidRPr="009A611A">
              <w:rPr>
                <w:sz w:val="18"/>
              </w:rPr>
              <w:t>•</w:t>
            </w:r>
            <w:r w:rsidRPr="009A611A">
              <w:rPr>
                <w:sz w:val="18"/>
              </w:rPr>
              <w:tab/>
            </w:r>
            <w:r w:rsidR="009A611A" w:rsidRPr="009A611A">
              <w:rPr>
                <w:sz w:val="18"/>
              </w:rPr>
              <w:t>Publier des communications à l</w:t>
            </w:r>
            <w:r w:rsidR="00E14E13">
              <w:rPr>
                <w:sz w:val="18"/>
              </w:rPr>
              <w:t>'</w:t>
            </w:r>
            <w:r w:rsidR="009A611A" w:rsidRPr="009A611A">
              <w:rPr>
                <w:sz w:val="18"/>
              </w:rPr>
              <w:t>intention du personnel sur le</w:t>
            </w:r>
            <w:r w:rsidR="009A611A">
              <w:rPr>
                <w:sz w:val="18"/>
              </w:rPr>
              <w:t xml:space="preserve"> portail au moins une fois par mois, à titre de rappel des processus existants</w:t>
            </w:r>
            <w:r w:rsidRPr="009A611A">
              <w:rPr>
                <w:sz w:val="18"/>
              </w:rPr>
              <w:t xml:space="preserve"> </w:t>
            </w:r>
          </w:p>
        </w:tc>
        <w:tc>
          <w:tcPr>
            <w:tcW w:w="1952" w:type="dxa"/>
            <w:shd w:val="clear" w:color="auto" w:fill="FDF2B1"/>
          </w:tcPr>
          <w:p w14:paraId="61569549" w14:textId="5D090589" w:rsidR="007F43CA" w:rsidRPr="007F43CA" w:rsidRDefault="007F43CA" w:rsidP="001D32F6">
            <w:pPr>
              <w:pStyle w:val="Tabletext"/>
              <w:rPr>
                <w:rFonts w:cstheme="minorHAnsi"/>
                <w:sz w:val="18"/>
              </w:rPr>
            </w:pPr>
            <w:r w:rsidRPr="007F43CA">
              <w:rPr>
                <w:sz w:val="18"/>
                <w:lang w:val="en-US"/>
              </w:rPr>
              <w:t>SSB</w:t>
            </w:r>
          </w:p>
        </w:tc>
        <w:tc>
          <w:tcPr>
            <w:tcW w:w="1196" w:type="dxa"/>
            <w:shd w:val="clear" w:color="auto" w:fill="FDF2B1"/>
          </w:tcPr>
          <w:p w14:paraId="51A9EAFC" w14:textId="5AE54857" w:rsidR="007F43CA" w:rsidRPr="007F43CA" w:rsidRDefault="00224624" w:rsidP="001D32F6">
            <w:pPr>
              <w:pStyle w:val="Tabletext"/>
              <w:rPr>
                <w:rFonts w:cstheme="minorHAnsi"/>
                <w:sz w:val="18"/>
              </w:rPr>
            </w:pPr>
            <w:r>
              <w:rPr>
                <w:rFonts w:cstheme="minorHAnsi"/>
                <w:sz w:val="18"/>
              </w:rPr>
              <w:t>En cours</w:t>
            </w:r>
          </w:p>
        </w:tc>
        <w:tc>
          <w:tcPr>
            <w:tcW w:w="4528" w:type="dxa"/>
            <w:shd w:val="clear" w:color="auto" w:fill="FDF2B1"/>
          </w:tcPr>
          <w:p w14:paraId="575CB0E0" w14:textId="0DD0E2F6" w:rsidR="009A611A" w:rsidRDefault="009A611A" w:rsidP="001D32F6">
            <w:pPr>
              <w:pStyle w:val="Tabletext"/>
              <w:rPr>
                <w:sz w:val="18"/>
              </w:rPr>
            </w:pPr>
            <w:r w:rsidRPr="009A611A">
              <w:rPr>
                <w:sz w:val="18"/>
              </w:rPr>
              <w:t>La réunion publique visant à</w:t>
            </w:r>
            <w:r>
              <w:rPr>
                <w:sz w:val="18"/>
              </w:rPr>
              <w:t xml:space="preserve"> donner des renseignements sur l</w:t>
            </w:r>
            <w:r w:rsidR="00E14E13">
              <w:rPr>
                <w:sz w:val="18"/>
              </w:rPr>
              <w:t>'</w:t>
            </w:r>
            <w:r>
              <w:rPr>
                <w:sz w:val="18"/>
              </w:rPr>
              <w:t xml:space="preserve">assurance a été organisée avec succès. </w:t>
            </w:r>
          </w:p>
          <w:p w14:paraId="7EA89ABD" w14:textId="5076F314" w:rsidR="007F43CA" w:rsidRPr="00E14E13" w:rsidRDefault="009A611A" w:rsidP="001D32F6">
            <w:pPr>
              <w:pStyle w:val="Tabletext"/>
              <w:rPr>
                <w:rFonts w:cstheme="minorHAnsi"/>
                <w:sz w:val="18"/>
              </w:rPr>
            </w:pPr>
            <w:r>
              <w:rPr>
                <w:sz w:val="18"/>
              </w:rPr>
              <w:t xml:space="preserve">Des annonces ont été publiées avec succès sur le portail, à titre de rappel pour les assurés. </w:t>
            </w:r>
          </w:p>
        </w:tc>
      </w:tr>
      <w:tr w:rsidR="007F43CA" w:rsidRPr="00683D89" w14:paraId="16700A53" w14:textId="77777777" w:rsidTr="005817FB">
        <w:trPr>
          <w:trHeight w:val="1418"/>
          <w:jc w:val="center"/>
        </w:trPr>
        <w:tc>
          <w:tcPr>
            <w:tcW w:w="582" w:type="dxa"/>
            <w:shd w:val="clear" w:color="auto" w:fill="FDF2B1"/>
          </w:tcPr>
          <w:p w14:paraId="254DD94A" w14:textId="15EA2B49" w:rsidR="007F43CA" w:rsidRPr="007F43CA" w:rsidRDefault="007F43CA" w:rsidP="009B3A00">
            <w:pPr>
              <w:pStyle w:val="Tabletext"/>
              <w:keepNext/>
              <w:keepLines/>
              <w:rPr>
                <w:rFonts w:cstheme="minorHAnsi"/>
                <w:sz w:val="18"/>
              </w:rPr>
            </w:pPr>
            <w:r w:rsidRPr="007F43CA">
              <w:rPr>
                <w:sz w:val="18"/>
                <w:lang w:val="en-US"/>
              </w:rPr>
              <w:lastRenderedPageBreak/>
              <w:t>3.4</w:t>
            </w:r>
          </w:p>
        </w:tc>
        <w:tc>
          <w:tcPr>
            <w:tcW w:w="1449" w:type="dxa"/>
            <w:shd w:val="clear" w:color="auto" w:fill="FDF2B1"/>
          </w:tcPr>
          <w:p w14:paraId="3695A4E7" w14:textId="0496ABA6" w:rsidR="007F43CA" w:rsidRPr="009A611A" w:rsidRDefault="009A611A" w:rsidP="009B3A00">
            <w:pPr>
              <w:pStyle w:val="Tabletext"/>
              <w:keepNext/>
              <w:keepLines/>
              <w:rPr>
                <w:rFonts w:cstheme="minorHAnsi"/>
                <w:sz w:val="18"/>
              </w:rPr>
            </w:pPr>
            <w:r w:rsidRPr="009A611A">
              <w:rPr>
                <w:sz w:val="18"/>
              </w:rPr>
              <w:t>Mise à jour du c</w:t>
            </w:r>
            <w:r>
              <w:rPr>
                <w:sz w:val="18"/>
              </w:rPr>
              <w:t>ontrat d</w:t>
            </w:r>
            <w:r w:rsidR="00E14E13">
              <w:rPr>
                <w:sz w:val="18"/>
              </w:rPr>
              <w:t>'</w:t>
            </w:r>
            <w:r>
              <w:rPr>
                <w:sz w:val="18"/>
              </w:rPr>
              <w:t>assurance vie</w:t>
            </w:r>
          </w:p>
        </w:tc>
        <w:tc>
          <w:tcPr>
            <w:tcW w:w="2248" w:type="dxa"/>
            <w:shd w:val="clear" w:color="auto" w:fill="FDF2B1"/>
          </w:tcPr>
          <w:p w14:paraId="25E41487" w14:textId="443FE19A" w:rsidR="007F43CA" w:rsidRPr="009A611A" w:rsidRDefault="009A611A" w:rsidP="009B3A00">
            <w:pPr>
              <w:pStyle w:val="Tabletext"/>
              <w:keepNext/>
              <w:keepLines/>
              <w:tabs>
                <w:tab w:val="left" w:pos="257"/>
              </w:tabs>
              <w:rPr>
                <w:sz w:val="18"/>
              </w:rPr>
            </w:pPr>
            <w:r w:rsidRPr="009A611A">
              <w:rPr>
                <w:sz w:val="18"/>
              </w:rPr>
              <w:t>Modification du contrat d</w:t>
            </w:r>
            <w:r w:rsidR="00E14E13">
              <w:rPr>
                <w:sz w:val="18"/>
              </w:rPr>
              <w:t>'</w:t>
            </w:r>
            <w:r w:rsidRPr="009A611A">
              <w:rPr>
                <w:sz w:val="18"/>
              </w:rPr>
              <w:t>assurance v</w:t>
            </w:r>
            <w:r>
              <w:rPr>
                <w:sz w:val="18"/>
              </w:rPr>
              <w:t>ie</w:t>
            </w:r>
            <w:r w:rsidR="001F188B">
              <w:rPr>
                <w:sz w:val="18"/>
              </w:rPr>
              <w:t>,</w:t>
            </w:r>
            <w:r>
              <w:rPr>
                <w:sz w:val="18"/>
              </w:rPr>
              <w:t xml:space="preserve"> afin de tenir compte des modifications apportées aux </w:t>
            </w:r>
            <w:r w:rsidR="001F188B">
              <w:rPr>
                <w:sz w:val="18"/>
              </w:rPr>
              <w:t>Statuts</w:t>
            </w:r>
            <w:r>
              <w:rPr>
                <w:sz w:val="18"/>
              </w:rPr>
              <w:t xml:space="preserve"> et </w:t>
            </w:r>
            <w:r w:rsidR="001F188B">
              <w:rPr>
                <w:sz w:val="18"/>
              </w:rPr>
              <w:t>R</w:t>
            </w:r>
            <w:r>
              <w:rPr>
                <w:sz w:val="18"/>
              </w:rPr>
              <w:t>èglement</w:t>
            </w:r>
            <w:r w:rsidR="001F188B">
              <w:rPr>
                <w:sz w:val="18"/>
              </w:rPr>
              <w:t xml:space="preserve"> </w:t>
            </w:r>
            <w:r w:rsidR="009B3A00">
              <w:rPr>
                <w:sz w:val="18"/>
              </w:rPr>
              <w:t>de la </w:t>
            </w:r>
            <w:r>
              <w:rPr>
                <w:sz w:val="18"/>
              </w:rPr>
              <w:t>CCPPNU</w:t>
            </w:r>
          </w:p>
        </w:tc>
        <w:tc>
          <w:tcPr>
            <w:tcW w:w="2074" w:type="dxa"/>
            <w:shd w:val="clear" w:color="auto" w:fill="FDF2B1"/>
          </w:tcPr>
          <w:p w14:paraId="39F43405" w14:textId="4FE7C82B" w:rsidR="007F43CA" w:rsidRPr="009A611A" w:rsidRDefault="007F43CA" w:rsidP="009B3A00">
            <w:pPr>
              <w:pStyle w:val="Tabletext"/>
              <w:keepNext/>
              <w:keepLines/>
              <w:tabs>
                <w:tab w:val="left" w:pos="289"/>
              </w:tabs>
              <w:ind w:left="289" w:hanging="289"/>
              <w:rPr>
                <w:rFonts w:cstheme="minorHAnsi"/>
                <w:sz w:val="18"/>
              </w:rPr>
            </w:pPr>
            <w:r w:rsidRPr="009A611A">
              <w:rPr>
                <w:sz w:val="18"/>
              </w:rPr>
              <w:t>•</w:t>
            </w:r>
            <w:r w:rsidRPr="009A611A">
              <w:rPr>
                <w:sz w:val="18"/>
              </w:rPr>
              <w:tab/>
            </w:r>
            <w:r w:rsidR="009A611A" w:rsidRPr="009A611A">
              <w:rPr>
                <w:sz w:val="18"/>
              </w:rPr>
              <w:t>Rédaction et collaboration avec l</w:t>
            </w:r>
            <w:r w:rsidR="00E14E13">
              <w:rPr>
                <w:sz w:val="18"/>
              </w:rPr>
              <w:t>'</w:t>
            </w:r>
            <w:r w:rsidR="009A611A" w:rsidRPr="009A611A">
              <w:rPr>
                <w:sz w:val="18"/>
              </w:rPr>
              <w:t>assurance en vue d</w:t>
            </w:r>
            <w:r w:rsidR="00E14E13">
              <w:rPr>
                <w:sz w:val="18"/>
              </w:rPr>
              <w:t>'</w:t>
            </w:r>
            <w:r w:rsidR="009A611A" w:rsidRPr="009A611A">
              <w:rPr>
                <w:sz w:val="18"/>
              </w:rPr>
              <w:t>obtenir un</w:t>
            </w:r>
            <w:r w:rsidR="009A611A">
              <w:rPr>
                <w:sz w:val="18"/>
              </w:rPr>
              <w:t xml:space="preserve"> accord sur la formulation du contrat</w:t>
            </w:r>
          </w:p>
        </w:tc>
        <w:tc>
          <w:tcPr>
            <w:tcW w:w="1952" w:type="dxa"/>
            <w:shd w:val="clear" w:color="auto" w:fill="FDF2B1"/>
          </w:tcPr>
          <w:p w14:paraId="687C6766" w14:textId="567C4034" w:rsidR="007F43CA" w:rsidRPr="007F43CA" w:rsidRDefault="007F43CA" w:rsidP="009B3A00">
            <w:pPr>
              <w:pStyle w:val="Tabletext"/>
              <w:keepNext/>
              <w:keepLines/>
              <w:rPr>
                <w:rFonts w:cstheme="minorHAnsi"/>
                <w:sz w:val="18"/>
              </w:rPr>
            </w:pPr>
            <w:r w:rsidRPr="007F43CA">
              <w:rPr>
                <w:sz w:val="18"/>
                <w:lang w:val="en-US"/>
              </w:rPr>
              <w:t>SSB</w:t>
            </w:r>
          </w:p>
        </w:tc>
        <w:tc>
          <w:tcPr>
            <w:tcW w:w="1196" w:type="dxa"/>
            <w:shd w:val="clear" w:color="auto" w:fill="FDF2B1"/>
          </w:tcPr>
          <w:p w14:paraId="0797AE1E" w14:textId="77B7E3E7" w:rsidR="007F43CA" w:rsidRPr="007F43CA" w:rsidRDefault="007F43CA" w:rsidP="009B3A00">
            <w:pPr>
              <w:pStyle w:val="Tabletext"/>
              <w:keepNext/>
              <w:keepLines/>
              <w:rPr>
                <w:rFonts w:cstheme="minorHAnsi"/>
                <w:sz w:val="18"/>
              </w:rPr>
            </w:pPr>
            <w:r w:rsidRPr="007F43CA">
              <w:rPr>
                <w:sz w:val="18"/>
                <w:lang w:val="en-US"/>
              </w:rPr>
              <w:t>2021</w:t>
            </w:r>
          </w:p>
        </w:tc>
        <w:tc>
          <w:tcPr>
            <w:tcW w:w="4528" w:type="dxa"/>
            <w:shd w:val="clear" w:color="auto" w:fill="FDF2B1"/>
          </w:tcPr>
          <w:p w14:paraId="60FF6440" w14:textId="01C027FC" w:rsidR="007F43CA" w:rsidRPr="003F0D2A" w:rsidRDefault="00ED4558" w:rsidP="009B3A00">
            <w:pPr>
              <w:pStyle w:val="Tabletext"/>
              <w:keepNext/>
              <w:keepLines/>
              <w:rPr>
                <w:sz w:val="18"/>
              </w:rPr>
            </w:pPr>
            <w:r w:rsidRPr="009A611A">
              <w:rPr>
                <w:sz w:val="18"/>
              </w:rPr>
              <w:t>L</w:t>
            </w:r>
            <w:r w:rsidR="00E14E13">
              <w:rPr>
                <w:sz w:val="18"/>
              </w:rPr>
              <w:t>'</w:t>
            </w:r>
            <w:r>
              <w:rPr>
                <w:sz w:val="18"/>
              </w:rPr>
              <w:t>activité</w:t>
            </w:r>
            <w:r w:rsidRPr="009A611A">
              <w:rPr>
                <w:sz w:val="18"/>
              </w:rPr>
              <w:t xml:space="preserve"> </w:t>
            </w:r>
            <w:r w:rsidR="009A611A" w:rsidRPr="009A611A">
              <w:rPr>
                <w:sz w:val="18"/>
              </w:rPr>
              <w:t>de rédaction a é</w:t>
            </w:r>
            <w:r w:rsidR="009A611A">
              <w:rPr>
                <w:sz w:val="18"/>
              </w:rPr>
              <w:t>té mené</w:t>
            </w:r>
            <w:r>
              <w:rPr>
                <w:sz w:val="18"/>
              </w:rPr>
              <w:t>e</w:t>
            </w:r>
            <w:r w:rsidR="009A611A">
              <w:rPr>
                <w:sz w:val="18"/>
              </w:rPr>
              <w:t xml:space="preserve"> à bien. Le contrat sera signé en février. </w:t>
            </w:r>
            <w:r w:rsidR="009A611A" w:rsidRPr="009A611A">
              <w:rPr>
                <w:sz w:val="18"/>
              </w:rPr>
              <w:t>La modification et la publication de ce contrat sont n</w:t>
            </w:r>
            <w:r w:rsidR="009A611A">
              <w:rPr>
                <w:sz w:val="18"/>
              </w:rPr>
              <w:t>écessaires compte tenu des incidences qu</w:t>
            </w:r>
            <w:r w:rsidR="00E14E13">
              <w:rPr>
                <w:sz w:val="18"/>
              </w:rPr>
              <w:t>'</w:t>
            </w:r>
            <w:r w:rsidR="009A611A">
              <w:rPr>
                <w:sz w:val="18"/>
              </w:rPr>
              <w:t>ont les</w:t>
            </w:r>
            <w:r w:rsidR="00D4465A">
              <w:rPr>
                <w:sz w:val="18"/>
              </w:rPr>
              <w:t xml:space="preserve"> </w:t>
            </w:r>
            <w:r>
              <w:rPr>
                <w:sz w:val="18"/>
              </w:rPr>
              <w:t xml:space="preserve">prestations </w:t>
            </w:r>
            <w:r w:rsidR="00D4465A">
              <w:rPr>
                <w:sz w:val="18"/>
              </w:rPr>
              <w:t>sur l</w:t>
            </w:r>
            <w:r w:rsidR="00E14E13">
              <w:rPr>
                <w:sz w:val="18"/>
              </w:rPr>
              <w:t>'</w:t>
            </w:r>
            <w:r w:rsidR="00D4465A">
              <w:rPr>
                <w:sz w:val="18"/>
              </w:rPr>
              <w:t>image globale et l</w:t>
            </w:r>
            <w:r w:rsidR="00E14E13">
              <w:rPr>
                <w:sz w:val="18"/>
              </w:rPr>
              <w:t>'</w:t>
            </w:r>
            <w:r w:rsidR="00D4465A">
              <w:rPr>
                <w:sz w:val="18"/>
              </w:rPr>
              <w:t xml:space="preserve">attractivité </w:t>
            </w:r>
            <w:r>
              <w:rPr>
                <w:sz w:val="18"/>
              </w:rPr>
              <w:t xml:space="preserve">de toute </w:t>
            </w:r>
            <w:r w:rsidR="00D4465A">
              <w:rPr>
                <w:sz w:val="18"/>
              </w:rPr>
              <w:t xml:space="preserve">organisation. </w:t>
            </w:r>
            <w:r w:rsidR="00D4465A" w:rsidRPr="00D4465A">
              <w:rPr>
                <w:sz w:val="18"/>
              </w:rPr>
              <w:t>L</w:t>
            </w:r>
            <w:r w:rsidR="00E14E13">
              <w:rPr>
                <w:sz w:val="18"/>
              </w:rPr>
              <w:t>'</w:t>
            </w:r>
            <w:r w:rsidR="00D4465A" w:rsidRPr="00D4465A">
              <w:rPr>
                <w:sz w:val="18"/>
              </w:rPr>
              <w:t>UIT est l</w:t>
            </w:r>
            <w:r w:rsidR="00E14E13">
              <w:rPr>
                <w:sz w:val="18"/>
              </w:rPr>
              <w:t>'</w:t>
            </w:r>
            <w:r w:rsidR="00D4465A" w:rsidRPr="00D4465A">
              <w:rPr>
                <w:sz w:val="18"/>
              </w:rPr>
              <w:t>une des rares organisations à offrir cette p</w:t>
            </w:r>
            <w:r w:rsidR="00D4465A">
              <w:rPr>
                <w:sz w:val="18"/>
              </w:rPr>
              <w:t>ossibilité à ses fonctionnaires.</w:t>
            </w:r>
          </w:p>
        </w:tc>
      </w:tr>
      <w:tr w:rsidR="007F43CA" w:rsidRPr="00683D89" w14:paraId="35F8402F" w14:textId="77777777" w:rsidTr="005817FB">
        <w:trPr>
          <w:trHeight w:val="2835"/>
          <w:jc w:val="center"/>
        </w:trPr>
        <w:tc>
          <w:tcPr>
            <w:tcW w:w="582" w:type="dxa"/>
            <w:shd w:val="clear" w:color="auto" w:fill="FDF2B1"/>
          </w:tcPr>
          <w:p w14:paraId="7D255B4F" w14:textId="2A93A5FA" w:rsidR="007F43CA" w:rsidRPr="007F43CA" w:rsidRDefault="007F43CA" w:rsidP="009B3A00">
            <w:pPr>
              <w:pStyle w:val="Tabletext"/>
              <w:keepNext/>
              <w:keepLines/>
              <w:rPr>
                <w:rFonts w:cstheme="minorHAnsi"/>
                <w:sz w:val="18"/>
              </w:rPr>
            </w:pPr>
            <w:r w:rsidRPr="007F43CA">
              <w:rPr>
                <w:sz w:val="18"/>
                <w:lang w:val="en-US"/>
              </w:rPr>
              <w:t>3.5</w:t>
            </w:r>
          </w:p>
        </w:tc>
        <w:tc>
          <w:tcPr>
            <w:tcW w:w="1449" w:type="dxa"/>
            <w:shd w:val="clear" w:color="auto" w:fill="FDF2B1"/>
          </w:tcPr>
          <w:p w14:paraId="1D2CEE39" w14:textId="26EE5237" w:rsidR="007F43CA" w:rsidRPr="00D4465A" w:rsidRDefault="00D4465A" w:rsidP="009B3A00">
            <w:pPr>
              <w:pStyle w:val="Tabletext"/>
              <w:keepNext/>
              <w:keepLines/>
              <w:rPr>
                <w:rFonts w:cstheme="minorHAnsi"/>
                <w:sz w:val="18"/>
              </w:rPr>
            </w:pPr>
            <w:r w:rsidRPr="00D4465A">
              <w:rPr>
                <w:sz w:val="18"/>
              </w:rPr>
              <w:t>Contrat pour les services a</w:t>
            </w:r>
            <w:r>
              <w:rPr>
                <w:sz w:val="18"/>
              </w:rPr>
              <w:t>ctuariels</w:t>
            </w:r>
          </w:p>
        </w:tc>
        <w:tc>
          <w:tcPr>
            <w:tcW w:w="2248" w:type="dxa"/>
            <w:shd w:val="clear" w:color="auto" w:fill="FDF2B1"/>
          </w:tcPr>
          <w:p w14:paraId="7CBA7132" w14:textId="4B6F75B8" w:rsidR="007F43CA" w:rsidRPr="00D4465A" w:rsidRDefault="007F43CA" w:rsidP="009B3A00">
            <w:pPr>
              <w:pStyle w:val="Tabletext"/>
              <w:keepNext/>
              <w:keepLines/>
              <w:tabs>
                <w:tab w:val="left" w:pos="298"/>
              </w:tabs>
              <w:ind w:left="298" w:hanging="298"/>
              <w:rPr>
                <w:sz w:val="18"/>
              </w:rPr>
            </w:pPr>
            <w:r w:rsidRPr="00D4465A">
              <w:rPr>
                <w:sz w:val="18"/>
              </w:rPr>
              <w:t>1</w:t>
            </w:r>
            <w:r w:rsidRPr="00D4465A">
              <w:rPr>
                <w:sz w:val="18"/>
              </w:rPr>
              <w:tab/>
            </w:r>
            <w:r w:rsidR="00D4465A" w:rsidRPr="00D4465A">
              <w:rPr>
                <w:sz w:val="18"/>
              </w:rPr>
              <w:t>Élaboration d</w:t>
            </w:r>
            <w:r w:rsidR="00E14E13">
              <w:rPr>
                <w:sz w:val="18"/>
              </w:rPr>
              <w:t>'</w:t>
            </w:r>
            <w:r w:rsidR="00D4465A" w:rsidRPr="00D4465A">
              <w:rPr>
                <w:sz w:val="18"/>
              </w:rPr>
              <w:t>une demande de propositions po</w:t>
            </w:r>
            <w:r w:rsidR="00D4465A">
              <w:rPr>
                <w:sz w:val="18"/>
              </w:rPr>
              <w:t>ur les services actuariels liés au passif de l</w:t>
            </w:r>
            <w:r w:rsidR="00E14E13">
              <w:rPr>
                <w:sz w:val="18"/>
              </w:rPr>
              <w:t>'</w:t>
            </w:r>
            <w:r w:rsidR="00D4465A">
              <w:rPr>
                <w:sz w:val="18"/>
              </w:rPr>
              <w:t>ASHI</w:t>
            </w:r>
            <w:r w:rsidRPr="00D4465A">
              <w:rPr>
                <w:sz w:val="18"/>
              </w:rPr>
              <w:t xml:space="preserve"> </w:t>
            </w:r>
            <w:r w:rsidR="00D4465A">
              <w:rPr>
                <w:sz w:val="18"/>
              </w:rPr>
              <w:t>et à la prime de rapatriement</w:t>
            </w:r>
          </w:p>
          <w:p w14:paraId="17957A6F" w14:textId="48B67941" w:rsidR="007F43CA" w:rsidRPr="00D4465A" w:rsidRDefault="007F43CA" w:rsidP="009B3A00">
            <w:pPr>
              <w:pStyle w:val="Tabletext"/>
              <w:keepNext/>
              <w:keepLines/>
              <w:tabs>
                <w:tab w:val="left" w:pos="298"/>
              </w:tabs>
              <w:ind w:left="298" w:hanging="298"/>
              <w:rPr>
                <w:sz w:val="18"/>
              </w:rPr>
            </w:pPr>
            <w:r w:rsidRPr="00D4465A">
              <w:rPr>
                <w:sz w:val="18"/>
              </w:rPr>
              <w:t>2</w:t>
            </w:r>
            <w:r w:rsidRPr="00D4465A">
              <w:rPr>
                <w:sz w:val="18"/>
              </w:rPr>
              <w:tab/>
            </w:r>
            <w:r w:rsidR="00D4465A" w:rsidRPr="00D4465A">
              <w:rPr>
                <w:sz w:val="18"/>
              </w:rPr>
              <w:t>Publication et suivi de l</w:t>
            </w:r>
            <w:r w:rsidR="00E14E13">
              <w:rPr>
                <w:sz w:val="18"/>
              </w:rPr>
              <w:t>'</w:t>
            </w:r>
            <w:r w:rsidR="00D4465A" w:rsidRPr="00D4465A">
              <w:rPr>
                <w:sz w:val="18"/>
              </w:rPr>
              <w:t>appel à propositions</w:t>
            </w:r>
          </w:p>
          <w:p w14:paraId="5FBBB262" w14:textId="748847F8" w:rsidR="007F43CA" w:rsidRPr="00556770" w:rsidRDefault="009B3A00" w:rsidP="009B3A00">
            <w:pPr>
              <w:pStyle w:val="Tabletext"/>
              <w:keepNext/>
              <w:keepLines/>
              <w:tabs>
                <w:tab w:val="left" w:pos="292"/>
              </w:tabs>
              <w:ind w:left="292" w:hanging="292"/>
              <w:rPr>
                <w:sz w:val="18"/>
              </w:rPr>
            </w:pPr>
            <w:r>
              <w:rPr>
                <w:sz w:val="18"/>
              </w:rPr>
              <w:t>3</w:t>
            </w:r>
            <w:r>
              <w:rPr>
                <w:sz w:val="18"/>
              </w:rPr>
              <w:tab/>
            </w:r>
            <w:r w:rsidR="00D4465A" w:rsidRPr="00556770">
              <w:rPr>
                <w:sz w:val="18"/>
              </w:rPr>
              <w:t>Sélection d</w:t>
            </w:r>
            <w:r w:rsidR="00E14E13">
              <w:rPr>
                <w:sz w:val="18"/>
              </w:rPr>
              <w:t>'</w:t>
            </w:r>
            <w:r w:rsidR="00D4465A" w:rsidRPr="00556770">
              <w:rPr>
                <w:sz w:val="18"/>
              </w:rPr>
              <w:t xml:space="preserve">un cabinet </w:t>
            </w:r>
            <w:r w:rsidR="00556770" w:rsidRPr="00556770">
              <w:rPr>
                <w:sz w:val="18"/>
              </w:rPr>
              <w:t>d</w:t>
            </w:r>
            <w:r w:rsidR="00E14E13">
              <w:rPr>
                <w:sz w:val="18"/>
              </w:rPr>
              <w:t>'</w:t>
            </w:r>
            <w:r w:rsidR="00556770" w:rsidRPr="00556770">
              <w:rPr>
                <w:sz w:val="18"/>
              </w:rPr>
              <w:t xml:space="preserve">évaluation </w:t>
            </w:r>
            <w:r w:rsidR="00D4465A" w:rsidRPr="00556770">
              <w:rPr>
                <w:sz w:val="18"/>
              </w:rPr>
              <w:t>actuariel</w:t>
            </w:r>
            <w:r w:rsidR="00556770" w:rsidRPr="00556770">
              <w:rPr>
                <w:sz w:val="18"/>
              </w:rPr>
              <w:t>le</w:t>
            </w:r>
          </w:p>
        </w:tc>
        <w:tc>
          <w:tcPr>
            <w:tcW w:w="2074" w:type="dxa"/>
            <w:shd w:val="clear" w:color="auto" w:fill="FDF2B1"/>
          </w:tcPr>
          <w:p w14:paraId="391EC443" w14:textId="70AD25F4" w:rsidR="007F43CA" w:rsidRPr="00D4465A" w:rsidRDefault="007F43CA" w:rsidP="009B3A00">
            <w:pPr>
              <w:pStyle w:val="Tabletext"/>
              <w:keepNext/>
              <w:keepLines/>
              <w:tabs>
                <w:tab w:val="left" w:pos="289"/>
              </w:tabs>
              <w:ind w:left="289" w:hanging="289"/>
              <w:rPr>
                <w:sz w:val="18"/>
              </w:rPr>
            </w:pPr>
            <w:r w:rsidRPr="00D4465A">
              <w:rPr>
                <w:sz w:val="18"/>
              </w:rPr>
              <w:t>•</w:t>
            </w:r>
            <w:r w:rsidRPr="00D4465A">
              <w:rPr>
                <w:sz w:val="18"/>
              </w:rPr>
              <w:tab/>
            </w:r>
            <w:r w:rsidR="00D4465A" w:rsidRPr="00D4465A">
              <w:rPr>
                <w:sz w:val="18"/>
              </w:rPr>
              <w:t>Rédaction de la demande de propositions, collaboration avec la Division de</w:t>
            </w:r>
            <w:r w:rsidR="00D4465A">
              <w:rPr>
                <w:sz w:val="18"/>
              </w:rPr>
              <w:t>s achats et le Département FRMD concernant la publication</w:t>
            </w:r>
          </w:p>
          <w:p w14:paraId="6C5C0080" w14:textId="4295C93A" w:rsidR="007F43CA" w:rsidRPr="00D4465A" w:rsidRDefault="007F43CA" w:rsidP="009B3A00">
            <w:pPr>
              <w:pStyle w:val="Tabletext"/>
              <w:keepNext/>
              <w:keepLines/>
              <w:tabs>
                <w:tab w:val="left" w:pos="289"/>
              </w:tabs>
              <w:ind w:left="289" w:hanging="289"/>
              <w:rPr>
                <w:sz w:val="18"/>
              </w:rPr>
            </w:pPr>
            <w:r w:rsidRPr="00D4465A">
              <w:rPr>
                <w:sz w:val="18"/>
              </w:rPr>
              <w:t>•</w:t>
            </w:r>
            <w:r w:rsidRPr="00D4465A">
              <w:rPr>
                <w:sz w:val="18"/>
              </w:rPr>
              <w:tab/>
            </w:r>
            <w:r w:rsidR="00D4465A" w:rsidRPr="00D4465A">
              <w:rPr>
                <w:sz w:val="18"/>
              </w:rPr>
              <w:t>É</w:t>
            </w:r>
            <w:r w:rsidRPr="00D4465A">
              <w:rPr>
                <w:sz w:val="18"/>
              </w:rPr>
              <w:t xml:space="preserve">valuation </w:t>
            </w:r>
            <w:r w:rsidR="00D4465A" w:rsidRPr="00D4465A">
              <w:rPr>
                <w:sz w:val="18"/>
              </w:rPr>
              <w:t>du cabinet</w:t>
            </w:r>
            <w:r w:rsidRPr="00D4465A">
              <w:rPr>
                <w:sz w:val="18"/>
              </w:rPr>
              <w:t xml:space="preserve"> </w:t>
            </w:r>
          </w:p>
          <w:p w14:paraId="3EB743DA" w14:textId="382C047D" w:rsidR="007F43CA" w:rsidRPr="00D4465A" w:rsidRDefault="007F43CA" w:rsidP="009B3A00">
            <w:pPr>
              <w:pStyle w:val="Tabletext"/>
              <w:keepNext/>
              <w:keepLines/>
              <w:tabs>
                <w:tab w:val="left" w:pos="289"/>
              </w:tabs>
              <w:ind w:left="289" w:hanging="289"/>
              <w:rPr>
                <w:rFonts w:cstheme="minorHAnsi"/>
                <w:sz w:val="18"/>
              </w:rPr>
            </w:pPr>
            <w:r w:rsidRPr="00D4465A">
              <w:rPr>
                <w:sz w:val="18"/>
              </w:rPr>
              <w:t>•</w:t>
            </w:r>
            <w:r w:rsidRPr="00D4465A">
              <w:rPr>
                <w:sz w:val="18"/>
              </w:rPr>
              <w:tab/>
              <w:t xml:space="preserve">Conclusion </w:t>
            </w:r>
            <w:r w:rsidR="00D4465A" w:rsidRPr="00D4465A">
              <w:rPr>
                <w:sz w:val="18"/>
              </w:rPr>
              <w:t>de la demande de proposit</w:t>
            </w:r>
            <w:r w:rsidR="00D4465A">
              <w:rPr>
                <w:sz w:val="18"/>
              </w:rPr>
              <w:t>ions et signature du contrat</w:t>
            </w:r>
          </w:p>
        </w:tc>
        <w:tc>
          <w:tcPr>
            <w:tcW w:w="1952" w:type="dxa"/>
            <w:shd w:val="clear" w:color="auto" w:fill="FDF2B1"/>
          </w:tcPr>
          <w:p w14:paraId="17B2CB67" w14:textId="3964C9B1" w:rsidR="007F43CA" w:rsidRPr="007F43CA" w:rsidRDefault="007F43CA" w:rsidP="009B3A00">
            <w:pPr>
              <w:pStyle w:val="Tabletext"/>
              <w:keepNext/>
              <w:keepLines/>
              <w:rPr>
                <w:rFonts w:cstheme="minorHAnsi"/>
                <w:sz w:val="18"/>
              </w:rPr>
            </w:pPr>
            <w:r w:rsidRPr="007F43CA">
              <w:rPr>
                <w:sz w:val="18"/>
                <w:lang w:val="en-US"/>
              </w:rPr>
              <w:t>SSB</w:t>
            </w:r>
          </w:p>
        </w:tc>
        <w:tc>
          <w:tcPr>
            <w:tcW w:w="1196" w:type="dxa"/>
            <w:shd w:val="clear" w:color="auto" w:fill="FDF2B1"/>
          </w:tcPr>
          <w:p w14:paraId="4131F3A7" w14:textId="6A9A642A" w:rsidR="007F43CA" w:rsidRPr="007F43CA" w:rsidRDefault="007F43CA" w:rsidP="009B3A00">
            <w:pPr>
              <w:pStyle w:val="Tabletext"/>
              <w:keepNext/>
              <w:keepLines/>
              <w:rPr>
                <w:rFonts w:cstheme="minorHAnsi"/>
                <w:sz w:val="18"/>
              </w:rPr>
            </w:pPr>
            <w:r w:rsidRPr="007F43CA">
              <w:rPr>
                <w:sz w:val="18"/>
                <w:lang w:val="en-US"/>
              </w:rPr>
              <w:t>2021</w:t>
            </w:r>
          </w:p>
        </w:tc>
        <w:tc>
          <w:tcPr>
            <w:tcW w:w="4528" w:type="dxa"/>
            <w:shd w:val="clear" w:color="auto" w:fill="FDF2B1"/>
          </w:tcPr>
          <w:p w14:paraId="345D2137" w14:textId="031456DA" w:rsidR="007F43CA" w:rsidRPr="00BE1098" w:rsidRDefault="00D4465A" w:rsidP="009B3A00">
            <w:pPr>
              <w:pStyle w:val="Tabletext"/>
              <w:keepNext/>
              <w:keepLines/>
              <w:rPr>
                <w:rFonts w:cstheme="minorHAnsi"/>
                <w:sz w:val="18"/>
              </w:rPr>
            </w:pPr>
            <w:r w:rsidRPr="00D4465A">
              <w:rPr>
                <w:sz w:val="18"/>
              </w:rPr>
              <w:t>Les services actuariels fournis à</w:t>
            </w:r>
            <w:r>
              <w:rPr>
                <w:sz w:val="18"/>
              </w:rPr>
              <w:t xml:space="preserve"> l</w:t>
            </w:r>
            <w:r w:rsidR="00E14E13">
              <w:rPr>
                <w:sz w:val="18"/>
              </w:rPr>
              <w:t>'</w:t>
            </w:r>
            <w:r>
              <w:rPr>
                <w:sz w:val="18"/>
              </w:rPr>
              <w:t>UIT sont nécessaires et essentiels pour la santé financière globale de l</w:t>
            </w:r>
            <w:r w:rsidR="00E14E13">
              <w:rPr>
                <w:sz w:val="18"/>
              </w:rPr>
              <w:t>'</w:t>
            </w:r>
            <w:r>
              <w:rPr>
                <w:sz w:val="18"/>
              </w:rPr>
              <w:t xml:space="preserve">organisation. </w:t>
            </w:r>
            <w:r w:rsidR="00ED4558">
              <w:rPr>
                <w:sz w:val="18"/>
              </w:rPr>
              <w:t xml:space="preserve">Pour faire en sorte </w:t>
            </w:r>
            <w:r>
              <w:rPr>
                <w:sz w:val="18"/>
              </w:rPr>
              <w:t xml:space="preserve">que </w:t>
            </w:r>
            <w:r w:rsidR="00ED4558">
              <w:rPr>
                <w:sz w:val="18"/>
              </w:rPr>
              <w:t>l</w:t>
            </w:r>
            <w:r w:rsidR="00E14E13">
              <w:rPr>
                <w:sz w:val="18"/>
              </w:rPr>
              <w:t>'</w:t>
            </w:r>
            <w:r w:rsidR="00ED4558">
              <w:rPr>
                <w:sz w:val="18"/>
              </w:rPr>
              <w:t xml:space="preserve">organisation sélectionne </w:t>
            </w:r>
            <w:r>
              <w:rPr>
                <w:sz w:val="18"/>
              </w:rPr>
              <w:t>le meilleur cabinet</w:t>
            </w:r>
            <w:r w:rsidR="00556770">
              <w:rPr>
                <w:sz w:val="18"/>
              </w:rPr>
              <w:t xml:space="preserve"> d</w:t>
            </w:r>
            <w:r w:rsidR="00E14E13">
              <w:rPr>
                <w:sz w:val="18"/>
              </w:rPr>
              <w:t>'</w:t>
            </w:r>
            <w:r w:rsidR="00556770">
              <w:rPr>
                <w:sz w:val="18"/>
              </w:rPr>
              <w:t>évaluation</w:t>
            </w:r>
            <w:r>
              <w:rPr>
                <w:sz w:val="18"/>
              </w:rPr>
              <w:t xml:space="preserve"> actuariel</w:t>
            </w:r>
            <w:r w:rsidR="00556770">
              <w:rPr>
                <w:sz w:val="18"/>
              </w:rPr>
              <w:t>le</w:t>
            </w:r>
            <w:r>
              <w:rPr>
                <w:sz w:val="18"/>
              </w:rPr>
              <w:t xml:space="preserve">, des efforts ont été </w:t>
            </w:r>
            <w:r w:rsidR="00ED4558">
              <w:rPr>
                <w:sz w:val="18"/>
              </w:rPr>
              <w:t xml:space="preserve">consacrés à la formulation de </w:t>
            </w:r>
            <w:r>
              <w:rPr>
                <w:sz w:val="18"/>
              </w:rPr>
              <w:t xml:space="preserve">la demande de propositions et </w:t>
            </w:r>
            <w:r w:rsidR="00ED4558">
              <w:rPr>
                <w:sz w:val="18"/>
              </w:rPr>
              <w:t xml:space="preserve">à la réalisation de </w:t>
            </w:r>
            <w:r>
              <w:rPr>
                <w:sz w:val="18"/>
              </w:rPr>
              <w:t>l</w:t>
            </w:r>
            <w:r w:rsidR="00E14E13">
              <w:rPr>
                <w:sz w:val="18"/>
              </w:rPr>
              <w:t>'</w:t>
            </w:r>
            <w:r>
              <w:rPr>
                <w:sz w:val="18"/>
              </w:rPr>
              <w:t xml:space="preserve">évaluation. </w:t>
            </w:r>
            <w:r w:rsidR="00ED4558">
              <w:rPr>
                <w:sz w:val="18"/>
              </w:rPr>
              <w:t>L</w:t>
            </w:r>
            <w:r w:rsidR="00E14E13">
              <w:rPr>
                <w:sz w:val="18"/>
              </w:rPr>
              <w:t>'</w:t>
            </w:r>
            <w:r w:rsidR="00ED4558">
              <w:rPr>
                <w:sz w:val="18"/>
              </w:rPr>
              <w:t xml:space="preserve">activité </w:t>
            </w:r>
            <w:r>
              <w:rPr>
                <w:sz w:val="18"/>
              </w:rPr>
              <w:t>a été mené</w:t>
            </w:r>
            <w:r w:rsidR="00ED4558">
              <w:rPr>
                <w:sz w:val="18"/>
              </w:rPr>
              <w:t>e</w:t>
            </w:r>
            <w:r>
              <w:rPr>
                <w:sz w:val="18"/>
              </w:rPr>
              <w:t xml:space="preserve"> à bien et le cabinet a débuté ses activités à l</w:t>
            </w:r>
            <w:r w:rsidR="00E14E13">
              <w:rPr>
                <w:sz w:val="18"/>
              </w:rPr>
              <w:t>'</w:t>
            </w:r>
            <w:r>
              <w:rPr>
                <w:sz w:val="18"/>
              </w:rPr>
              <w:t>UIT en janvier 2022.</w:t>
            </w:r>
          </w:p>
        </w:tc>
      </w:tr>
      <w:tr w:rsidR="007F43CA" w:rsidRPr="006B597C" w14:paraId="5FF112A6" w14:textId="77777777" w:rsidTr="005817FB">
        <w:trPr>
          <w:trHeight w:val="397"/>
          <w:jc w:val="center"/>
        </w:trPr>
        <w:tc>
          <w:tcPr>
            <w:tcW w:w="582" w:type="dxa"/>
            <w:shd w:val="clear" w:color="auto" w:fill="FDF2B1"/>
          </w:tcPr>
          <w:p w14:paraId="143D3369" w14:textId="16022990" w:rsidR="007F43CA" w:rsidRPr="007F43CA" w:rsidRDefault="007F43CA" w:rsidP="001D32F6">
            <w:pPr>
              <w:pStyle w:val="Tabletext"/>
              <w:rPr>
                <w:rFonts w:cstheme="minorHAnsi"/>
                <w:sz w:val="18"/>
              </w:rPr>
            </w:pPr>
            <w:r w:rsidRPr="007F43CA">
              <w:rPr>
                <w:sz w:val="18"/>
                <w:lang w:val="en-US"/>
              </w:rPr>
              <w:t>3.6</w:t>
            </w:r>
          </w:p>
        </w:tc>
        <w:tc>
          <w:tcPr>
            <w:tcW w:w="1449" w:type="dxa"/>
            <w:shd w:val="clear" w:color="auto" w:fill="FDF2B1"/>
          </w:tcPr>
          <w:p w14:paraId="0AEA1053" w14:textId="65D6E86A" w:rsidR="007F43CA" w:rsidRPr="00EE2A9D" w:rsidRDefault="00EE2A9D" w:rsidP="001D32F6">
            <w:pPr>
              <w:pStyle w:val="Tabletext"/>
              <w:rPr>
                <w:rFonts w:cstheme="minorHAnsi"/>
                <w:sz w:val="18"/>
              </w:rPr>
            </w:pPr>
            <w:r w:rsidRPr="00EE2A9D">
              <w:rPr>
                <w:sz w:val="18"/>
              </w:rPr>
              <w:t>Composition du Comité des p</w:t>
            </w:r>
            <w:r>
              <w:rPr>
                <w:sz w:val="18"/>
              </w:rPr>
              <w:t>ensions</w:t>
            </w:r>
          </w:p>
        </w:tc>
        <w:tc>
          <w:tcPr>
            <w:tcW w:w="2248" w:type="dxa"/>
            <w:shd w:val="clear" w:color="auto" w:fill="FDF2B1"/>
          </w:tcPr>
          <w:p w14:paraId="5080F713" w14:textId="3D95E67F" w:rsidR="007F43CA" w:rsidRPr="00EE2A9D" w:rsidRDefault="00EE2A9D" w:rsidP="001D32F6">
            <w:pPr>
              <w:pStyle w:val="Tabletext"/>
              <w:rPr>
                <w:sz w:val="18"/>
              </w:rPr>
            </w:pPr>
            <w:r w:rsidRPr="00EE2A9D">
              <w:rPr>
                <w:sz w:val="18"/>
              </w:rPr>
              <w:t>Simplification des processus administratifs p</w:t>
            </w:r>
            <w:r>
              <w:rPr>
                <w:sz w:val="18"/>
              </w:rPr>
              <w:t>ar la publication d</w:t>
            </w:r>
            <w:r w:rsidR="00E14E13">
              <w:rPr>
                <w:sz w:val="18"/>
              </w:rPr>
              <w:t>'</w:t>
            </w:r>
            <w:r>
              <w:rPr>
                <w:sz w:val="18"/>
              </w:rPr>
              <w:t xml:space="preserve">un </w:t>
            </w:r>
            <w:r w:rsidR="004515B9">
              <w:rPr>
                <w:sz w:val="18"/>
              </w:rPr>
              <w:t>o</w:t>
            </w:r>
            <w:r>
              <w:rPr>
                <w:sz w:val="18"/>
              </w:rPr>
              <w:t>rdre de service visant à simplifier le processus d</w:t>
            </w:r>
            <w:r w:rsidR="00E14E13">
              <w:rPr>
                <w:sz w:val="18"/>
              </w:rPr>
              <w:t>'</w:t>
            </w:r>
            <w:r>
              <w:rPr>
                <w:sz w:val="18"/>
              </w:rPr>
              <w:t xml:space="preserve">élection lié à la composition du Comité des pensions. </w:t>
            </w:r>
            <w:r w:rsidRPr="00EE2A9D">
              <w:rPr>
                <w:sz w:val="18"/>
              </w:rPr>
              <w:t>Cela permettra au Département HRMD de consacrer davantage de t</w:t>
            </w:r>
            <w:r>
              <w:rPr>
                <w:sz w:val="18"/>
              </w:rPr>
              <w:t>emps à la qualité des travaux plutôt qu</w:t>
            </w:r>
            <w:r w:rsidR="00E14E13">
              <w:rPr>
                <w:sz w:val="18"/>
              </w:rPr>
              <w:t>'</w:t>
            </w:r>
            <w:r>
              <w:rPr>
                <w:sz w:val="18"/>
              </w:rPr>
              <w:t xml:space="preserve">à la </w:t>
            </w:r>
            <w:r>
              <w:rPr>
                <w:sz w:val="18"/>
              </w:rPr>
              <w:lastRenderedPageBreak/>
              <w:t>gestion des ordres de service. Cet ordre de service remplacera deux ordres de service obsolètes</w:t>
            </w:r>
          </w:p>
        </w:tc>
        <w:tc>
          <w:tcPr>
            <w:tcW w:w="2074" w:type="dxa"/>
            <w:shd w:val="clear" w:color="auto" w:fill="FDF2B1"/>
          </w:tcPr>
          <w:p w14:paraId="25D8A1B3" w14:textId="74A3CA10" w:rsidR="007F43CA" w:rsidRPr="00EE2A9D" w:rsidRDefault="007F43CA" w:rsidP="001D32F6">
            <w:pPr>
              <w:pStyle w:val="Tabletext"/>
              <w:tabs>
                <w:tab w:val="left" w:pos="289"/>
              </w:tabs>
              <w:ind w:left="289" w:hanging="289"/>
              <w:rPr>
                <w:sz w:val="18"/>
              </w:rPr>
            </w:pPr>
            <w:r w:rsidRPr="00EE2A9D">
              <w:rPr>
                <w:sz w:val="18"/>
              </w:rPr>
              <w:lastRenderedPageBreak/>
              <w:t>•</w:t>
            </w:r>
            <w:r w:rsidRPr="00EE2A9D">
              <w:rPr>
                <w:sz w:val="18"/>
              </w:rPr>
              <w:tab/>
            </w:r>
            <w:r w:rsidR="00EE2A9D" w:rsidRPr="00EE2A9D">
              <w:rPr>
                <w:sz w:val="18"/>
              </w:rPr>
              <w:t>Rédaction de l</w:t>
            </w:r>
            <w:r w:rsidR="00E14E13">
              <w:rPr>
                <w:sz w:val="18"/>
              </w:rPr>
              <w:t>'</w:t>
            </w:r>
            <w:r w:rsidR="00EE2A9D" w:rsidRPr="00EE2A9D">
              <w:rPr>
                <w:sz w:val="18"/>
              </w:rPr>
              <w:t>ordre de s</w:t>
            </w:r>
            <w:r w:rsidR="00EE2A9D">
              <w:rPr>
                <w:sz w:val="18"/>
              </w:rPr>
              <w:t>ervice modifié. Collaboration avec l</w:t>
            </w:r>
            <w:r w:rsidR="00E14E13">
              <w:rPr>
                <w:sz w:val="18"/>
              </w:rPr>
              <w:t>'</w:t>
            </w:r>
            <w:r w:rsidR="00EE2A9D">
              <w:rPr>
                <w:sz w:val="18"/>
              </w:rPr>
              <w:t>Unité des affaires juridiques, le Bureau de l</w:t>
            </w:r>
            <w:r w:rsidR="00E14E13">
              <w:rPr>
                <w:sz w:val="18"/>
              </w:rPr>
              <w:t>'</w:t>
            </w:r>
            <w:r w:rsidR="00EE2A9D">
              <w:rPr>
                <w:sz w:val="18"/>
              </w:rPr>
              <w:t xml:space="preserve">éthique et le Département des services informatiques concernant les dispositions </w:t>
            </w:r>
            <w:r w:rsidR="00EE2A9D">
              <w:rPr>
                <w:sz w:val="18"/>
              </w:rPr>
              <w:lastRenderedPageBreak/>
              <w:t>détaillées de l</w:t>
            </w:r>
            <w:r w:rsidR="00E14E13">
              <w:rPr>
                <w:sz w:val="18"/>
              </w:rPr>
              <w:t>'</w:t>
            </w:r>
            <w:r w:rsidR="00EE2A9D">
              <w:rPr>
                <w:sz w:val="18"/>
              </w:rPr>
              <w:t>ordre de service</w:t>
            </w:r>
          </w:p>
          <w:p w14:paraId="578892A7" w14:textId="4A8BCFBB" w:rsidR="00EE2A9D" w:rsidRDefault="007F43CA" w:rsidP="001D32F6">
            <w:pPr>
              <w:pStyle w:val="Tabletext"/>
              <w:tabs>
                <w:tab w:val="left" w:pos="289"/>
              </w:tabs>
              <w:ind w:left="289" w:hanging="289"/>
              <w:rPr>
                <w:sz w:val="18"/>
              </w:rPr>
            </w:pPr>
            <w:r w:rsidRPr="00EE2A9D">
              <w:rPr>
                <w:sz w:val="18"/>
              </w:rPr>
              <w:t>•</w:t>
            </w:r>
            <w:r w:rsidRPr="00EE2A9D">
              <w:rPr>
                <w:sz w:val="18"/>
              </w:rPr>
              <w:tab/>
              <w:t>Collaboration</w:t>
            </w:r>
            <w:r w:rsidR="00EE2A9D" w:rsidRPr="00EE2A9D">
              <w:rPr>
                <w:sz w:val="18"/>
              </w:rPr>
              <w:t xml:space="preserve"> avec le Conseil du personnel concernant la formulation afin de</w:t>
            </w:r>
            <w:r w:rsidR="00EE2A9D">
              <w:rPr>
                <w:sz w:val="18"/>
              </w:rPr>
              <w:t xml:space="preserve"> parvenir à un accord</w:t>
            </w:r>
          </w:p>
          <w:p w14:paraId="7E937335" w14:textId="3B343BE6" w:rsidR="007F43CA" w:rsidRPr="00EE2A9D" w:rsidRDefault="007F43CA" w:rsidP="001D32F6">
            <w:pPr>
              <w:pStyle w:val="Tabletext"/>
              <w:tabs>
                <w:tab w:val="left" w:pos="289"/>
              </w:tabs>
              <w:ind w:left="289" w:hanging="289"/>
              <w:rPr>
                <w:rFonts w:cstheme="minorHAnsi"/>
                <w:sz w:val="18"/>
              </w:rPr>
            </w:pPr>
            <w:r w:rsidRPr="00EE2A9D">
              <w:rPr>
                <w:sz w:val="18"/>
              </w:rPr>
              <w:t>•</w:t>
            </w:r>
            <w:r w:rsidRPr="00EE2A9D">
              <w:rPr>
                <w:sz w:val="18"/>
              </w:rPr>
              <w:tab/>
              <w:t xml:space="preserve">Publication </w:t>
            </w:r>
            <w:r w:rsidR="00EE2A9D" w:rsidRPr="00EE2A9D">
              <w:rPr>
                <w:sz w:val="18"/>
              </w:rPr>
              <w:t>de l</w:t>
            </w:r>
            <w:r w:rsidR="00E14E13">
              <w:rPr>
                <w:sz w:val="18"/>
              </w:rPr>
              <w:t>'</w:t>
            </w:r>
            <w:r w:rsidR="00EE2A9D" w:rsidRPr="00EE2A9D">
              <w:rPr>
                <w:sz w:val="18"/>
              </w:rPr>
              <w:t>Ordre de service</w:t>
            </w:r>
          </w:p>
        </w:tc>
        <w:tc>
          <w:tcPr>
            <w:tcW w:w="1952" w:type="dxa"/>
            <w:shd w:val="clear" w:color="auto" w:fill="FDF2B1"/>
          </w:tcPr>
          <w:p w14:paraId="79B7BA40" w14:textId="0DDFB51B" w:rsidR="007F43CA" w:rsidRPr="007F43CA" w:rsidRDefault="007F43CA" w:rsidP="001D32F6">
            <w:pPr>
              <w:pStyle w:val="Tabletext"/>
              <w:rPr>
                <w:rFonts w:cstheme="minorHAnsi"/>
                <w:sz w:val="18"/>
              </w:rPr>
            </w:pPr>
            <w:r w:rsidRPr="007F43CA">
              <w:rPr>
                <w:sz w:val="18"/>
                <w:lang w:val="en-US"/>
              </w:rPr>
              <w:lastRenderedPageBreak/>
              <w:t>SSB</w:t>
            </w:r>
          </w:p>
        </w:tc>
        <w:tc>
          <w:tcPr>
            <w:tcW w:w="1196" w:type="dxa"/>
            <w:shd w:val="clear" w:color="auto" w:fill="FDF2B1"/>
          </w:tcPr>
          <w:p w14:paraId="18712F26" w14:textId="5A337AD0" w:rsidR="007F43CA" w:rsidRPr="007F43CA" w:rsidRDefault="007F43CA" w:rsidP="001D32F6">
            <w:pPr>
              <w:pStyle w:val="Tabletext"/>
              <w:rPr>
                <w:rFonts w:cstheme="minorHAnsi"/>
                <w:sz w:val="18"/>
              </w:rPr>
            </w:pPr>
            <w:r w:rsidRPr="007F43CA">
              <w:rPr>
                <w:sz w:val="18"/>
                <w:lang w:val="en-US"/>
              </w:rPr>
              <w:t>2021</w:t>
            </w:r>
          </w:p>
        </w:tc>
        <w:tc>
          <w:tcPr>
            <w:tcW w:w="4528" w:type="dxa"/>
            <w:shd w:val="clear" w:color="auto" w:fill="FDF2B1"/>
          </w:tcPr>
          <w:p w14:paraId="492A8F0F" w14:textId="46295860" w:rsidR="007F43CA" w:rsidRPr="006B597C" w:rsidRDefault="00392325" w:rsidP="001D32F6">
            <w:pPr>
              <w:pStyle w:val="Tabletext"/>
              <w:rPr>
                <w:rFonts w:cstheme="minorHAnsi"/>
                <w:sz w:val="18"/>
              </w:rPr>
            </w:pPr>
            <w:r w:rsidRPr="006B597C">
              <w:rPr>
                <w:sz w:val="18"/>
              </w:rPr>
              <w:t>L</w:t>
            </w:r>
            <w:r w:rsidR="00E14E13">
              <w:rPr>
                <w:sz w:val="18"/>
              </w:rPr>
              <w:t>'</w:t>
            </w:r>
            <w:r w:rsidRPr="006B597C">
              <w:rPr>
                <w:sz w:val="18"/>
              </w:rPr>
              <w:t xml:space="preserve">Ordre de service </w:t>
            </w:r>
            <w:r w:rsidR="006B597C" w:rsidRPr="006B597C">
              <w:rPr>
                <w:sz w:val="18"/>
              </w:rPr>
              <w:t>a été p</w:t>
            </w:r>
            <w:r w:rsidR="006B597C">
              <w:rPr>
                <w:sz w:val="18"/>
              </w:rPr>
              <w:t xml:space="preserve">ublié avec succès, </w:t>
            </w:r>
            <w:r w:rsidR="003D43F3">
              <w:rPr>
                <w:sz w:val="18"/>
              </w:rPr>
              <w:t>l</w:t>
            </w:r>
            <w:r w:rsidR="00E14E13">
              <w:rPr>
                <w:sz w:val="18"/>
              </w:rPr>
              <w:t>'</w:t>
            </w:r>
            <w:r w:rsidR="003D43F3">
              <w:rPr>
                <w:sz w:val="18"/>
              </w:rPr>
              <w:t xml:space="preserve">objectif étant </w:t>
            </w:r>
            <w:r w:rsidR="006B597C">
              <w:rPr>
                <w:sz w:val="18"/>
              </w:rPr>
              <w:t>de simplifier les processus et de mettre l</w:t>
            </w:r>
            <w:r w:rsidR="00E14E13">
              <w:rPr>
                <w:sz w:val="18"/>
              </w:rPr>
              <w:t>'</w:t>
            </w:r>
            <w:r w:rsidR="006B597C">
              <w:rPr>
                <w:sz w:val="18"/>
              </w:rPr>
              <w:t xml:space="preserve">accent sur </w:t>
            </w:r>
            <w:r w:rsidR="003D43F3">
              <w:rPr>
                <w:sz w:val="18"/>
              </w:rPr>
              <w:t xml:space="preserve">une meilleure qualité de service pour les </w:t>
            </w:r>
            <w:r w:rsidR="006B597C">
              <w:rPr>
                <w:sz w:val="18"/>
              </w:rPr>
              <w:t>clients</w:t>
            </w:r>
            <w:r w:rsidR="006B597C" w:rsidRPr="006B597C">
              <w:rPr>
                <w:sz w:val="18"/>
              </w:rPr>
              <w:t>.</w:t>
            </w:r>
            <w:r w:rsidR="007F43CA" w:rsidRPr="006B597C">
              <w:rPr>
                <w:sz w:val="18"/>
              </w:rPr>
              <w:t xml:space="preserve"> </w:t>
            </w:r>
          </w:p>
        </w:tc>
      </w:tr>
      <w:bookmarkEnd w:id="11"/>
    </w:tbl>
    <w:p w14:paraId="0BAB1CF9" w14:textId="54871BA6" w:rsidR="005817FB" w:rsidRDefault="005817FB" w:rsidP="001D32F6">
      <w:pPr>
        <w:pStyle w:val="Tabletext"/>
        <w:rPr>
          <w:rFonts w:asciiTheme="minorHAnsi" w:hAnsiTheme="minorHAnsi" w:cstheme="minorHAnsi"/>
          <w:sz w:val="18"/>
          <w:szCs w:val="18"/>
        </w:rPr>
      </w:pPr>
      <w:r>
        <w:rPr>
          <w:rFonts w:asciiTheme="minorHAnsi" w:hAnsiTheme="minorHAnsi" w:cstheme="minorHAnsi"/>
          <w:sz w:val="18"/>
          <w:szCs w:val="18"/>
        </w:rPr>
        <w:br w:type="page"/>
      </w:r>
    </w:p>
    <w:tbl>
      <w:tblPr>
        <w:tblStyle w:val="TableGrid"/>
        <w:tblW w:w="14029" w:type="dxa"/>
        <w:tblLook w:val="04A0" w:firstRow="1" w:lastRow="0" w:firstColumn="1" w:lastColumn="0" w:noHBand="0" w:noVBand="1"/>
      </w:tblPr>
      <w:tblGrid>
        <w:gridCol w:w="580"/>
        <w:gridCol w:w="1345"/>
        <w:gridCol w:w="2149"/>
        <w:gridCol w:w="2005"/>
        <w:gridCol w:w="1948"/>
        <w:gridCol w:w="1466"/>
        <w:gridCol w:w="4536"/>
      </w:tblGrid>
      <w:tr w:rsidR="007F43CA" w:rsidRPr="00B651E4" w14:paraId="17A57EDE" w14:textId="77777777" w:rsidTr="007F43CA">
        <w:trPr>
          <w:tblHeader/>
        </w:trPr>
        <w:tc>
          <w:tcPr>
            <w:tcW w:w="1925" w:type="dxa"/>
            <w:gridSpan w:val="2"/>
            <w:shd w:val="clear" w:color="auto" w:fill="D9D9D9" w:themeFill="background1" w:themeFillShade="D9"/>
          </w:tcPr>
          <w:p w14:paraId="3E8340A4" w14:textId="77777777" w:rsidR="007F43CA" w:rsidRPr="007F43CA" w:rsidRDefault="007F43CA" w:rsidP="001D32F6">
            <w:pPr>
              <w:pStyle w:val="Tablehead"/>
              <w:spacing w:before="60" w:after="60"/>
              <w:rPr>
                <w:sz w:val="18"/>
                <w:szCs w:val="18"/>
              </w:rPr>
            </w:pPr>
            <w:r w:rsidRPr="007F43CA">
              <w:rPr>
                <w:sz w:val="18"/>
                <w:szCs w:val="18"/>
              </w:rPr>
              <w:lastRenderedPageBreak/>
              <w:t>A</w:t>
            </w:r>
          </w:p>
        </w:tc>
        <w:tc>
          <w:tcPr>
            <w:tcW w:w="2149" w:type="dxa"/>
            <w:shd w:val="clear" w:color="auto" w:fill="D9D9D9" w:themeFill="background1" w:themeFillShade="D9"/>
          </w:tcPr>
          <w:p w14:paraId="4C53B8A8" w14:textId="77777777" w:rsidR="007F43CA" w:rsidRPr="007F43CA" w:rsidRDefault="007F43CA" w:rsidP="001D32F6">
            <w:pPr>
              <w:pStyle w:val="Tablehead"/>
              <w:spacing w:before="60" w:after="60"/>
              <w:rPr>
                <w:sz w:val="18"/>
                <w:szCs w:val="18"/>
              </w:rPr>
            </w:pPr>
            <w:r w:rsidRPr="007F43CA">
              <w:rPr>
                <w:sz w:val="18"/>
                <w:szCs w:val="18"/>
              </w:rPr>
              <w:t>B</w:t>
            </w:r>
          </w:p>
        </w:tc>
        <w:tc>
          <w:tcPr>
            <w:tcW w:w="2005" w:type="dxa"/>
            <w:shd w:val="clear" w:color="auto" w:fill="D9D9D9" w:themeFill="background1" w:themeFillShade="D9"/>
          </w:tcPr>
          <w:p w14:paraId="42DFE025" w14:textId="77777777" w:rsidR="007F43CA" w:rsidRPr="007F43CA" w:rsidRDefault="007F43CA" w:rsidP="001D32F6">
            <w:pPr>
              <w:pStyle w:val="Tablehead"/>
              <w:spacing w:before="60" w:after="60"/>
              <w:rPr>
                <w:sz w:val="18"/>
                <w:szCs w:val="18"/>
              </w:rPr>
            </w:pPr>
            <w:r w:rsidRPr="007F43CA">
              <w:rPr>
                <w:sz w:val="18"/>
                <w:szCs w:val="18"/>
              </w:rPr>
              <w:t>C</w:t>
            </w:r>
          </w:p>
        </w:tc>
        <w:tc>
          <w:tcPr>
            <w:tcW w:w="1948" w:type="dxa"/>
            <w:shd w:val="clear" w:color="auto" w:fill="D9D9D9" w:themeFill="background1" w:themeFillShade="D9"/>
          </w:tcPr>
          <w:p w14:paraId="21A6C07D" w14:textId="77777777" w:rsidR="007F43CA" w:rsidRPr="007F43CA" w:rsidRDefault="007F43CA" w:rsidP="001D32F6">
            <w:pPr>
              <w:pStyle w:val="Tablehead"/>
              <w:spacing w:before="60" w:after="60"/>
              <w:rPr>
                <w:sz w:val="18"/>
                <w:szCs w:val="18"/>
              </w:rPr>
            </w:pPr>
            <w:r w:rsidRPr="007F43CA">
              <w:rPr>
                <w:sz w:val="18"/>
                <w:szCs w:val="18"/>
              </w:rPr>
              <w:t>D</w:t>
            </w:r>
          </w:p>
        </w:tc>
        <w:tc>
          <w:tcPr>
            <w:tcW w:w="1466" w:type="dxa"/>
            <w:shd w:val="clear" w:color="auto" w:fill="D9D9D9" w:themeFill="background1" w:themeFillShade="D9"/>
          </w:tcPr>
          <w:p w14:paraId="1533351C" w14:textId="77777777" w:rsidR="007F43CA" w:rsidRPr="007F43CA" w:rsidRDefault="007F43CA" w:rsidP="001D32F6">
            <w:pPr>
              <w:pStyle w:val="Tablehead"/>
              <w:spacing w:before="60" w:after="60"/>
              <w:rPr>
                <w:sz w:val="18"/>
                <w:szCs w:val="18"/>
              </w:rPr>
            </w:pPr>
            <w:r w:rsidRPr="007F43CA">
              <w:rPr>
                <w:sz w:val="18"/>
                <w:szCs w:val="18"/>
              </w:rPr>
              <w:t>E</w:t>
            </w:r>
          </w:p>
        </w:tc>
        <w:tc>
          <w:tcPr>
            <w:tcW w:w="4536" w:type="dxa"/>
            <w:shd w:val="clear" w:color="auto" w:fill="D9D9D9" w:themeFill="background1" w:themeFillShade="D9"/>
          </w:tcPr>
          <w:p w14:paraId="773085EA" w14:textId="3C8EEE53" w:rsidR="007F43CA" w:rsidRPr="007F43CA" w:rsidRDefault="007F43CA" w:rsidP="001D32F6">
            <w:pPr>
              <w:pStyle w:val="Tablehead"/>
              <w:spacing w:before="60" w:after="60"/>
              <w:rPr>
                <w:sz w:val="18"/>
                <w:szCs w:val="18"/>
              </w:rPr>
            </w:pPr>
            <w:r w:rsidRPr="007F43CA">
              <w:rPr>
                <w:bCs/>
                <w:sz w:val="18"/>
                <w:szCs w:val="18"/>
              </w:rPr>
              <w:t>F</w:t>
            </w:r>
          </w:p>
        </w:tc>
      </w:tr>
      <w:tr w:rsidR="007F43CA" w:rsidRPr="00B651E4" w14:paraId="1C290D6B" w14:textId="77777777" w:rsidTr="007F43CA">
        <w:trPr>
          <w:tblHeader/>
        </w:trPr>
        <w:tc>
          <w:tcPr>
            <w:tcW w:w="1925" w:type="dxa"/>
            <w:gridSpan w:val="2"/>
            <w:shd w:val="clear" w:color="auto" w:fill="D9D9D9" w:themeFill="background1" w:themeFillShade="D9"/>
          </w:tcPr>
          <w:p w14:paraId="4300BEB9" w14:textId="77777777" w:rsidR="007F43CA" w:rsidRPr="007F43CA" w:rsidRDefault="007F43CA" w:rsidP="001D32F6">
            <w:pPr>
              <w:pStyle w:val="Tablehead"/>
              <w:spacing w:before="60" w:after="60"/>
              <w:rPr>
                <w:sz w:val="18"/>
                <w:szCs w:val="18"/>
              </w:rPr>
            </w:pPr>
            <w:r w:rsidRPr="007F43CA">
              <w:rPr>
                <w:sz w:val="18"/>
                <w:szCs w:val="18"/>
              </w:rPr>
              <w:t>Pilier et élément correspondants</w:t>
            </w:r>
          </w:p>
        </w:tc>
        <w:tc>
          <w:tcPr>
            <w:tcW w:w="2149" w:type="dxa"/>
            <w:shd w:val="clear" w:color="auto" w:fill="D9D9D9" w:themeFill="background1" w:themeFillShade="D9"/>
          </w:tcPr>
          <w:p w14:paraId="0EA1A244" w14:textId="77777777" w:rsidR="007F43CA" w:rsidRPr="007F43CA" w:rsidRDefault="007F43CA" w:rsidP="001D32F6">
            <w:pPr>
              <w:pStyle w:val="Tablehead"/>
              <w:spacing w:before="60" w:after="60"/>
              <w:rPr>
                <w:sz w:val="18"/>
                <w:szCs w:val="18"/>
              </w:rPr>
            </w:pPr>
            <w:r w:rsidRPr="007F43CA">
              <w:rPr>
                <w:sz w:val="18"/>
                <w:szCs w:val="18"/>
              </w:rPr>
              <w:t>Intitulé et activités concrètes (de haut niveau)</w:t>
            </w:r>
          </w:p>
        </w:tc>
        <w:tc>
          <w:tcPr>
            <w:tcW w:w="2005" w:type="dxa"/>
            <w:shd w:val="clear" w:color="auto" w:fill="D9D9D9" w:themeFill="background1" w:themeFillShade="D9"/>
          </w:tcPr>
          <w:p w14:paraId="69DAC31F" w14:textId="77777777" w:rsidR="007F43CA" w:rsidRPr="007F43CA" w:rsidRDefault="007F43CA" w:rsidP="001D32F6">
            <w:pPr>
              <w:pStyle w:val="Tablehead"/>
              <w:spacing w:before="60" w:after="60"/>
              <w:rPr>
                <w:sz w:val="18"/>
                <w:szCs w:val="18"/>
              </w:rPr>
            </w:pPr>
            <w:r w:rsidRPr="007F43CA">
              <w:rPr>
                <w:sz w:val="18"/>
                <w:szCs w:val="18"/>
              </w:rPr>
              <w:t>Indicateurs fondamentaux de performance institutionnels</w:t>
            </w:r>
          </w:p>
        </w:tc>
        <w:tc>
          <w:tcPr>
            <w:tcW w:w="1948" w:type="dxa"/>
            <w:shd w:val="clear" w:color="auto" w:fill="D9D9D9" w:themeFill="background1" w:themeFillShade="D9"/>
          </w:tcPr>
          <w:p w14:paraId="087C73DA" w14:textId="77777777" w:rsidR="007F43CA" w:rsidRPr="007F43CA" w:rsidRDefault="007F43CA" w:rsidP="001D32F6">
            <w:pPr>
              <w:pStyle w:val="Tablehead"/>
              <w:spacing w:before="60" w:after="60"/>
              <w:rPr>
                <w:sz w:val="18"/>
                <w:szCs w:val="18"/>
              </w:rPr>
            </w:pPr>
            <w:r w:rsidRPr="007F43CA">
              <w:rPr>
                <w:sz w:val="18"/>
                <w:szCs w:val="18"/>
              </w:rPr>
              <w:t>Unités organisationnelles et partenaires du Département HRMD</w:t>
            </w:r>
          </w:p>
        </w:tc>
        <w:tc>
          <w:tcPr>
            <w:tcW w:w="1466" w:type="dxa"/>
            <w:shd w:val="clear" w:color="auto" w:fill="D9D9D9" w:themeFill="background1" w:themeFillShade="D9"/>
          </w:tcPr>
          <w:p w14:paraId="297521C7" w14:textId="77777777" w:rsidR="007F43CA" w:rsidRPr="007F43CA" w:rsidRDefault="007F43CA" w:rsidP="001D32F6">
            <w:pPr>
              <w:pStyle w:val="Tablehead"/>
              <w:spacing w:before="60" w:after="60"/>
              <w:rPr>
                <w:sz w:val="18"/>
                <w:szCs w:val="18"/>
              </w:rPr>
            </w:pPr>
            <w:r w:rsidRPr="007F43CA">
              <w:rPr>
                <w:sz w:val="18"/>
                <w:szCs w:val="18"/>
              </w:rPr>
              <w:t>Échéances</w:t>
            </w:r>
          </w:p>
        </w:tc>
        <w:tc>
          <w:tcPr>
            <w:tcW w:w="4536" w:type="dxa"/>
            <w:shd w:val="clear" w:color="auto" w:fill="D9D9D9" w:themeFill="background1" w:themeFillShade="D9"/>
          </w:tcPr>
          <w:p w14:paraId="3C978E9D" w14:textId="435A828A" w:rsidR="007F43CA" w:rsidRPr="007F43CA" w:rsidRDefault="007F43CA" w:rsidP="001D32F6">
            <w:pPr>
              <w:pStyle w:val="Tablehead"/>
              <w:spacing w:before="60" w:after="60"/>
              <w:rPr>
                <w:sz w:val="18"/>
                <w:szCs w:val="18"/>
              </w:rPr>
            </w:pPr>
            <w:r w:rsidRPr="007F43CA">
              <w:rPr>
                <w:bCs/>
                <w:sz w:val="18"/>
                <w:szCs w:val="18"/>
              </w:rPr>
              <w:t>Rapport (état d</w:t>
            </w:r>
            <w:r w:rsidR="00E14E13">
              <w:rPr>
                <w:bCs/>
                <w:sz w:val="18"/>
                <w:szCs w:val="18"/>
              </w:rPr>
              <w:t>'</w:t>
            </w:r>
            <w:r w:rsidRPr="007F43CA">
              <w:rPr>
                <w:bCs/>
                <w:sz w:val="18"/>
                <w:szCs w:val="18"/>
              </w:rPr>
              <w:t>avancement février 2022)</w:t>
            </w:r>
          </w:p>
        </w:tc>
      </w:tr>
      <w:tr w:rsidR="007F43CA" w:rsidRPr="00B651E4" w14:paraId="09046E2A" w14:textId="77777777" w:rsidTr="007F43CA">
        <w:tc>
          <w:tcPr>
            <w:tcW w:w="14029" w:type="dxa"/>
            <w:gridSpan w:val="7"/>
            <w:shd w:val="clear" w:color="auto" w:fill="C2D69B" w:themeFill="accent3" w:themeFillTint="99"/>
          </w:tcPr>
          <w:p w14:paraId="465462BA" w14:textId="6F4AC931" w:rsidR="007F43CA" w:rsidRPr="007F43CA" w:rsidRDefault="007F43CA" w:rsidP="001D32F6">
            <w:pPr>
              <w:pStyle w:val="Tabletext"/>
              <w:rPr>
                <w:rFonts w:asciiTheme="minorHAnsi" w:hAnsiTheme="minorHAnsi" w:cstheme="minorHAnsi"/>
                <w:b/>
                <w:sz w:val="18"/>
                <w:szCs w:val="18"/>
              </w:rPr>
            </w:pPr>
            <w:r w:rsidRPr="007F43CA">
              <w:rPr>
                <w:rFonts w:asciiTheme="minorHAnsi" w:hAnsiTheme="minorHAnsi" w:cstheme="minorHAnsi"/>
                <w:b/>
                <w:sz w:val="18"/>
                <w:szCs w:val="18"/>
              </w:rPr>
              <w:t>Pilier 4 – Cadre de travail porteur</w:t>
            </w:r>
          </w:p>
        </w:tc>
      </w:tr>
      <w:tr w:rsidR="007F43CA" w:rsidRPr="002F71B3" w14:paraId="3E381FA1" w14:textId="77777777" w:rsidTr="007F43CA">
        <w:tc>
          <w:tcPr>
            <w:tcW w:w="580" w:type="dxa"/>
            <w:vMerge w:val="restart"/>
            <w:tcBorders>
              <w:top w:val="single" w:sz="4" w:space="0" w:color="auto"/>
              <w:left w:val="single" w:sz="4" w:space="0" w:color="auto"/>
              <w:right w:val="single" w:sz="4" w:space="0" w:color="auto"/>
            </w:tcBorders>
            <w:shd w:val="clear" w:color="auto" w:fill="C2D69B" w:themeFill="accent3" w:themeFillTint="99"/>
          </w:tcPr>
          <w:p w14:paraId="0A02F842" w14:textId="77777777" w:rsidR="007F43CA" w:rsidRPr="007F43CA" w:rsidRDefault="007F43CA" w:rsidP="001D32F6">
            <w:pPr>
              <w:pStyle w:val="Tabletext"/>
              <w:rPr>
                <w:rFonts w:asciiTheme="minorHAnsi" w:hAnsiTheme="minorHAnsi" w:cstheme="minorHAnsi"/>
                <w:sz w:val="18"/>
                <w:szCs w:val="18"/>
              </w:rPr>
            </w:pPr>
            <w:bookmarkStart w:id="12" w:name="_Hlk70508435"/>
            <w:r w:rsidRPr="007F43CA">
              <w:rPr>
                <w:rFonts w:asciiTheme="minorHAnsi" w:hAnsiTheme="minorHAnsi" w:cstheme="minorHAnsi"/>
                <w:sz w:val="18"/>
                <w:szCs w:val="18"/>
              </w:rPr>
              <w:t>4.1</w:t>
            </w:r>
          </w:p>
        </w:tc>
        <w:tc>
          <w:tcPr>
            <w:tcW w:w="1345" w:type="dxa"/>
            <w:vMerge w:val="restart"/>
            <w:tcBorders>
              <w:top w:val="single" w:sz="4" w:space="0" w:color="auto"/>
              <w:left w:val="single" w:sz="4" w:space="0" w:color="auto"/>
              <w:right w:val="single" w:sz="4" w:space="0" w:color="auto"/>
            </w:tcBorders>
            <w:shd w:val="clear" w:color="auto" w:fill="C2D69B" w:themeFill="accent3" w:themeFillTint="99"/>
          </w:tcPr>
          <w:p w14:paraId="2EFABBE4" w14:textId="77777777"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Cadre de travail sain</w:t>
            </w:r>
          </w:p>
        </w:tc>
        <w:tc>
          <w:tcPr>
            <w:tcW w:w="214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06F158" w14:textId="68D65152" w:rsidR="007F43CA" w:rsidRPr="007F43CA" w:rsidRDefault="00723277" w:rsidP="00723277">
            <w:pPr>
              <w:pStyle w:val="Tabletext"/>
              <w:tabs>
                <w:tab w:val="left" w:pos="237"/>
              </w:tabs>
              <w:ind w:left="237" w:hanging="237"/>
              <w:rPr>
                <w:rFonts w:asciiTheme="minorHAnsi" w:hAnsiTheme="minorHAnsi" w:cstheme="minorHAnsi"/>
                <w:sz w:val="18"/>
                <w:szCs w:val="18"/>
              </w:rPr>
            </w:pPr>
            <w:r>
              <w:rPr>
                <w:rFonts w:asciiTheme="minorHAnsi" w:hAnsiTheme="minorHAnsi" w:cstheme="minorHAnsi"/>
                <w:bCs/>
                <w:sz w:val="18"/>
                <w:szCs w:val="18"/>
              </w:rPr>
              <w:t>1</w:t>
            </w:r>
            <w:r>
              <w:rPr>
                <w:rFonts w:asciiTheme="minorHAnsi" w:hAnsiTheme="minorHAnsi" w:cstheme="minorHAnsi"/>
                <w:bCs/>
                <w:sz w:val="18"/>
                <w:szCs w:val="18"/>
              </w:rPr>
              <w:tab/>
            </w:r>
            <w:r w:rsidR="007F43CA" w:rsidRPr="007F43CA">
              <w:rPr>
                <w:rFonts w:asciiTheme="minorHAnsi" w:hAnsiTheme="minorHAnsi" w:cstheme="minorHAnsi"/>
                <w:bCs/>
                <w:sz w:val="18"/>
                <w:szCs w:val="18"/>
              </w:rPr>
              <w:t>Renforcement des services médicaux</w:t>
            </w:r>
          </w:p>
        </w:tc>
        <w:tc>
          <w:tcPr>
            <w:tcW w:w="2005" w:type="dxa"/>
            <w:tcBorders>
              <w:left w:val="single" w:sz="4" w:space="0" w:color="auto"/>
            </w:tcBorders>
            <w:shd w:val="clear" w:color="auto" w:fill="C2D69B" w:themeFill="accent3" w:themeFillTint="99"/>
          </w:tcPr>
          <w:p w14:paraId="79659CCD" w14:textId="4986A3AF" w:rsidR="007F43CA" w:rsidRPr="007F43CA" w:rsidRDefault="003F0D2A" w:rsidP="001D32F6">
            <w:pPr>
              <w:pStyle w:val="Tabletext"/>
              <w:tabs>
                <w:tab w:val="left" w:pos="310"/>
              </w:tabs>
              <w:ind w:left="289" w:hanging="289"/>
              <w:rPr>
                <w:rFonts w:asciiTheme="minorHAnsi" w:hAnsiTheme="minorHAnsi" w:cstheme="minorHAnsi"/>
                <w:sz w:val="18"/>
                <w:szCs w:val="18"/>
              </w:rPr>
            </w:pPr>
            <w:r w:rsidRPr="00EE2A9D">
              <w:rPr>
                <w:sz w:val="18"/>
              </w:rPr>
              <w:t>•</w:t>
            </w:r>
            <w:r w:rsidRPr="00EE2A9D">
              <w:rPr>
                <w:sz w:val="18"/>
              </w:rPr>
              <w:tab/>
            </w:r>
            <w:r w:rsidR="007F43CA" w:rsidRPr="003F0D2A">
              <w:rPr>
                <w:sz w:val="18"/>
              </w:rPr>
              <w:t>Services médicaux pleinement opérationnels</w:t>
            </w:r>
          </w:p>
        </w:tc>
        <w:tc>
          <w:tcPr>
            <w:tcW w:w="1948" w:type="dxa"/>
            <w:shd w:val="clear" w:color="auto" w:fill="C2D69B" w:themeFill="accent3" w:themeFillTint="99"/>
          </w:tcPr>
          <w:p w14:paraId="4A3D4A86" w14:textId="77777777" w:rsidR="007F43CA" w:rsidRPr="007F43CA" w:rsidRDefault="007F43CA" w:rsidP="001D32F6">
            <w:pPr>
              <w:pStyle w:val="Tabletext"/>
              <w:rPr>
                <w:rFonts w:asciiTheme="minorHAnsi" w:hAnsiTheme="minorHAnsi" w:cstheme="minorHAnsi"/>
                <w:sz w:val="18"/>
                <w:szCs w:val="18"/>
              </w:rPr>
            </w:pPr>
          </w:p>
        </w:tc>
        <w:tc>
          <w:tcPr>
            <w:tcW w:w="1466" w:type="dxa"/>
            <w:shd w:val="clear" w:color="auto" w:fill="C2D69B" w:themeFill="accent3" w:themeFillTint="99"/>
          </w:tcPr>
          <w:p w14:paraId="2C60DFCE" w14:textId="6CB85D9B"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2020-2022</w:t>
            </w:r>
          </w:p>
        </w:tc>
        <w:tc>
          <w:tcPr>
            <w:tcW w:w="4536" w:type="dxa"/>
            <w:shd w:val="clear" w:color="auto" w:fill="C2D69B" w:themeFill="accent3" w:themeFillTint="99"/>
          </w:tcPr>
          <w:p w14:paraId="01607870" w14:textId="4131DF9A" w:rsidR="006B597C" w:rsidRDefault="006B597C" w:rsidP="001D32F6">
            <w:pPr>
              <w:pStyle w:val="Tabletext"/>
              <w:rPr>
                <w:rFonts w:asciiTheme="minorHAnsi" w:hAnsiTheme="minorHAnsi" w:cstheme="minorHAnsi"/>
                <w:sz w:val="18"/>
                <w:szCs w:val="18"/>
              </w:rPr>
            </w:pPr>
            <w:r w:rsidRPr="006B597C">
              <w:rPr>
                <w:rFonts w:asciiTheme="minorHAnsi" w:hAnsiTheme="minorHAnsi" w:cstheme="minorHAnsi"/>
                <w:sz w:val="18"/>
                <w:szCs w:val="18"/>
              </w:rPr>
              <w:t xml:space="preserve">Une nouvelle Conseillère du personnel a été </w:t>
            </w:r>
            <w:r>
              <w:rPr>
                <w:rFonts w:asciiTheme="minorHAnsi" w:hAnsiTheme="minorHAnsi" w:cstheme="minorHAnsi"/>
                <w:sz w:val="18"/>
                <w:szCs w:val="18"/>
              </w:rPr>
              <w:t>nommée en</w:t>
            </w:r>
            <w:r w:rsidR="003F0D2A">
              <w:rPr>
                <w:rFonts w:asciiTheme="minorHAnsi" w:hAnsiTheme="minorHAnsi" w:cstheme="minorHAnsi"/>
                <w:sz w:val="18"/>
                <w:szCs w:val="18"/>
              </w:rPr>
              <w:t> </w:t>
            </w:r>
            <w:r>
              <w:rPr>
                <w:rFonts w:asciiTheme="minorHAnsi" w:hAnsiTheme="minorHAnsi" w:cstheme="minorHAnsi"/>
                <w:sz w:val="18"/>
                <w:szCs w:val="18"/>
              </w:rPr>
              <w:t xml:space="preserve">2021. La Conseillère du personnel </w:t>
            </w:r>
            <w:r w:rsidR="003D43F3">
              <w:rPr>
                <w:rFonts w:asciiTheme="minorHAnsi" w:hAnsiTheme="minorHAnsi" w:cstheme="minorHAnsi"/>
                <w:sz w:val="18"/>
                <w:szCs w:val="18"/>
              </w:rPr>
              <w:t xml:space="preserve">assure </w:t>
            </w:r>
            <w:r>
              <w:rPr>
                <w:rFonts w:asciiTheme="minorHAnsi" w:hAnsiTheme="minorHAnsi" w:cstheme="minorHAnsi"/>
                <w:sz w:val="18"/>
                <w:szCs w:val="18"/>
              </w:rPr>
              <w:t>des services d</w:t>
            </w:r>
            <w:r w:rsidR="00E14E13">
              <w:rPr>
                <w:rFonts w:asciiTheme="minorHAnsi" w:hAnsiTheme="minorHAnsi" w:cstheme="minorHAnsi"/>
                <w:sz w:val="18"/>
                <w:szCs w:val="18"/>
              </w:rPr>
              <w:t>'</w:t>
            </w:r>
            <w:r>
              <w:rPr>
                <w:rFonts w:asciiTheme="minorHAnsi" w:hAnsiTheme="minorHAnsi" w:cstheme="minorHAnsi"/>
                <w:sz w:val="18"/>
                <w:szCs w:val="18"/>
              </w:rPr>
              <w:t>appui psychosocial aux fonctionnaires qui rencontrent des problèmes liés au travail et des difficultés personnelles.</w:t>
            </w:r>
          </w:p>
          <w:p w14:paraId="5BF77EE7" w14:textId="1E88B0EA" w:rsidR="007F43CA" w:rsidRPr="006B597C" w:rsidRDefault="006B597C" w:rsidP="001D32F6">
            <w:pPr>
              <w:pStyle w:val="Tabletext"/>
              <w:rPr>
                <w:rFonts w:asciiTheme="minorHAnsi" w:hAnsiTheme="minorHAnsi" w:cstheme="minorHAnsi"/>
                <w:sz w:val="18"/>
                <w:szCs w:val="18"/>
              </w:rPr>
            </w:pPr>
            <w:r w:rsidRPr="006B597C">
              <w:rPr>
                <w:rFonts w:asciiTheme="minorHAnsi" w:hAnsiTheme="minorHAnsi" w:cstheme="minorHAnsi"/>
                <w:sz w:val="18"/>
                <w:szCs w:val="18"/>
              </w:rPr>
              <w:t>Dans ce contexte, elle oriente les fonctionnair</w:t>
            </w:r>
            <w:r>
              <w:rPr>
                <w:rFonts w:asciiTheme="minorHAnsi" w:hAnsiTheme="minorHAnsi" w:cstheme="minorHAnsi"/>
                <w:sz w:val="18"/>
                <w:szCs w:val="18"/>
              </w:rPr>
              <w:t>e</w:t>
            </w:r>
            <w:r w:rsidR="003D43F3">
              <w:rPr>
                <w:rFonts w:asciiTheme="minorHAnsi" w:hAnsiTheme="minorHAnsi" w:cstheme="minorHAnsi"/>
                <w:sz w:val="18"/>
                <w:szCs w:val="18"/>
              </w:rPr>
              <w:t>s</w:t>
            </w:r>
            <w:r>
              <w:rPr>
                <w:rFonts w:asciiTheme="minorHAnsi" w:hAnsiTheme="minorHAnsi" w:cstheme="minorHAnsi"/>
                <w:sz w:val="18"/>
                <w:szCs w:val="18"/>
              </w:rPr>
              <w:t xml:space="preserve"> vers des ressources internes et externes, par exemple des services spécialisés. </w:t>
            </w:r>
            <w:r w:rsidRPr="006B597C">
              <w:rPr>
                <w:rFonts w:asciiTheme="minorHAnsi" w:hAnsiTheme="minorHAnsi" w:cstheme="minorHAnsi"/>
                <w:sz w:val="18"/>
                <w:szCs w:val="18"/>
              </w:rPr>
              <w:t>Un nouveau site web visant à présenter tous</w:t>
            </w:r>
            <w:r>
              <w:rPr>
                <w:rFonts w:asciiTheme="minorHAnsi" w:hAnsiTheme="minorHAnsi" w:cstheme="minorHAnsi"/>
                <w:sz w:val="18"/>
                <w:szCs w:val="18"/>
              </w:rPr>
              <w:t xml:space="preserve"> les services aux fonctionnaires a été lancé</w:t>
            </w:r>
            <w:r w:rsidR="007F43CA" w:rsidRPr="006B597C">
              <w:rPr>
                <w:rFonts w:asciiTheme="minorHAnsi" w:hAnsiTheme="minorHAnsi" w:cstheme="minorHAnsi"/>
                <w:sz w:val="18"/>
                <w:szCs w:val="18"/>
              </w:rPr>
              <w:t>.</w:t>
            </w:r>
          </w:p>
          <w:p w14:paraId="3EFA8954" w14:textId="7CF7D0F4"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Un médecin-conseil (à temps partiel), une infirmière et un assistant administratif médical ont été recrutés</w:t>
            </w:r>
            <w:r w:rsidR="006B597C">
              <w:rPr>
                <w:rFonts w:asciiTheme="minorHAnsi" w:hAnsiTheme="minorHAnsi" w:cstheme="minorHAnsi"/>
                <w:sz w:val="18"/>
                <w:szCs w:val="18"/>
              </w:rPr>
              <w:t xml:space="preserve"> et sont pleinement opérationnels</w:t>
            </w:r>
            <w:r w:rsidRPr="007F43CA">
              <w:rPr>
                <w:rFonts w:asciiTheme="minorHAnsi" w:hAnsiTheme="minorHAnsi" w:cstheme="minorHAnsi"/>
                <w:sz w:val="18"/>
                <w:szCs w:val="18"/>
              </w:rPr>
              <w:t>.</w:t>
            </w:r>
          </w:p>
          <w:p w14:paraId="6F2F8D5B" w14:textId="1B1798C3" w:rsidR="007F43CA" w:rsidRPr="006B597C"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Le projet concernant les dossiers médicaux électroniques est en cours, un mémorandum a été signé par le Secrétaire général en vue de s</w:t>
            </w:r>
            <w:r w:rsidR="00E14E13">
              <w:rPr>
                <w:rFonts w:asciiTheme="minorHAnsi" w:hAnsiTheme="minorHAnsi" w:cstheme="minorHAnsi"/>
                <w:sz w:val="18"/>
                <w:szCs w:val="18"/>
              </w:rPr>
              <w:t>'</w:t>
            </w:r>
            <w:r w:rsidRPr="007F43CA">
              <w:rPr>
                <w:rFonts w:asciiTheme="minorHAnsi" w:hAnsiTheme="minorHAnsi" w:cstheme="minorHAnsi"/>
                <w:sz w:val="18"/>
                <w:szCs w:val="18"/>
              </w:rPr>
              <w:t xml:space="preserve">appuyer sur Earthmed. </w:t>
            </w:r>
            <w:r w:rsidR="006B597C" w:rsidRPr="006B597C">
              <w:rPr>
                <w:rFonts w:asciiTheme="minorHAnsi" w:hAnsiTheme="minorHAnsi" w:cstheme="minorHAnsi"/>
                <w:sz w:val="18"/>
                <w:szCs w:val="18"/>
              </w:rPr>
              <w:t>L</w:t>
            </w:r>
            <w:r w:rsidR="00E14E13">
              <w:rPr>
                <w:rFonts w:asciiTheme="minorHAnsi" w:hAnsiTheme="minorHAnsi" w:cstheme="minorHAnsi"/>
                <w:sz w:val="18"/>
                <w:szCs w:val="18"/>
              </w:rPr>
              <w:t>'</w:t>
            </w:r>
            <w:r w:rsidR="006B597C" w:rsidRPr="006B597C">
              <w:rPr>
                <w:rFonts w:asciiTheme="minorHAnsi" w:hAnsiTheme="minorHAnsi" w:cstheme="minorHAnsi"/>
                <w:sz w:val="18"/>
                <w:szCs w:val="18"/>
              </w:rPr>
              <w:t>UIT attend que la Division de la gestion des soins de santé e</w:t>
            </w:r>
            <w:r w:rsidR="006B597C">
              <w:rPr>
                <w:rFonts w:asciiTheme="minorHAnsi" w:hAnsiTheme="minorHAnsi" w:cstheme="minorHAnsi"/>
                <w:sz w:val="18"/>
                <w:szCs w:val="18"/>
              </w:rPr>
              <w:t>t de la sécurité et de la santé au travail donne son feu vert en vue de la mise en œuvre</w:t>
            </w:r>
            <w:r w:rsidRPr="006B597C">
              <w:rPr>
                <w:rFonts w:asciiTheme="minorHAnsi" w:hAnsiTheme="minorHAnsi" w:cstheme="minorHAnsi"/>
                <w:sz w:val="18"/>
                <w:szCs w:val="18"/>
              </w:rPr>
              <w:t>.</w:t>
            </w:r>
          </w:p>
          <w:p w14:paraId="51746BF3" w14:textId="72C7D6FD"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La mise en œuvre du système de gestion de la sécurité et de la santé au travail a été lancée</w:t>
            </w:r>
            <w:r w:rsidR="00723277">
              <w:rPr>
                <w:rFonts w:asciiTheme="minorHAnsi" w:hAnsiTheme="minorHAnsi" w:cstheme="minorHAnsi"/>
                <w:sz w:val="18"/>
                <w:szCs w:val="18"/>
              </w:rPr>
              <w:t>.</w:t>
            </w:r>
          </w:p>
          <w:p w14:paraId="292EFB57" w14:textId="47803F3A" w:rsidR="007F43CA" w:rsidRPr="002F71B3" w:rsidRDefault="006B597C" w:rsidP="001D32F6">
            <w:pPr>
              <w:pStyle w:val="Tabletext"/>
              <w:rPr>
                <w:rFonts w:asciiTheme="minorHAnsi" w:hAnsiTheme="minorHAnsi" w:cstheme="minorHAnsi"/>
                <w:sz w:val="18"/>
                <w:szCs w:val="18"/>
              </w:rPr>
            </w:pPr>
            <w:r w:rsidRPr="006B597C">
              <w:rPr>
                <w:rFonts w:asciiTheme="minorHAnsi" w:hAnsiTheme="minorHAnsi" w:cstheme="minorHAnsi"/>
                <w:sz w:val="18"/>
                <w:szCs w:val="18"/>
              </w:rPr>
              <w:t>L</w:t>
            </w:r>
            <w:r>
              <w:rPr>
                <w:rFonts w:asciiTheme="minorHAnsi" w:hAnsiTheme="minorHAnsi" w:cstheme="minorHAnsi"/>
                <w:sz w:val="18"/>
                <w:szCs w:val="18"/>
              </w:rPr>
              <w:t>e</w:t>
            </w:r>
            <w:r w:rsidRPr="006B597C">
              <w:rPr>
                <w:rFonts w:asciiTheme="minorHAnsi" w:hAnsiTheme="minorHAnsi" w:cstheme="minorHAnsi"/>
                <w:sz w:val="18"/>
                <w:szCs w:val="18"/>
              </w:rPr>
              <w:t xml:space="preserve"> service médical a j</w:t>
            </w:r>
            <w:r>
              <w:rPr>
                <w:rFonts w:asciiTheme="minorHAnsi" w:hAnsiTheme="minorHAnsi" w:cstheme="minorHAnsi"/>
                <w:sz w:val="18"/>
                <w:szCs w:val="18"/>
              </w:rPr>
              <w:t>oué un rôle fondamental pour préserver la santé et la sécurité du personnel pendant la pandémie de COVID-19, en proposant</w:t>
            </w:r>
            <w:r w:rsidR="002F71B3">
              <w:rPr>
                <w:rFonts w:asciiTheme="minorHAnsi" w:hAnsiTheme="minorHAnsi" w:cstheme="minorHAnsi"/>
                <w:sz w:val="18"/>
                <w:szCs w:val="18"/>
              </w:rPr>
              <w:t xml:space="preserve"> à l</w:t>
            </w:r>
            <w:r w:rsidR="00E14E13">
              <w:rPr>
                <w:rFonts w:asciiTheme="minorHAnsi" w:hAnsiTheme="minorHAnsi" w:cstheme="minorHAnsi"/>
                <w:sz w:val="18"/>
                <w:szCs w:val="18"/>
              </w:rPr>
              <w:t>'</w:t>
            </w:r>
            <w:r w:rsidR="002F71B3">
              <w:rPr>
                <w:rFonts w:asciiTheme="minorHAnsi" w:hAnsiTheme="minorHAnsi" w:cstheme="minorHAnsi"/>
                <w:sz w:val="18"/>
                <w:szCs w:val="18"/>
              </w:rPr>
              <w:t>équipe de gestion des crises</w:t>
            </w:r>
            <w:r>
              <w:rPr>
                <w:rFonts w:asciiTheme="minorHAnsi" w:hAnsiTheme="minorHAnsi" w:cstheme="minorHAnsi"/>
                <w:sz w:val="18"/>
                <w:szCs w:val="18"/>
              </w:rPr>
              <w:t xml:space="preserve"> des mesures </w:t>
            </w:r>
            <w:r w:rsidR="002F71B3">
              <w:rPr>
                <w:rFonts w:asciiTheme="minorHAnsi" w:hAnsiTheme="minorHAnsi" w:cstheme="minorHAnsi"/>
                <w:sz w:val="18"/>
                <w:szCs w:val="18"/>
              </w:rPr>
              <w:t>qui ont été très efficace</w:t>
            </w:r>
            <w:r w:rsidR="003D43F3">
              <w:rPr>
                <w:rFonts w:asciiTheme="minorHAnsi" w:hAnsiTheme="minorHAnsi" w:cstheme="minorHAnsi"/>
                <w:sz w:val="18"/>
                <w:szCs w:val="18"/>
              </w:rPr>
              <w:t>s</w:t>
            </w:r>
            <w:r w:rsidR="002F71B3">
              <w:rPr>
                <w:rFonts w:asciiTheme="minorHAnsi" w:hAnsiTheme="minorHAnsi" w:cstheme="minorHAnsi"/>
                <w:sz w:val="18"/>
                <w:szCs w:val="18"/>
              </w:rPr>
              <w:t xml:space="preserve"> pour contenir la propagation du virus à l</w:t>
            </w:r>
            <w:r w:rsidR="00E14E13">
              <w:rPr>
                <w:rFonts w:asciiTheme="minorHAnsi" w:hAnsiTheme="minorHAnsi" w:cstheme="minorHAnsi"/>
                <w:sz w:val="18"/>
                <w:szCs w:val="18"/>
              </w:rPr>
              <w:t>'</w:t>
            </w:r>
            <w:r w:rsidR="002F71B3">
              <w:rPr>
                <w:rFonts w:asciiTheme="minorHAnsi" w:hAnsiTheme="minorHAnsi" w:cstheme="minorHAnsi"/>
                <w:sz w:val="18"/>
                <w:szCs w:val="18"/>
              </w:rPr>
              <w:t>UIT</w:t>
            </w:r>
            <w:r w:rsidR="007F43CA" w:rsidRPr="002F71B3">
              <w:rPr>
                <w:rFonts w:asciiTheme="minorHAnsi" w:hAnsiTheme="minorHAnsi" w:cstheme="minorHAnsi"/>
                <w:sz w:val="18"/>
                <w:szCs w:val="18"/>
              </w:rPr>
              <w:t>.</w:t>
            </w:r>
          </w:p>
        </w:tc>
      </w:tr>
      <w:tr w:rsidR="007F43CA" w:rsidRPr="00B651E4" w14:paraId="3ADD06D6" w14:textId="77777777" w:rsidTr="007F43CA">
        <w:tc>
          <w:tcPr>
            <w:tcW w:w="580" w:type="dxa"/>
            <w:vMerge/>
            <w:tcBorders>
              <w:left w:val="single" w:sz="4" w:space="0" w:color="auto"/>
              <w:right w:val="single" w:sz="4" w:space="0" w:color="auto"/>
            </w:tcBorders>
            <w:shd w:val="clear" w:color="auto" w:fill="C2D69B" w:themeFill="accent3" w:themeFillTint="99"/>
          </w:tcPr>
          <w:p w14:paraId="0A223ED4" w14:textId="77777777" w:rsidR="007F43CA" w:rsidRPr="002F71B3" w:rsidRDefault="007F43CA" w:rsidP="001D32F6">
            <w:pPr>
              <w:pStyle w:val="Tabletext"/>
              <w:rPr>
                <w:rFonts w:asciiTheme="minorHAnsi" w:hAnsiTheme="minorHAnsi" w:cstheme="minorHAnsi"/>
                <w:sz w:val="18"/>
                <w:szCs w:val="18"/>
              </w:rPr>
            </w:pPr>
          </w:p>
        </w:tc>
        <w:tc>
          <w:tcPr>
            <w:tcW w:w="1345" w:type="dxa"/>
            <w:vMerge/>
            <w:tcBorders>
              <w:left w:val="single" w:sz="4" w:space="0" w:color="auto"/>
              <w:right w:val="single" w:sz="4" w:space="0" w:color="auto"/>
            </w:tcBorders>
            <w:shd w:val="clear" w:color="auto" w:fill="C2D69B" w:themeFill="accent3" w:themeFillTint="99"/>
          </w:tcPr>
          <w:p w14:paraId="5ED10E99" w14:textId="77777777" w:rsidR="007F43CA" w:rsidRPr="002F71B3" w:rsidRDefault="007F43CA" w:rsidP="001D32F6">
            <w:pPr>
              <w:pStyle w:val="Tabletext"/>
              <w:rPr>
                <w:rFonts w:asciiTheme="minorHAnsi" w:hAnsiTheme="minorHAnsi" w:cstheme="minorHAnsi"/>
                <w:sz w:val="18"/>
                <w:szCs w:val="18"/>
              </w:rPr>
            </w:pPr>
          </w:p>
        </w:tc>
        <w:tc>
          <w:tcPr>
            <w:tcW w:w="214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ED66CA" w14:textId="232AA035" w:rsidR="00E0391B" w:rsidRDefault="00723277" w:rsidP="001D32F6">
            <w:pPr>
              <w:pStyle w:val="Tabletext"/>
              <w:ind w:left="230" w:hanging="230"/>
              <w:rPr>
                <w:rFonts w:asciiTheme="minorHAnsi" w:hAnsiTheme="minorHAnsi" w:cstheme="minorHAnsi"/>
                <w:sz w:val="18"/>
                <w:szCs w:val="18"/>
              </w:rPr>
            </w:pPr>
            <w:r>
              <w:rPr>
                <w:rFonts w:asciiTheme="minorHAnsi" w:hAnsiTheme="minorHAnsi" w:cstheme="minorHAnsi"/>
                <w:sz w:val="18"/>
                <w:szCs w:val="18"/>
              </w:rPr>
              <w:t>2</w:t>
            </w:r>
            <w:r w:rsidR="007F43CA" w:rsidRPr="003F0D2A">
              <w:rPr>
                <w:rFonts w:asciiTheme="minorHAnsi" w:hAnsiTheme="minorHAnsi" w:cstheme="minorHAnsi"/>
                <w:sz w:val="18"/>
                <w:szCs w:val="18"/>
              </w:rPr>
              <w:tab/>
              <w:t>Examiner la politique relative au harcèlement et à l</w:t>
            </w:r>
            <w:r w:rsidR="00E14E13">
              <w:rPr>
                <w:rFonts w:asciiTheme="minorHAnsi" w:hAnsiTheme="minorHAnsi" w:cstheme="minorHAnsi"/>
                <w:sz w:val="18"/>
                <w:szCs w:val="18"/>
              </w:rPr>
              <w:t>'</w:t>
            </w:r>
            <w:r w:rsidR="007F43CA" w:rsidRPr="003F0D2A">
              <w:rPr>
                <w:rFonts w:asciiTheme="minorHAnsi" w:hAnsiTheme="minorHAnsi" w:cstheme="minorHAnsi"/>
                <w:sz w:val="18"/>
                <w:szCs w:val="18"/>
              </w:rPr>
              <w:t>abus de pouvoir.</w:t>
            </w:r>
          </w:p>
          <w:p w14:paraId="6EF6EB64" w14:textId="3EE34177" w:rsidR="007F43CA" w:rsidRPr="003F0D2A" w:rsidRDefault="00723277" w:rsidP="001D32F6">
            <w:pPr>
              <w:pStyle w:val="Tabletext"/>
              <w:ind w:left="230" w:hanging="230"/>
              <w:rPr>
                <w:rFonts w:asciiTheme="minorHAnsi" w:hAnsiTheme="minorHAnsi" w:cstheme="minorHAnsi"/>
                <w:sz w:val="18"/>
                <w:szCs w:val="18"/>
              </w:rPr>
            </w:pPr>
            <w:r>
              <w:rPr>
                <w:rFonts w:asciiTheme="minorHAnsi" w:hAnsiTheme="minorHAnsi" w:cstheme="minorHAnsi"/>
                <w:sz w:val="18"/>
                <w:szCs w:val="18"/>
              </w:rPr>
              <w:t>3</w:t>
            </w:r>
            <w:r w:rsidR="00E0391B">
              <w:rPr>
                <w:rFonts w:asciiTheme="minorHAnsi" w:hAnsiTheme="minorHAnsi" w:cstheme="minorHAnsi"/>
                <w:sz w:val="18"/>
                <w:szCs w:val="18"/>
              </w:rPr>
              <w:tab/>
            </w:r>
            <w:r w:rsidR="007F43CA" w:rsidRPr="003F0D2A">
              <w:rPr>
                <w:rFonts w:asciiTheme="minorHAnsi" w:hAnsiTheme="minorHAnsi" w:cstheme="minorHAnsi"/>
                <w:sz w:val="18"/>
                <w:szCs w:val="18"/>
              </w:rPr>
              <w:t>Présenter un rapport et des informations sur les progrès accomplis dans la lutte contre l</w:t>
            </w:r>
            <w:r w:rsidR="00E14E13">
              <w:rPr>
                <w:rFonts w:asciiTheme="minorHAnsi" w:hAnsiTheme="minorHAnsi" w:cstheme="minorHAnsi"/>
                <w:sz w:val="18"/>
                <w:szCs w:val="18"/>
              </w:rPr>
              <w:t>'</w:t>
            </w:r>
            <w:r w:rsidR="007F43CA" w:rsidRPr="003F0D2A">
              <w:rPr>
                <w:rFonts w:asciiTheme="minorHAnsi" w:hAnsiTheme="minorHAnsi" w:cstheme="minorHAnsi"/>
                <w:sz w:val="18"/>
                <w:szCs w:val="18"/>
              </w:rPr>
              <w:t>exploitation et les violences sexuelles ainsi que contre le harcèlement au travail (politique de tolérance zéro)</w:t>
            </w:r>
          </w:p>
          <w:p w14:paraId="1529FDA5" w14:textId="659B5FE1" w:rsidR="00B200CD" w:rsidRPr="003F0D2A" w:rsidRDefault="00723277" w:rsidP="001D32F6">
            <w:pPr>
              <w:pStyle w:val="Tabletext"/>
              <w:ind w:left="230" w:hanging="230"/>
              <w:rPr>
                <w:rFonts w:asciiTheme="minorHAnsi" w:hAnsiTheme="minorHAnsi" w:cstheme="minorHAnsi"/>
                <w:sz w:val="18"/>
                <w:szCs w:val="18"/>
              </w:rPr>
            </w:pPr>
            <w:r>
              <w:rPr>
                <w:rFonts w:asciiTheme="minorHAnsi" w:hAnsiTheme="minorHAnsi" w:cstheme="minorHAnsi"/>
                <w:sz w:val="18"/>
                <w:szCs w:val="18"/>
              </w:rPr>
              <w:t>4</w:t>
            </w:r>
            <w:r w:rsidR="00B200CD" w:rsidRPr="003F0D2A">
              <w:rPr>
                <w:rFonts w:asciiTheme="minorHAnsi" w:hAnsiTheme="minorHAnsi" w:cstheme="minorHAnsi"/>
                <w:sz w:val="18"/>
                <w:szCs w:val="18"/>
              </w:rPr>
              <w:tab/>
            </w:r>
            <w:r w:rsidR="002F71B3" w:rsidRPr="003F0D2A">
              <w:rPr>
                <w:rFonts w:asciiTheme="minorHAnsi" w:hAnsiTheme="minorHAnsi" w:cstheme="minorHAnsi"/>
                <w:sz w:val="18"/>
                <w:szCs w:val="18"/>
              </w:rPr>
              <w:t>Mettre en place un Bureau de l</w:t>
            </w:r>
            <w:r w:rsidR="00E14E13">
              <w:rPr>
                <w:rFonts w:asciiTheme="minorHAnsi" w:hAnsiTheme="minorHAnsi" w:cstheme="minorHAnsi"/>
                <w:sz w:val="18"/>
                <w:szCs w:val="18"/>
              </w:rPr>
              <w:t>'</w:t>
            </w:r>
            <w:r w:rsidR="002F71B3" w:rsidRPr="003F0D2A">
              <w:rPr>
                <w:rFonts w:asciiTheme="minorHAnsi" w:hAnsiTheme="minorHAnsi" w:cstheme="minorHAnsi"/>
                <w:sz w:val="18"/>
                <w:szCs w:val="18"/>
              </w:rPr>
              <w:t>éthique</w:t>
            </w:r>
            <w:r w:rsidR="00556770" w:rsidRPr="003F0D2A">
              <w:rPr>
                <w:rFonts w:asciiTheme="minorHAnsi" w:hAnsiTheme="minorHAnsi" w:cstheme="minorHAnsi"/>
                <w:sz w:val="18"/>
                <w:szCs w:val="18"/>
              </w:rPr>
              <w:t xml:space="preserve"> fonctionnel</w:t>
            </w:r>
            <w:r w:rsidR="002F71B3" w:rsidRPr="003F0D2A">
              <w:rPr>
                <w:rFonts w:asciiTheme="minorHAnsi" w:hAnsiTheme="minorHAnsi" w:cstheme="minorHAnsi"/>
                <w:sz w:val="18"/>
                <w:szCs w:val="18"/>
              </w:rPr>
              <w:t xml:space="preserve"> et fournir des services dans ce domaine</w:t>
            </w:r>
          </w:p>
        </w:tc>
        <w:tc>
          <w:tcPr>
            <w:tcW w:w="2005" w:type="dxa"/>
            <w:tcBorders>
              <w:left w:val="single" w:sz="4" w:space="0" w:color="auto"/>
            </w:tcBorders>
            <w:shd w:val="clear" w:color="auto" w:fill="C2D69B" w:themeFill="accent3" w:themeFillTint="99"/>
          </w:tcPr>
          <w:p w14:paraId="06F4524D" w14:textId="5F4F5C28" w:rsidR="007F43CA" w:rsidRPr="003F0D2A" w:rsidRDefault="007F43CA" w:rsidP="001D32F6">
            <w:pPr>
              <w:pStyle w:val="Tabletext"/>
              <w:keepLines/>
              <w:tabs>
                <w:tab w:val="left" w:pos="169"/>
              </w:tabs>
              <w:ind w:left="178" w:hanging="178"/>
              <w:rPr>
                <w:rFonts w:asciiTheme="minorHAnsi" w:hAnsiTheme="minorHAnsi" w:cstheme="minorHAnsi"/>
                <w:sz w:val="18"/>
                <w:szCs w:val="18"/>
              </w:rPr>
            </w:pPr>
            <w:r w:rsidRPr="003F0D2A">
              <w:rPr>
                <w:rFonts w:asciiTheme="minorHAnsi" w:hAnsiTheme="minorHAnsi" w:cstheme="minorHAnsi"/>
                <w:sz w:val="18"/>
                <w:szCs w:val="18"/>
              </w:rPr>
              <w:t>•</w:t>
            </w:r>
            <w:r w:rsidRPr="003F0D2A">
              <w:rPr>
                <w:rFonts w:asciiTheme="minorHAnsi" w:hAnsiTheme="minorHAnsi" w:cstheme="minorHAnsi"/>
                <w:sz w:val="18"/>
                <w:szCs w:val="18"/>
              </w:rPr>
              <w:tab/>
              <w:t>Politique examinée et rapports qualitatifs et quantitatifs permettant de mesurer l</w:t>
            </w:r>
            <w:r w:rsidR="00E14E13">
              <w:rPr>
                <w:rFonts w:asciiTheme="minorHAnsi" w:hAnsiTheme="minorHAnsi" w:cstheme="minorHAnsi"/>
                <w:sz w:val="18"/>
                <w:szCs w:val="18"/>
              </w:rPr>
              <w:t>'</w:t>
            </w:r>
            <w:r w:rsidRPr="003F0D2A">
              <w:rPr>
                <w:rFonts w:asciiTheme="minorHAnsi" w:hAnsiTheme="minorHAnsi" w:cstheme="minorHAnsi"/>
                <w:sz w:val="18"/>
                <w:szCs w:val="18"/>
              </w:rPr>
              <w:t>évolution dans le temps (c</w:t>
            </w:r>
            <w:r w:rsidR="00E14E13">
              <w:rPr>
                <w:rFonts w:asciiTheme="minorHAnsi" w:hAnsiTheme="minorHAnsi" w:cstheme="minorHAnsi"/>
                <w:sz w:val="18"/>
                <w:szCs w:val="18"/>
              </w:rPr>
              <w:t>'</w:t>
            </w:r>
            <w:r w:rsidRPr="003F0D2A">
              <w:rPr>
                <w:rFonts w:asciiTheme="minorHAnsi" w:hAnsiTheme="minorHAnsi" w:cstheme="minorHAnsi"/>
                <w:sz w:val="18"/>
                <w:szCs w:val="18"/>
              </w:rPr>
              <w:t>est</w:t>
            </w:r>
            <w:r w:rsidRPr="003F0D2A">
              <w:rPr>
                <w:rFonts w:asciiTheme="minorHAnsi" w:hAnsiTheme="minorHAnsi" w:cstheme="minorHAnsi"/>
                <w:sz w:val="18"/>
                <w:szCs w:val="18"/>
              </w:rPr>
              <w:noBreakHyphen/>
              <w:t>à</w:t>
            </w:r>
            <w:r w:rsidRPr="003F0D2A">
              <w:rPr>
                <w:rFonts w:asciiTheme="minorHAnsi" w:hAnsiTheme="minorHAnsi" w:cstheme="minorHAnsi"/>
                <w:sz w:val="18"/>
                <w:szCs w:val="18"/>
              </w:rPr>
              <w:noBreakHyphen/>
              <w:t>dire élaboration de procédures formelles et informelles, nombre de cas signalés et nombre de cas traités, décisions prises et mesures correctives appliquées)</w:t>
            </w:r>
          </w:p>
          <w:p w14:paraId="6605FFA7" w14:textId="4ED40FF3" w:rsidR="007F43CA" w:rsidRPr="003F0D2A" w:rsidRDefault="007F43CA" w:rsidP="001D32F6">
            <w:pPr>
              <w:pStyle w:val="Tabletext"/>
              <w:keepLines/>
              <w:tabs>
                <w:tab w:val="left" w:pos="169"/>
              </w:tabs>
              <w:ind w:left="178" w:hanging="178"/>
              <w:rPr>
                <w:rFonts w:asciiTheme="minorHAnsi" w:hAnsiTheme="minorHAnsi" w:cstheme="minorHAnsi"/>
                <w:sz w:val="18"/>
                <w:szCs w:val="18"/>
              </w:rPr>
            </w:pPr>
            <w:r w:rsidRPr="003F0D2A">
              <w:rPr>
                <w:rFonts w:asciiTheme="minorHAnsi" w:hAnsiTheme="minorHAnsi" w:cstheme="minorHAnsi"/>
                <w:sz w:val="18"/>
                <w:szCs w:val="18"/>
              </w:rPr>
              <w:t>•</w:t>
            </w:r>
            <w:r w:rsidRPr="003F0D2A">
              <w:rPr>
                <w:rFonts w:asciiTheme="minorHAnsi" w:hAnsiTheme="minorHAnsi" w:cstheme="minorHAnsi"/>
                <w:sz w:val="18"/>
                <w:szCs w:val="18"/>
              </w:rPr>
              <w:tab/>
              <w:t>Élaborer et mettre en œuvre une stratégie pour la santé mentale à l</w:t>
            </w:r>
            <w:r w:rsidR="00E14E13">
              <w:rPr>
                <w:rFonts w:asciiTheme="minorHAnsi" w:hAnsiTheme="minorHAnsi" w:cstheme="minorHAnsi"/>
                <w:sz w:val="18"/>
                <w:szCs w:val="18"/>
              </w:rPr>
              <w:t>'</w:t>
            </w:r>
            <w:r w:rsidRPr="003F0D2A">
              <w:rPr>
                <w:rFonts w:asciiTheme="minorHAnsi" w:hAnsiTheme="minorHAnsi" w:cstheme="minorHAnsi"/>
                <w:sz w:val="18"/>
                <w:szCs w:val="18"/>
              </w:rPr>
              <w:t>UIT</w:t>
            </w:r>
          </w:p>
        </w:tc>
        <w:tc>
          <w:tcPr>
            <w:tcW w:w="1948" w:type="dxa"/>
            <w:shd w:val="clear" w:color="auto" w:fill="C2D69B" w:themeFill="accent3" w:themeFillTint="99"/>
          </w:tcPr>
          <w:p w14:paraId="0F2DA5E7" w14:textId="77777777" w:rsidR="007F43CA" w:rsidRPr="003F0D2A" w:rsidRDefault="007F43CA" w:rsidP="001D32F6">
            <w:pPr>
              <w:pStyle w:val="Tabletext"/>
              <w:rPr>
                <w:rFonts w:asciiTheme="minorHAnsi" w:hAnsiTheme="minorHAnsi" w:cstheme="minorHAnsi"/>
                <w:sz w:val="18"/>
                <w:szCs w:val="18"/>
              </w:rPr>
            </w:pPr>
          </w:p>
        </w:tc>
        <w:tc>
          <w:tcPr>
            <w:tcW w:w="1466" w:type="dxa"/>
            <w:shd w:val="clear" w:color="auto" w:fill="C2D69B" w:themeFill="accent3" w:themeFillTint="99"/>
          </w:tcPr>
          <w:p w14:paraId="65424889" w14:textId="0C95D11B" w:rsidR="007F43CA" w:rsidRPr="003F0D2A" w:rsidRDefault="007F43CA"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2021-2022</w:t>
            </w:r>
          </w:p>
        </w:tc>
        <w:tc>
          <w:tcPr>
            <w:tcW w:w="4536" w:type="dxa"/>
            <w:shd w:val="clear" w:color="auto" w:fill="C2D69B" w:themeFill="accent3" w:themeFillTint="99"/>
          </w:tcPr>
          <w:p w14:paraId="14699C99" w14:textId="35220C19" w:rsidR="007F43CA" w:rsidRPr="003F0D2A" w:rsidRDefault="002F71B3"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 xml:space="preserve">Une nouvelle </w:t>
            </w:r>
            <w:r w:rsidR="007F43CA" w:rsidRPr="003F0D2A">
              <w:rPr>
                <w:rFonts w:asciiTheme="minorHAnsi" w:hAnsiTheme="minorHAnsi" w:cstheme="minorHAnsi"/>
                <w:sz w:val="18"/>
                <w:szCs w:val="18"/>
              </w:rPr>
              <w:t>Politique relative à la lutte contre le harcèlement, y compris le harcèlement sexuel, l</w:t>
            </w:r>
            <w:r w:rsidR="00E14E13">
              <w:rPr>
                <w:rFonts w:asciiTheme="minorHAnsi" w:hAnsiTheme="minorHAnsi" w:cstheme="minorHAnsi"/>
                <w:sz w:val="18"/>
                <w:szCs w:val="18"/>
              </w:rPr>
              <w:t>'</w:t>
            </w:r>
            <w:r w:rsidR="007F43CA" w:rsidRPr="003F0D2A">
              <w:rPr>
                <w:rFonts w:asciiTheme="minorHAnsi" w:hAnsiTheme="minorHAnsi" w:cstheme="minorHAnsi"/>
                <w:sz w:val="18"/>
                <w:szCs w:val="18"/>
              </w:rPr>
              <w:t xml:space="preserve">abus de pouvoir et la discrimination </w:t>
            </w:r>
            <w:r w:rsidRPr="003F0D2A">
              <w:rPr>
                <w:rFonts w:asciiTheme="minorHAnsi" w:hAnsiTheme="minorHAnsi" w:cstheme="minorHAnsi"/>
                <w:sz w:val="18"/>
                <w:szCs w:val="18"/>
              </w:rPr>
              <w:t>a été élaborée et approuvée en janvier</w:t>
            </w:r>
            <w:r w:rsidR="007F43CA" w:rsidRPr="003F0D2A">
              <w:rPr>
                <w:rFonts w:asciiTheme="minorHAnsi" w:hAnsiTheme="minorHAnsi" w:cstheme="minorHAnsi"/>
                <w:sz w:val="18"/>
                <w:szCs w:val="18"/>
              </w:rPr>
              <w:t xml:space="preserve"> 2022. </w:t>
            </w:r>
            <w:r w:rsidR="00492E34" w:rsidRPr="003F0D2A">
              <w:rPr>
                <w:rFonts w:asciiTheme="minorHAnsi" w:hAnsiTheme="minorHAnsi" w:cstheme="minorHAnsi"/>
                <w:sz w:val="18"/>
                <w:szCs w:val="18"/>
              </w:rPr>
              <w:t>L</w:t>
            </w:r>
            <w:r w:rsidR="00E14E13">
              <w:rPr>
                <w:rFonts w:asciiTheme="minorHAnsi" w:hAnsiTheme="minorHAnsi" w:cstheme="minorHAnsi"/>
                <w:sz w:val="18"/>
                <w:szCs w:val="18"/>
              </w:rPr>
              <w:t>'</w:t>
            </w:r>
            <w:r w:rsidR="00492E34" w:rsidRPr="003F0D2A">
              <w:rPr>
                <w:rFonts w:asciiTheme="minorHAnsi" w:hAnsiTheme="minorHAnsi" w:cstheme="minorHAnsi"/>
                <w:sz w:val="18"/>
                <w:szCs w:val="18"/>
              </w:rPr>
              <w:t>UIT a mené à bien une étude comparative des politiques appliquées par l</w:t>
            </w:r>
            <w:r w:rsidR="00E14E13">
              <w:rPr>
                <w:rFonts w:asciiTheme="minorHAnsi" w:hAnsiTheme="minorHAnsi" w:cstheme="minorHAnsi"/>
                <w:sz w:val="18"/>
                <w:szCs w:val="18"/>
              </w:rPr>
              <w:t>'</w:t>
            </w:r>
            <w:r w:rsidR="00492E34" w:rsidRPr="003F0D2A">
              <w:rPr>
                <w:rFonts w:asciiTheme="minorHAnsi" w:hAnsiTheme="minorHAnsi" w:cstheme="minorHAnsi"/>
                <w:sz w:val="18"/>
                <w:szCs w:val="18"/>
              </w:rPr>
              <w:t>ONU et d</w:t>
            </w:r>
            <w:r w:rsidR="00E14E13">
              <w:rPr>
                <w:rFonts w:asciiTheme="minorHAnsi" w:hAnsiTheme="minorHAnsi" w:cstheme="minorHAnsi"/>
                <w:sz w:val="18"/>
                <w:szCs w:val="18"/>
              </w:rPr>
              <w:t>'</w:t>
            </w:r>
            <w:r w:rsidR="00492E34" w:rsidRPr="003F0D2A">
              <w:rPr>
                <w:rFonts w:asciiTheme="minorHAnsi" w:hAnsiTheme="minorHAnsi" w:cstheme="minorHAnsi"/>
                <w:sz w:val="18"/>
                <w:szCs w:val="18"/>
              </w:rPr>
              <w:t>autres organis</w:t>
            </w:r>
            <w:r w:rsidR="00556770" w:rsidRPr="003F0D2A">
              <w:rPr>
                <w:rFonts w:asciiTheme="minorHAnsi" w:hAnsiTheme="minorHAnsi" w:cstheme="minorHAnsi"/>
                <w:sz w:val="18"/>
                <w:szCs w:val="18"/>
              </w:rPr>
              <w:t>mes</w:t>
            </w:r>
            <w:r w:rsidR="00492E34" w:rsidRPr="003F0D2A">
              <w:rPr>
                <w:rFonts w:asciiTheme="minorHAnsi" w:hAnsiTheme="minorHAnsi" w:cstheme="minorHAnsi"/>
                <w:sz w:val="18"/>
                <w:szCs w:val="18"/>
              </w:rPr>
              <w:t xml:space="preserve"> du système des Nations Unies, dont bon nombre ont été révisées récemment. La politique fait désormais référence à la discrimination en tant que comportement répréhensible et met en avant les solutions informelles qui</w:t>
            </w:r>
            <w:r w:rsidR="003D43F3" w:rsidRPr="003F0D2A">
              <w:rPr>
                <w:rFonts w:asciiTheme="minorHAnsi" w:hAnsiTheme="minorHAnsi" w:cstheme="minorHAnsi"/>
                <w:sz w:val="18"/>
                <w:szCs w:val="18"/>
              </w:rPr>
              <w:t xml:space="preserve"> existent</w:t>
            </w:r>
            <w:r w:rsidR="00492E34" w:rsidRPr="003F0D2A">
              <w:rPr>
                <w:rFonts w:asciiTheme="minorHAnsi" w:hAnsiTheme="minorHAnsi" w:cstheme="minorHAnsi"/>
                <w:sz w:val="18"/>
                <w:szCs w:val="18"/>
              </w:rPr>
              <w:t xml:space="preserve">. La nouvelle politique précise </w:t>
            </w:r>
            <w:r w:rsidR="003D43F3" w:rsidRPr="003F0D2A">
              <w:rPr>
                <w:rFonts w:asciiTheme="minorHAnsi" w:hAnsiTheme="minorHAnsi" w:cstheme="minorHAnsi"/>
                <w:sz w:val="18"/>
                <w:szCs w:val="18"/>
              </w:rPr>
              <w:t xml:space="preserve">aussi </w:t>
            </w:r>
            <w:r w:rsidR="00492E34" w:rsidRPr="003F0D2A">
              <w:rPr>
                <w:rFonts w:asciiTheme="minorHAnsi" w:hAnsiTheme="minorHAnsi" w:cstheme="minorHAnsi"/>
                <w:sz w:val="18"/>
                <w:szCs w:val="18"/>
              </w:rPr>
              <w:t>certain</w:t>
            </w:r>
            <w:r w:rsidR="003D43F3" w:rsidRPr="003F0D2A">
              <w:rPr>
                <w:rFonts w:asciiTheme="minorHAnsi" w:hAnsiTheme="minorHAnsi" w:cstheme="minorHAnsi"/>
                <w:sz w:val="18"/>
                <w:szCs w:val="18"/>
              </w:rPr>
              <w:t>e</w:t>
            </w:r>
            <w:r w:rsidR="00492E34" w:rsidRPr="003F0D2A">
              <w:rPr>
                <w:rFonts w:asciiTheme="minorHAnsi" w:hAnsiTheme="minorHAnsi" w:cstheme="minorHAnsi"/>
                <w:sz w:val="18"/>
                <w:szCs w:val="18"/>
              </w:rPr>
              <w:t xml:space="preserve">s </w:t>
            </w:r>
            <w:r w:rsidR="003D43F3" w:rsidRPr="003F0D2A">
              <w:rPr>
                <w:rFonts w:asciiTheme="minorHAnsi" w:hAnsiTheme="minorHAnsi" w:cstheme="minorHAnsi"/>
                <w:sz w:val="18"/>
                <w:szCs w:val="18"/>
              </w:rPr>
              <w:t xml:space="preserve">notions </w:t>
            </w:r>
            <w:r w:rsidR="00492E34" w:rsidRPr="003F0D2A">
              <w:rPr>
                <w:rFonts w:asciiTheme="minorHAnsi" w:hAnsiTheme="minorHAnsi" w:cstheme="minorHAnsi"/>
                <w:sz w:val="18"/>
                <w:szCs w:val="18"/>
              </w:rPr>
              <w:t>et indique clairement que l</w:t>
            </w:r>
            <w:r w:rsidR="00E14E13">
              <w:rPr>
                <w:rFonts w:asciiTheme="minorHAnsi" w:hAnsiTheme="minorHAnsi" w:cstheme="minorHAnsi"/>
                <w:sz w:val="18"/>
                <w:szCs w:val="18"/>
              </w:rPr>
              <w:t>'</w:t>
            </w:r>
            <w:r w:rsidR="007F43CA" w:rsidRPr="003F0D2A">
              <w:rPr>
                <w:rFonts w:asciiTheme="minorHAnsi" w:hAnsiTheme="minorHAnsi" w:cstheme="minorHAnsi"/>
                <w:sz w:val="18"/>
                <w:szCs w:val="18"/>
              </w:rPr>
              <w:t>UIT applique une politique de tolérance zéro à l</w:t>
            </w:r>
            <w:r w:rsidR="00E14E13">
              <w:rPr>
                <w:rFonts w:asciiTheme="minorHAnsi" w:hAnsiTheme="minorHAnsi" w:cstheme="minorHAnsi"/>
                <w:sz w:val="18"/>
                <w:szCs w:val="18"/>
              </w:rPr>
              <w:t>'</w:t>
            </w:r>
            <w:r w:rsidR="007F43CA" w:rsidRPr="003F0D2A">
              <w:rPr>
                <w:rFonts w:asciiTheme="minorHAnsi" w:hAnsiTheme="minorHAnsi" w:cstheme="minorHAnsi"/>
                <w:sz w:val="18"/>
                <w:szCs w:val="18"/>
              </w:rPr>
              <w:t>égard du harcèlement, y compris le harcèlement sexuel, l</w:t>
            </w:r>
            <w:r w:rsidR="00E14E13">
              <w:rPr>
                <w:rFonts w:asciiTheme="minorHAnsi" w:hAnsiTheme="minorHAnsi" w:cstheme="minorHAnsi"/>
                <w:sz w:val="18"/>
                <w:szCs w:val="18"/>
              </w:rPr>
              <w:t>'</w:t>
            </w:r>
            <w:r w:rsidR="007F43CA" w:rsidRPr="003F0D2A">
              <w:rPr>
                <w:rFonts w:asciiTheme="minorHAnsi" w:hAnsiTheme="minorHAnsi" w:cstheme="minorHAnsi"/>
                <w:sz w:val="18"/>
                <w:szCs w:val="18"/>
              </w:rPr>
              <w:t>abus de pouvoir et la discrimination, sous toutes ses formes, sur le lieu de travail ou en rapport avec le travail effectué au nom de l</w:t>
            </w:r>
            <w:r w:rsidR="00E14E13">
              <w:rPr>
                <w:rFonts w:asciiTheme="minorHAnsi" w:hAnsiTheme="minorHAnsi" w:cstheme="minorHAnsi"/>
                <w:sz w:val="18"/>
                <w:szCs w:val="18"/>
              </w:rPr>
              <w:t>'</w:t>
            </w:r>
            <w:r w:rsidR="007F43CA" w:rsidRPr="003F0D2A">
              <w:rPr>
                <w:rFonts w:asciiTheme="minorHAnsi" w:hAnsiTheme="minorHAnsi" w:cstheme="minorHAnsi"/>
                <w:sz w:val="18"/>
                <w:szCs w:val="18"/>
              </w:rPr>
              <w:t>Organisation.</w:t>
            </w:r>
          </w:p>
        </w:tc>
      </w:tr>
      <w:bookmarkEnd w:id="12"/>
      <w:tr w:rsidR="007F43CA" w:rsidRPr="00B651E4" w14:paraId="4F0D0125" w14:textId="77777777" w:rsidTr="007F43CA">
        <w:tc>
          <w:tcPr>
            <w:tcW w:w="580" w:type="dxa"/>
            <w:tcBorders>
              <w:top w:val="single" w:sz="4" w:space="0" w:color="auto"/>
              <w:left w:val="single" w:sz="4" w:space="0" w:color="auto"/>
              <w:right w:val="single" w:sz="4" w:space="0" w:color="auto"/>
            </w:tcBorders>
            <w:shd w:val="clear" w:color="auto" w:fill="C2D69B" w:themeFill="accent3" w:themeFillTint="99"/>
          </w:tcPr>
          <w:p w14:paraId="1573987A" w14:textId="77777777"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4.2</w:t>
            </w:r>
          </w:p>
        </w:tc>
        <w:tc>
          <w:tcPr>
            <w:tcW w:w="1345" w:type="dxa"/>
            <w:tcBorders>
              <w:top w:val="single" w:sz="4" w:space="0" w:color="auto"/>
              <w:left w:val="single" w:sz="4" w:space="0" w:color="auto"/>
              <w:right w:val="single" w:sz="4" w:space="0" w:color="auto"/>
            </w:tcBorders>
            <w:shd w:val="clear" w:color="auto" w:fill="C2D69B" w:themeFill="accent3" w:themeFillTint="99"/>
          </w:tcPr>
          <w:p w14:paraId="0EAD4748" w14:textId="0D125249" w:rsidR="007F43CA" w:rsidRPr="007F43CA" w:rsidRDefault="007F43CA" w:rsidP="001D32F6">
            <w:pPr>
              <w:pStyle w:val="Tabletext"/>
              <w:rPr>
                <w:rFonts w:asciiTheme="minorHAnsi" w:hAnsiTheme="minorHAnsi" w:cstheme="minorHAnsi"/>
                <w:sz w:val="18"/>
                <w:szCs w:val="18"/>
              </w:rPr>
            </w:pPr>
            <w:r w:rsidRPr="007F43CA">
              <w:rPr>
                <w:rFonts w:asciiTheme="minorHAnsi" w:hAnsiTheme="minorHAnsi" w:cstheme="minorHAnsi"/>
                <w:sz w:val="18"/>
                <w:szCs w:val="18"/>
              </w:rPr>
              <w:t>Cadre de travail respectueux et conforme à l</w:t>
            </w:r>
            <w:r w:rsidR="00E14E13">
              <w:rPr>
                <w:rFonts w:asciiTheme="minorHAnsi" w:hAnsiTheme="minorHAnsi" w:cstheme="minorHAnsi"/>
                <w:sz w:val="18"/>
                <w:szCs w:val="18"/>
              </w:rPr>
              <w:t>'</w:t>
            </w:r>
            <w:r w:rsidRPr="007F43CA">
              <w:rPr>
                <w:rFonts w:asciiTheme="minorHAnsi" w:hAnsiTheme="minorHAnsi" w:cstheme="minorHAnsi"/>
                <w:sz w:val="18"/>
                <w:szCs w:val="18"/>
              </w:rPr>
              <w:t>éthique</w:t>
            </w:r>
          </w:p>
        </w:tc>
        <w:tc>
          <w:tcPr>
            <w:tcW w:w="214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944929" w14:textId="1B11F119" w:rsidR="007F43CA" w:rsidRPr="003F0D2A" w:rsidRDefault="007F43CA" w:rsidP="00723277">
            <w:pPr>
              <w:pStyle w:val="Tabletext"/>
              <w:rPr>
                <w:rFonts w:asciiTheme="minorHAnsi" w:hAnsiTheme="minorHAnsi" w:cstheme="minorHAnsi"/>
                <w:sz w:val="18"/>
                <w:szCs w:val="18"/>
              </w:rPr>
            </w:pPr>
            <w:r w:rsidRPr="003F0D2A">
              <w:rPr>
                <w:rFonts w:asciiTheme="minorHAnsi" w:hAnsiTheme="minorHAnsi" w:cstheme="minorHAnsi"/>
                <w:sz w:val="18"/>
                <w:szCs w:val="18"/>
              </w:rPr>
              <w:t>Assurer la cohérence entre les politiques de l</w:t>
            </w:r>
            <w:r w:rsidR="00E14E13">
              <w:rPr>
                <w:rFonts w:asciiTheme="minorHAnsi" w:hAnsiTheme="minorHAnsi" w:cstheme="minorHAnsi"/>
                <w:sz w:val="18"/>
                <w:szCs w:val="18"/>
              </w:rPr>
              <w:t>'</w:t>
            </w:r>
            <w:r w:rsidRPr="003F0D2A">
              <w:rPr>
                <w:rFonts w:asciiTheme="minorHAnsi" w:hAnsiTheme="minorHAnsi" w:cstheme="minorHAnsi"/>
                <w:sz w:val="18"/>
                <w:szCs w:val="18"/>
              </w:rPr>
              <w:t>UIT relatives à la famille et les situations familiales actuelles</w:t>
            </w:r>
          </w:p>
        </w:tc>
        <w:tc>
          <w:tcPr>
            <w:tcW w:w="2005" w:type="dxa"/>
            <w:tcBorders>
              <w:left w:val="single" w:sz="4" w:space="0" w:color="auto"/>
            </w:tcBorders>
            <w:shd w:val="clear" w:color="auto" w:fill="C2D69B" w:themeFill="accent3" w:themeFillTint="99"/>
          </w:tcPr>
          <w:p w14:paraId="5BC75F9E" w14:textId="4927525B" w:rsidR="007F43CA" w:rsidRPr="003F0D2A" w:rsidRDefault="007F43CA" w:rsidP="001D32F6">
            <w:pPr>
              <w:pStyle w:val="Tabletext"/>
              <w:keepLines/>
              <w:tabs>
                <w:tab w:val="left" w:pos="169"/>
              </w:tabs>
              <w:ind w:left="178" w:hanging="178"/>
              <w:rPr>
                <w:rFonts w:asciiTheme="minorHAnsi" w:hAnsiTheme="minorHAnsi" w:cstheme="minorHAnsi"/>
                <w:sz w:val="18"/>
                <w:szCs w:val="18"/>
              </w:rPr>
            </w:pPr>
            <w:r w:rsidRPr="003F0D2A">
              <w:rPr>
                <w:rFonts w:asciiTheme="minorHAnsi" w:hAnsiTheme="minorHAnsi" w:cstheme="minorHAnsi"/>
                <w:sz w:val="18"/>
                <w:szCs w:val="18"/>
              </w:rPr>
              <w:t>•</w:t>
            </w:r>
            <w:r w:rsidRPr="003F0D2A">
              <w:rPr>
                <w:rFonts w:asciiTheme="minorHAnsi" w:hAnsiTheme="minorHAnsi" w:cstheme="minorHAnsi"/>
                <w:sz w:val="18"/>
                <w:szCs w:val="18"/>
              </w:rPr>
              <w:tab/>
              <w:t>Politiques actuelles de l</w:t>
            </w:r>
            <w:r w:rsidR="00E14E13">
              <w:rPr>
                <w:rFonts w:asciiTheme="minorHAnsi" w:hAnsiTheme="minorHAnsi" w:cstheme="minorHAnsi"/>
                <w:sz w:val="18"/>
                <w:szCs w:val="18"/>
              </w:rPr>
              <w:t>'</w:t>
            </w:r>
            <w:r w:rsidRPr="003F0D2A">
              <w:rPr>
                <w:rFonts w:asciiTheme="minorHAnsi" w:hAnsiTheme="minorHAnsi" w:cstheme="minorHAnsi"/>
                <w:sz w:val="18"/>
                <w:szCs w:val="18"/>
              </w:rPr>
              <w:t>UIT examinées et adaptées</w:t>
            </w:r>
          </w:p>
        </w:tc>
        <w:tc>
          <w:tcPr>
            <w:tcW w:w="1948" w:type="dxa"/>
            <w:shd w:val="clear" w:color="auto" w:fill="C2D69B" w:themeFill="accent3" w:themeFillTint="99"/>
          </w:tcPr>
          <w:p w14:paraId="0AAC134F" w14:textId="77777777" w:rsidR="007F43CA" w:rsidRPr="003F0D2A" w:rsidRDefault="007F43CA" w:rsidP="001D32F6">
            <w:pPr>
              <w:pStyle w:val="Tabletext"/>
              <w:rPr>
                <w:rFonts w:asciiTheme="minorHAnsi" w:hAnsiTheme="minorHAnsi" w:cstheme="minorHAnsi"/>
                <w:sz w:val="18"/>
                <w:szCs w:val="18"/>
              </w:rPr>
            </w:pPr>
          </w:p>
        </w:tc>
        <w:tc>
          <w:tcPr>
            <w:tcW w:w="1466" w:type="dxa"/>
            <w:shd w:val="clear" w:color="auto" w:fill="C2D69B" w:themeFill="accent3" w:themeFillTint="99"/>
          </w:tcPr>
          <w:p w14:paraId="066D6830" w14:textId="40AF0E81" w:rsidR="007F43CA" w:rsidRPr="003F0D2A" w:rsidRDefault="007F43CA"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En cours</w:t>
            </w:r>
          </w:p>
        </w:tc>
        <w:tc>
          <w:tcPr>
            <w:tcW w:w="4536" w:type="dxa"/>
            <w:shd w:val="clear" w:color="auto" w:fill="C2D69B" w:themeFill="accent3" w:themeFillTint="99"/>
          </w:tcPr>
          <w:p w14:paraId="6DD07DDE" w14:textId="24C3713B" w:rsidR="007F43CA" w:rsidRPr="00402EF4" w:rsidRDefault="007F43CA" w:rsidP="001D32F6">
            <w:pPr>
              <w:pStyle w:val="Tabletext"/>
              <w:rPr>
                <w:sz w:val="18"/>
                <w:szCs w:val="18"/>
              </w:rPr>
            </w:pPr>
            <w:r w:rsidRPr="00402EF4">
              <w:rPr>
                <w:sz w:val="18"/>
                <w:szCs w:val="18"/>
              </w:rPr>
              <w:t>Conformément à la Résolution 71/243 de l</w:t>
            </w:r>
            <w:r w:rsidR="00E14E13" w:rsidRPr="00402EF4">
              <w:rPr>
                <w:sz w:val="18"/>
                <w:szCs w:val="18"/>
              </w:rPr>
              <w:t>'</w:t>
            </w:r>
            <w:r w:rsidRPr="00402EF4">
              <w:rPr>
                <w:sz w:val="18"/>
                <w:szCs w:val="18"/>
              </w:rPr>
              <w:t>Assemblée générale des Nations Unies et à la Déclaration de reconnaissance mutuelle, l</w:t>
            </w:r>
            <w:r w:rsidR="00E14E13" w:rsidRPr="00402EF4">
              <w:rPr>
                <w:sz w:val="18"/>
                <w:szCs w:val="18"/>
              </w:rPr>
              <w:t>'</w:t>
            </w:r>
            <w:r w:rsidRPr="00402EF4">
              <w:rPr>
                <w:sz w:val="18"/>
                <w:szCs w:val="18"/>
              </w:rPr>
              <w:t xml:space="preserve">UIT </w:t>
            </w:r>
            <w:r w:rsidR="00492E34" w:rsidRPr="00402EF4">
              <w:rPr>
                <w:sz w:val="18"/>
                <w:szCs w:val="18"/>
              </w:rPr>
              <w:t xml:space="preserve">a continué </w:t>
            </w:r>
            <w:r w:rsidR="003D43F3" w:rsidRPr="00402EF4">
              <w:rPr>
                <w:sz w:val="18"/>
                <w:szCs w:val="18"/>
              </w:rPr>
              <w:t>de s</w:t>
            </w:r>
            <w:r w:rsidR="00E14E13" w:rsidRPr="00402EF4">
              <w:rPr>
                <w:sz w:val="18"/>
                <w:szCs w:val="18"/>
              </w:rPr>
              <w:t>'</w:t>
            </w:r>
            <w:r w:rsidR="003D43F3" w:rsidRPr="00402EF4">
              <w:rPr>
                <w:sz w:val="18"/>
                <w:szCs w:val="18"/>
              </w:rPr>
              <w:t xml:space="preserve">employer </w:t>
            </w:r>
            <w:r w:rsidR="00492E34" w:rsidRPr="00402EF4">
              <w:rPr>
                <w:sz w:val="18"/>
                <w:szCs w:val="18"/>
              </w:rPr>
              <w:t>à</w:t>
            </w:r>
            <w:r w:rsidRPr="00402EF4">
              <w:rPr>
                <w:sz w:val="18"/>
                <w:szCs w:val="18"/>
              </w:rPr>
              <w:t xml:space="preserve"> aligner sa politique en ce qui concerne la définition de la situation de famille.</w:t>
            </w:r>
          </w:p>
        </w:tc>
      </w:tr>
      <w:tr w:rsidR="007F43CA" w:rsidRPr="006072B3" w14:paraId="270A85CF" w14:textId="77777777" w:rsidTr="007F43CA">
        <w:tc>
          <w:tcPr>
            <w:tcW w:w="580" w:type="dxa"/>
            <w:tcBorders>
              <w:top w:val="single" w:sz="4" w:space="0" w:color="auto"/>
              <w:left w:val="single" w:sz="4" w:space="0" w:color="auto"/>
              <w:right w:val="single" w:sz="4" w:space="0" w:color="auto"/>
            </w:tcBorders>
            <w:shd w:val="clear" w:color="auto" w:fill="C2D69B" w:themeFill="accent3" w:themeFillTint="99"/>
          </w:tcPr>
          <w:p w14:paraId="40F1DB28" w14:textId="77777777" w:rsidR="007F43CA" w:rsidRPr="007F43CA" w:rsidRDefault="007F43CA" w:rsidP="001D32F6">
            <w:pPr>
              <w:pStyle w:val="Tabletext"/>
              <w:keepNext/>
              <w:keepLines/>
              <w:rPr>
                <w:rFonts w:asciiTheme="minorHAnsi" w:hAnsiTheme="minorHAnsi" w:cstheme="minorHAnsi"/>
                <w:sz w:val="18"/>
                <w:szCs w:val="18"/>
              </w:rPr>
            </w:pPr>
            <w:r w:rsidRPr="007F43CA">
              <w:rPr>
                <w:rFonts w:asciiTheme="minorHAnsi" w:hAnsiTheme="minorHAnsi" w:cstheme="minorHAnsi"/>
                <w:sz w:val="18"/>
                <w:szCs w:val="18"/>
              </w:rPr>
              <w:lastRenderedPageBreak/>
              <w:t>4.3</w:t>
            </w:r>
          </w:p>
        </w:tc>
        <w:tc>
          <w:tcPr>
            <w:tcW w:w="1345" w:type="dxa"/>
            <w:tcBorders>
              <w:top w:val="single" w:sz="4" w:space="0" w:color="auto"/>
              <w:left w:val="single" w:sz="4" w:space="0" w:color="auto"/>
              <w:right w:val="single" w:sz="4" w:space="0" w:color="auto"/>
            </w:tcBorders>
            <w:shd w:val="clear" w:color="auto" w:fill="C2D69B" w:themeFill="accent3" w:themeFillTint="99"/>
          </w:tcPr>
          <w:p w14:paraId="19716AE5" w14:textId="77777777" w:rsidR="007F43CA" w:rsidRPr="007F43CA" w:rsidRDefault="007F43CA" w:rsidP="001D32F6">
            <w:pPr>
              <w:pStyle w:val="Tabletext"/>
              <w:keepNext/>
              <w:keepLines/>
              <w:rPr>
                <w:rFonts w:asciiTheme="minorHAnsi" w:hAnsiTheme="minorHAnsi" w:cstheme="minorHAnsi"/>
                <w:sz w:val="18"/>
                <w:szCs w:val="18"/>
              </w:rPr>
            </w:pPr>
            <w:r w:rsidRPr="007F43CA">
              <w:rPr>
                <w:rFonts w:asciiTheme="minorHAnsi" w:hAnsiTheme="minorHAnsi" w:cstheme="minorHAnsi"/>
                <w:sz w:val="18"/>
                <w:szCs w:val="18"/>
              </w:rPr>
              <w:t>Enquêtes auprès du personnel</w:t>
            </w:r>
          </w:p>
        </w:tc>
        <w:tc>
          <w:tcPr>
            <w:tcW w:w="214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F1E931B" w14:textId="4DC13D1E" w:rsidR="007F43CA" w:rsidRPr="003F0D2A" w:rsidRDefault="007F43CA" w:rsidP="001D32F6">
            <w:pPr>
              <w:pStyle w:val="Tabletext"/>
              <w:keepNext/>
              <w:keepLines/>
              <w:rPr>
                <w:rFonts w:asciiTheme="minorHAnsi" w:hAnsiTheme="minorHAnsi" w:cstheme="minorHAnsi"/>
                <w:sz w:val="18"/>
                <w:szCs w:val="18"/>
              </w:rPr>
            </w:pPr>
            <w:r w:rsidRPr="003F0D2A">
              <w:rPr>
                <w:rFonts w:asciiTheme="minorHAnsi" w:hAnsiTheme="minorHAnsi" w:cstheme="minorHAnsi"/>
                <w:sz w:val="18"/>
                <w:szCs w:val="18"/>
              </w:rPr>
              <w:t>Réaliser des enquêtes ou diffuser des questionnaires auprès du personnel afin de recueillir des retours d</w:t>
            </w:r>
            <w:r w:rsidR="00E14E13">
              <w:rPr>
                <w:rFonts w:asciiTheme="minorHAnsi" w:hAnsiTheme="minorHAnsi" w:cstheme="minorHAnsi"/>
                <w:sz w:val="18"/>
                <w:szCs w:val="18"/>
              </w:rPr>
              <w:t>'</w:t>
            </w:r>
            <w:r w:rsidRPr="003F0D2A">
              <w:rPr>
                <w:rFonts w:asciiTheme="minorHAnsi" w:hAnsiTheme="minorHAnsi" w:cstheme="minorHAnsi"/>
                <w:sz w:val="18"/>
                <w:szCs w:val="18"/>
              </w:rPr>
              <w:t>information sur la santé et le bien</w:t>
            </w:r>
            <w:r w:rsidRPr="003F0D2A">
              <w:rPr>
                <w:rFonts w:asciiTheme="minorHAnsi" w:hAnsiTheme="minorHAnsi" w:cstheme="minorHAnsi"/>
                <w:sz w:val="18"/>
                <w:szCs w:val="18"/>
              </w:rPr>
              <w:noBreakHyphen/>
              <w:t>être du personnel afin que les responsables puissent bénéficier d</w:t>
            </w:r>
            <w:r w:rsidR="00E14E13">
              <w:rPr>
                <w:rFonts w:asciiTheme="minorHAnsi" w:hAnsiTheme="minorHAnsi" w:cstheme="minorHAnsi"/>
                <w:sz w:val="18"/>
                <w:szCs w:val="18"/>
              </w:rPr>
              <w:t>'</w:t>
            </w:r>
            <w:r w:rsidRPr="003F0D2A">
              <w:rPr>
                <w:rFonts w:asciiTheme="minorHAnsi" w:hAnsiTheme="minorHAnsi" w:cstheme="minorHAnsi"/>
                <w:sz w:val="18"/>
                <w:szCs w:val="18"/>
              </w:rPr>
              <w:t>informations utiles lorsqu</w:t>
            </w:r>
            <w:r w:rsidR="00E14E13">
              <w:rPr>
                <w:rFonts w:asciiTheme="minorHAnsi" w:hAnsiTheme="minorHAnsi" w:cstheme="minorHAnsi"/>
                <w:sz w:val="18"/>
                <w:szCs w:val="18"/>
              </w:rPr>
              <w:t>'</w:t>
            </w:r>
            <w:r w:rsidRPr="003F0D2A">
              <w:rPr>
                <w:rFonts w:asciiTheme="minorHAnsi" w:hAnsiTheme="minorHAnsi" w:cstheme="minorHAnsi"/>
                <w:sz w:val="18"/>
                <w:szCs w:val="18"/>
              </w:rPr>
              <w:t>ils définissent les priorités dans le cadre des travaux en cours, de manière à mieux cibler les stratégies et interventions futures sur le plan psychosocial et sur le plan du bien</w:t>
            </w:r>
            <w:r w:rsidRPr="003F0D2A">
              <w:rPr>
                <w:rFonts w:asciiTheme="minorHAnsi" w:hAnsiTheme="minorHAnsi" w:cstheme="minorHAnsi"/>
                <w:sz w:val="18"/>
                <w:szCs w:val="18"/>
              </w:rPr>
              <w:noBreakHyphen/>
              <w:t>être</w:t>
            </w:r>
          </w:p>
        </w:tc>
        <w:tc>
          <w:tcPr>
            <w:tcW w:w="2005" w:type="dxa"/>
            <w:tcBorders>
              <w:left w:val="single" w:sz="4" w:space="0" w:color="auto"/>
            </w:tcBorders>
            <w:shd w:val="clear" w:color="auto" w:fill="C2D69B" w:themeFill="accent3" w:themeFillTint="99"/>
          </w:tcPr>
          <w:p w14:paraId="42FE4A53" w14:textId="77777777" w:rsidR="007F43CA" w:rsidRPr="003F0D2A" w:rsidRDefault="007F43CA" w:rsidP="001D32F6">
            <w:pPr>
              <w:pStyle w:val="Tabletext"/>
              <w:keepNext/>
              <w:keepLines/>
              <w:tabs>
                <w:tab w:val="left" w:pos="169"/>
              </w:tabs>
              <w:ind w:left="178" w:hanging="178"/>
              <w:rPr>
                <w:rFonts w:asciiTheme="minorHAnsi" w:hAnsiTheme="minorHAnsi" w:cstheme="minorHAnsi"/>
                <w:sz w:val="18"/>
                <w:szCs w:val="18"/>
              </w:rPr>
            </w:pPr>
            <w:r w:rsidRPr="003F0D2A">
              <w:rPr>
                <w:rFonts w:asciiTheme="minorHAnsi" w:hAnsiTheme="minorHAnsi" w:cstheme="minorHAnsi"/>
                <w:sz w:val="18"/>
                <w:szCs w:val="18"/>
              </w:rPr>
              <w:t>•</w:t>
            </w:r>
            <w:r w:rsidRPr="003F0D2A">
              <w:rPr>
                <w:rFonts w:asciiTheme="minorHAnsi" w:hAnsiTheme="minorHAnsi" w:cstheme="minorHAnsi"/>
                <w:sz w:val="18"/>
                <w:szCs w:val="18"/>
              </w:rPr>
              <w:tab/>
              <w:t>Enquêtes annuelles auprès du personnel</w:t>
            </w:r>
          </w:p>
        </w:tc>
        <w:tc>
          <w:tcPr>
            <w:tcW w:w="1948" w:type="dxa"/>
            <w:shd w:val="clear" w:color="auto" w:fill="C2D69B" w:themeFill="accent3" w:themeFillTint="99"/>
          </w:tcPr>
          <w:p w14:paraId="307631FD" w14:textId="77777777" w:rsidR="007F43CA" w:rsidRPr="003F0D2A" w:rsidRDefault="007F43CA" w:rsidP="001D32F6">
            <w:pPr>
              <w:pStyle w:val="Tabletext"/>
              <w:keepNext/>
              <w:keepLines/>
              <w:rPr>
                <w:rFonts w:asciiTheme="minorHAnsi" w:hAnsiTheme="minorHAnsi" w:cstheme="minorHAnsi"/>
                <w:sz w:val="18"/>
                <w:szCs w:val="18"/>
              </w:rPr>
            </w:pPr>
            <w:r w:rsidRPr="003F0D2A">
              <w:rPr>
                <w:rFonts w:asciiTheme="minorHAnsi" w:hAnsiTheme="minorHAnsi" w:cstheme="minorHAnsi"/>
                <w:sz w:val="18"/>
                <w:szCs w:val="18"/>
              </w:rPr>
              <w:t>HRMD</w:t>
            </w:r>
          </w:p>
          <w:p w14:paraId="41687699" w14:textId="77777777" w:rsidR="007F43CA" w:rsidRPr="003F0D2A" w:rsidRDefault="007F43CA" w:rsidP="001D32F6">
            <w:pPr>
              <w:pStyle w:val="Tabletext"/>
              <w:keepNext/>
              <w:keepLines/>
              <w:rPr>
                <w:rFonts w:asciiTheme="minorHAnsi" w:hAnsiTheme="minorHAnsi" w:cstheme="minorHAnsi"/>
                <w:sz w:val="18"/>
                <w:szCs w:val="18"/>
              </w:rPr>
            </w:pPr>
            <w:r w:rsidRPr="003F0D2A">
              <w:rPr>
                <w:rFonts w:asciiTheme="minorHAnsi" w:hAnsiTheme="minorHAnsi" w:cstheme="minorHAnsi"/>
                <w:sz w:val="18"/>
                <w:szCs w:val="18"/>
              </w:rPr>
              <w:t>Conseiller du personnel</w:t>
            </w:r>
          </w:p>
          <w:p w14:paraId="5F9AB48E" w14:textId="77777777" w:rsidR="007F43CA" w:rsidRPr="003F0D2A" w:rsidRDefault="007F43CA" w:rsidP="001D32F6">
            <w:pPr>
              <w:pStyle w:val="Tabletext"/>
              <w:keepNext/>
              <w:keepLines/>
              <w:rPr>
                <w:rFonts w:asciiTheme="minorHAnsi" w:hAnsiTheme="minorHAnsi" w:cstheme="minorHAnsi"/>
                <w:sz w:val="18"/>
                <w:szCs w:val="18"/>
              </w:rPr>
            </w:pPr>
            <w:r w:rsidRPr="003F0D2A">
              <w:rPr>
                <w:rFonts w:asciiTheme="minorHAnsi" w:hAnsiTheme="minorHAnsi" w:cstheme="minorHAnsi"/>
                <w:sz w:val="18"/>
                <w:szCs w:val="18"/>
              </w:rPr>
              <w:t xml:space="preserve">Conseil du personnel </w:t>
            </w:r>
          </w:p>
          <w:p w14:paraId="4D0D97C8" w14:textId="77777777" w:rsidR="007F43CA" w:rsidRPr="003F0D2A" w:rsidRDefault="007F43CA" w:rsidP="001D32F6">
            <w:pPr>
              <w:pStyle w:val="Tabletext"/>
              <w:keepNext/>
              <w:keepLines/>
              <w:rPr>
                <w:rFonts w:asciiTheme="minorHAnsi" w:hAnsiTheme="minorHAnsi" w:cstheme="minorHAnsi"/>
                <w:sz w:val="18"/>
                <w:szCs w:val="18"/>
              </w:rPr>
            </w:pPr>
            <w:r w:rsidRPr="003F0D2A">
              <w:rPr>
                <w:rFonts w:asciiTheme="minorHAnsi" w:hAnsiTheme="minorHAnsi" w:cstheme="minorHAnsi"/>
                <w:sz w:val="18"/>
                <w:szCs w:val="18"/>
              </w:rPr>
              <w:t>ISD</w:t>
            </w:r>
          </w:p>
        </w:tc>
        <w:tc>
          <w:tcPr>
            <w:tcW w:w="1466" w:type="dxa"/>
            <w:shd w:val="clear" w:color="auto" w:fill="C2D69B" w:themeFill="accent3" w:themeFillTint="99"/>
          </w:tcPr>
          <w:p w14:paraId="1D84B896" w14:textId="77777777" w:rsidR="007F43CA" w:rsidRPr="003F0D2A" w:rsidRDefault="007F43CA" w:rsidP="001D32F6">
            <w:pPr>
              <w:pStyle w:val="Tabletext"/>
              <w:keepNext/>
              <w:keepLines/>
              <w:rPr>
                <w:rFonts w:asciiTheme="minorHAnsi" w:hAnsiTheme="minorHAnsi" w:cstheme="minorHAnsi"/>
                <w:sz w:val="18"/>
                <w:szCs w:val="18"/>
              </w:rPr>
            </w:pPr>
            <w:r w:rsidRPr="003F0D2A">
              <w:rPr>
                <w:rFonts w:asciiTheme="minorHAnsi" w:hAnsiTheme="minorHAnsi" w:cstheme="minorHAnsi"/>
                <w:sz w:val="18"/>
                <w:szCs w:val="18"/>
              </w:rPr>
              <w:t>Annuelle</w:t>
            </w:r>
          </w:p>
        </w:tc>
        <w:tc>
          <w:tcPr>
            <w:tcW w:w="4536" w:type="dxa"/>
            <w:shd w:val="clear" w:color="auto" w:fill="C2D69B" w:themeFill="accent3" w:themeFillTint="99"/>
          </w:tcPr>
          <w:p w14:paraId="60946D59" w14:textId="4AA2F592" w:rsidR="007F43CA" w:rsidRPr="00402EF4" w:rsidRDefault="00492E34" w:rsidP="001D32F6">
            <w:pPr>
              <w:pStyle w:val="Tabletext"/>
              <w:keepNext/>
              <w:keepLines/>
              <w:rPr>
                <w:sz w:val="18"/>
                <w:szCs w:val="18"/>
              </w:rPr>
            </w:pPr>
            <w:r w:rsidRPr="00402EF4">
              <w:rPr>
                <w:sz w:val="18"/>
                <w:szCs w:val="18"/>
              </w:rPr>
              <w:t>Enquête sur le bien-être</w:t>
            </w:r>
            <w:r w:rsidR="00556770" w:rsidRPr="00402EF4">
              <w:rPr>
                <w:sz w:val="18"/>
                <w:szCs w:val="18"/>
              </w:rPr>
              <w:t xml:space="preserve"> réalisée en </w:t>
            </w:r>
            <w:r w:rsidRPr="00402EF4">
              <w:rPr>
                <w:sz w:val="18"/>
                <w:szCs w:val="18"/>
              </w:rPr>
              <w:t>avril 2021</w:t>
            </w:r>
            <w:r w:rsidR="007F43CA" w:rsidRPr="00402EF4">
              <w:rPr>
                <w:sz w:val="18"/>
                <w:szCs w:val="18"/>
              </w:rPr>
              <w:t>:</w:t>
            </w:r>
            <w:r w:rsidRPr="00402EF4">
              <w:rPr>
                <w:sz w:val="18"/>
                <w:szCs w:val="18"/>
              </w:rPr>
              <w:t xml:space="preserve"> utilisation accrue des technologies numériques dans le cadre du télétravail en période de confinement. </w:t>
            </w:r>
          </w:p>
          <w:p w14:paraId="4023A08C" w14:textId="1C5D4791" w:rsidR="007F43CA" w:rsidRPr="00402EF4" w:rsidRDefault="00492E34" w:rsidP="001D32F6">
            <w:pPr>
              <w:pStyle w:val="Tabletext"/>
              <w:keepNext/>
              <w:keepLines/>
              <w:rPr>
                <w:sz w:val="18"/>
                <w:szCs w:val="18"/>
              </w:rPr>
            </w:pPr>
            <w:r w:rsidRPr="00402EF4">
              <w:rPr>
                <w:sz w:val="18"/>
                <w:szCs w:val="18"/>
              </w:rPr>
              <w:t>L</w:t>
            </w:r>
            <w:r w:rsidR="00E14E13" w:rsidRPr="00402EF4">
              <w:rPr>
                <w:sz w:val="18"/>
                <w:szCs w:val="18"/>
              </w:rPr>
              <w:t>'</w:t>
            </w:r>
            <w:r w:rsidRPr="00402EF4">
              <w:rPr>
                <w:sz w:val="18"/>
                <w:szCs w:val="18"/>
              </w:rPr>
              <w:t>enquête de l</w:t>
            </w:r>
            <w:r w:rsidR="00E14E13" w:rsidRPr="00402EF4">
              <w:rPr>
                <w:sz w:val="18"/>
                <w:szCs w:val="18"/>
              </w:rPr>
              <w:t>'</w:t>
            </w:r>
            <w:r w:rsidRPr="00402EF4">
              <w:rPr>
                <w:sz w:val="18"/>
                <w:szCs w:val="18"/>
              </w:rPr>
              <w:t>UIT sur le bien-être, à laquelle 434</w:t>
            </w:r>
            <w:r w:rsidR="003F0D2A" w:rsidRPr="00402EF4">
              <w:rPr>
                <w:sz w:val="18"/>
                <w:szCs w:val="18"/>
              </w:rPr>
              <w:t> </w:t>
            </w:r>
            <w:r w:rsidRPr="00402EF4">
              <w:rPr>
                <w:sz w:val="18"/>
                <w:szCs w:val="18"/>
              </w:rPr>
              <w:t>participants ont répondu, était disponible en anglais et en français et a permis aux fonctionnaires de soumettre leurs vues concernant l</w:t>
            </w:r>
            <w:r w:rsidR="00E14E13" w:rsidRPr="00402EF4">
              <w:rPr>
                <w:sz w:val="18"/>
                <w:szCs w:val="18"/>
              </w:rPr>
              <w:t>'</w:t>
            </w:r>
            <w:r w:rsidRPr="00402EF4">
              <w:rPr>
                <w:sz w:val="18"/>
                <w:szCs w:val="18"/>
              </w:rPr>
              <w:t>utilisation accrue des technologies numériques dans le cadre du télétravail durant les périodes de confinement liées à la pandémie de COVID-19. Deux outils ayant fait l</w:t>
            </w:r>
            <w:r w:rsidR="00E14E13" w:rsidRPr="00402EF4">
              <w:rPr>
                <w:sz w:val="18"/>
                <w:szCs w:val="18"/>
              </w:rPr>
              <w:t>'</w:t>
            </w:r>
            <w:r w:rsidRPr="00402EF4">
              <w:rPr>
                <w:sz w:val="18"/>
                <w:szCs w:val="18"/>
              </w:rPr>
              <w:t>objet d</w:t>
            </w:r>
            <w:r w:rsidR="00E14E13" w:rsidRPr="00402EF4">
              <w:rPr>
                <w:sz w:val="18"/>
                <w:szCs w:val="18"/>
              </w:rPr>
              <w:t>'</w:t>
            </w:r>
            <w:r w:rsidRPr="00402EF4">
              <w:rPr>
                <w:sz w:val="18"/>
                <w:szCs w:val="18"/>
              </w:rPr>
              <w:t>une validation au niveau international ont été sélectionnés pour évaluer le niveau de stress psychologique (PSM-9) et de bien-être (</w:t>
            </w:r>
            <w:r w:rsidR="0093113D" w:rsidRPr="00402EF4">
              <w:rPr>
                <w:sz w:val="18"/>
                <w:szCs w:val="18"/>
              </w:rPr>
              <w:t>WHO-5) des fonctionnaires. Le questionnaire s</w:t>
            </w:r>
            <w:r w:rsidR="00E14E13" w:rsidRPr="00402EF4">
              <w:rPr>
                <w:sz w:val="18"/>
                <w:szCs w:val="18"/>
              </w:rPr>
              <w:t>'</w:t>
            </w:r>
            <w:r w:rsidR="0093113D" w:rsidRPr="00402EF4">
              <w:rPr>
                <w:sz w:val="18"/>
                <w:szCs w:val="18"/>
              </w:rPr>
              <w:t>inscrivait dans le cadre d</w:t>
            </w:r>
            <w:r w:rsidR="00E14E13" w:rsidRPr="00402EF4">
              <w:rPr>
                <w:sz w:val="18"/>
                <w:szCs w:val="18"/>
              </w:rPr>
              <w:t>'</w:t>
            </w:r>
            <w:r w:rsidR="0093113D" w:rsidRPr="00402EF4">
              <w:rPr>
                <w:sz w:val="18"/>
                <w:szCs w:val="18"/>
              </w:rPr>
              <w:t>un travail de recherche (comprenant des données qualitatives) et visait à appliquer une approche fondée sur des données factuelles en vue de renforcer les services internes et de mieux favoriser le bien-être des fonctionnaires. Les résultats de cette enquête ont mont</w:t>
            </w:r>
            <w:r w:rsidR="00723277">
              <w:rPr>
                <w:sz w:val="18"/>
                <w:szCs w:val="18"/>
              </w:rPr>
              <w:t>r</w:t>
            </w:r>
            <w:r w:rsidR="0093113D" w:rsidRPr="00402EF4">
              <w:rPr>
                <w:sz w:val="18"/>
                <w:szCs w:val="18"/>
              </w:rPr>
              <w:t xml:space="preserve">é une forte corrélation entre le stress </w:t>
            </w:r>
            <w:r w:rsidR="00556770" w:rsidRPr="00402EF4">
              <w:rPr>
                <w:sz w:val="18"/>
                <w:szCs w:val="18"/>
              </w:rPr>
              <w:t>ou</w:t>
            </w:r>
            <w:r w:rsidR="0093113D" w:rsidRPr="00402EF4">
              <w:rPr>
                <w:sz w:val="18"/>
                <w:szCs w:val="18"/>
              </w:rPr>
              <w:t xml:space="preserve"> le bien-être</w:t>
            </w:r>
            <w:r w:rsidR="00556770" w:rsidRPr="00402EF4">
              <w:rPr>
                <w:sz w:val="18"/>
                <w:szCs w:val="18"/>
              </w:rPr>
              <w:t xml:space="preserve"> et </w:t>
            </w:r>
            <w:r w:rsidR="0093113D" w:rsidRPr="00402EF4">
              <w:rPr>
                <w:sz w:val="18"/>
                <w:szCs w:val="18"/>
              </w:rPr>
              <w:t>l</w:t>
            </w:r>
            <w:r w:rsidR="00E14E13" w:rsidRPr="00402EF4">
              <w:rPr>
                <w:sz w:val="18"/>
                <w:szCs w:val="18"/>
              </w:rPr>
              <w:t>'</w:t>
            </w:r>
            <w:r w:rsidR="0093113D" w:rsidRPr="00402EF4">
              <w:rPr>
                <w:sz w:val="18"/>
                <w:szCs w:val="18"/>
              </w:rPr>
              <w:t>utilisation des outils numériques. Les résultats obtenus au moyen de l</w:t>
            </w:r>
            <w:r w:rsidR="00E14E13" w:rsidRPr="00402EF4">
              <w:rPr>
                <w:sz w:val="18"/>
                <w:szCs w:val="18"/>
              </w:rPr>
              <w:t>'</w:t>
            </w:r>
            <w:r w:rsidR="0093113D" w:rsidRPr="00402EF4">
              <w:rPr>
                <w:sz w:val="18"/>
                <w:szCs w:val="18"/>
              </w:rPr>
              <w:t>outil PSM-9 montrent que 52% des fonctionnaires se sentent plus stressés que la moyenne, et que 7% sont soumis à un stress extrême. L</w:t>
            </w:r>
            <w:r w:rsidR="00E14E13" w:rsidRPr="00402EF4">
              <w:rPr>
                <w:sz w:val="18"/>
                <w:szCs w:val="18"/>
              </w:rPr>
              <w:t>'</w:t>
            </w:r>
            <w:r w:rsidR="0093113D" w:rsidRPr="00402EF4">
              <w:rPr>
                <w:sz w:val="18"/>
                <w:szCs w:val="18"/>
              </w:rPr>
              <w:t xml:space="preserve">indice sur le bien-être </w:t>
            </w:r>
            <w:r w:rsidR="006072B3" w:rsidRPr="00402EF4">
              <w:rPr>
                <w:sz w:val="18"/>
                <w:szCs w:val="18"/>
              </w:rPr>
              <w:t xml:space="preserve">WHO-5 a montré une légère baisse du niveau de bien-être des fonctionnaires </w:t>
            </w:r>
            <w:r w:rsidR="007F43CA" w:rsidRPr="00402EF4">
              <w:rPr>
                <w:sz w:val="18"/>
                <w:szCs w:val="18"/>
              </w:rPr>
              <w:t>(</w:t>
            </w:r>
            <w:r w:rsidR="006072B3" w:rsidRPr="00402EF4">
              <w:rPr>
                <w:sz w:val="18"/>
                <w:szCs w:val="18"/>
              </w:rPr>
              <w:t xml:space="preserve">qui est passé de </w:t>
            </w:r>
            <w:r w:rsidR="007F43CA" w:rsidRPr="00402EF4">
              <w:rPr>
                <w:sz w:val="18"/>
                <w:szCs w:val="18"/>
              </w:rPr>
              <w:t xml:space="preserve">72% </w:t>
            </w:r>
            <w:r w:rsidR="006072B3" w:rsidRPr="00402EF4">
              <w:rPr>
                <w:sz w:val="18"/>
                <w:szCs w:val="18"/>
              </w:rPr>
              <w:t>à</w:t>
            </w:r>
            <w:r w:rsidR="007F43CA" w:rsidRPr="00402EF4">
              <w:rPr>
                <w:sz w:val="18"/>
                <w:szCs w:val="18"/>
              </w:rPr>
              <w:t xml:space="preserve"> 67</w:t>
            </w:r>
            <w:r w:rsidR="006072B3" w:rsidRPr="00402EF4">
              <w:rPr>
                <w:sz w:val="18"/>
                <w:szCs w:val="18"/>
              </w:rPr>
              <w:t>,</w:t>
            </w:r>
            <w:r w:rsidR="007F43CA" w:rsidRPr="00402EF4">
              <w:rPr>
                <w:sz w:val="18"/>
                <w:szCs w:val="18"/>
              </w:rPr>
              <w:t xml:space="preserve">5%) </w:t>
            </w:r>
            <w:r w:rsidR="006072B3" w:rsidRPr="00402EF4">
              <w:rPr>
                <w:sz w:val="18"/>
                <w:szCs w:val="18"/>
              </w:rPr>
              <w:t xml:space="preserve">et une augmentation du nombre de fonctionnaires qui se sentent moins bien </w:t>
            </w:r>
            <w:r w:rsidR="007F43CA" w:rsidRPr="00402EF4">
              <w:rPr>
                <w:sz w:val="18"/>
                <w:szCs w:val="18"/>
              </w:rPr>
              <w:t>(</w:t>
            </w:r>
            <w:r w:rsidR="006072B3" w:rsidRPr="00402EF4">
              <w:rPr>
                <w:sz w:val="18"/>
                <w:szCs w:val="18"/>
              </w:rPr>
              <w:t xml:space="preserve">de </w:t>
            </w:r>
            <w:r w:rsidR="007F43CA" w:rsidRPr="00402EF4">
              <w:rPr>
                <w:sz w:val="18"/>
                <w:szCs w:val="18"/>
              </w:rPr>
              <w:t xml:space="preserve">28% </w:t>
            </w:r>
            <w:r w:rsidR="006072B3" w:rsidRPr="00402EF4">
              <w:rPr>
                <w:sz w:val="18"/>
                <w:szCs w:val="18"/>
              </w:rPr>
              <w:t>à</w:t>
            </w:r>
            <w:r w:rsidR="00723277">
              <w:rPr>
                <w:sz w:val="18"/>
                <w:szCs w:val="18"/>
              </w:rPr>
              <w:t xml:space="preserve"> 32,</w:t>
            </w:r>
            <w:r w:rsidR="007F43CA" w:rsidRPr="00402EF4">
              <w:rPr>
                <w:sz w:val="18"/>
                <w:szCs w:val="18"/>
              </w:rPr>
              <w:t xml:space="preserve">5%) </w:t>
            </w:r>
            <w:r w:rsidR="006072B3" w:rsidRPr="00402EF4">
              <w:rPr>
                <w:sz w:val="18"/>
                <w:szCs w:val="18"/>
              </w:rPr>
              <w:t>par rapport à l</w:t>
            </w:r>
            <w:r w:rsidR="00E14E13" w:rsidRPr="00402EF4">
              <w:rPr>
                <w:sz w:val="18"/>
                <w:szCs w:val="18"/>
              </w:rPr>
              <w:t>'</w:t>
            </w:r>
            <w:r w:rsidR="006072B3" w:rsidRPr="00402EF4">
              <w:rPr>
                <w:sz w:val="18"/>
                <w:szCs w:val="18"/>
              </w:rPr>
              <w:t>enquête sur le bien-être menée en 2020</w:t>
            </w:r>
            <w:r w:rsidR="007F43CA" w:rsidRPr="00402EF4">
              <w:rPr>
                <w:sz w:val="18"/>
                <w:szCs w:val="18"/>
              </w:rPr>
              <w:t>.</w:t>
            </w:r>
            <w:r w:rsidR="006072B3" w:rsidRPr="00402EF4">
              <w:rPr>
                <w:sz w:val="18"/>
                <w:szCs w:val="18"/>
              </w:rPr>
              <w:t xml:space="preserve"> Une </w:t>
            </w:r>
            <w:r w:rsidR="009B5059" w:rsidRPr="00402EF4">
              <w:rPr>
                <w:sz w:val="18"/>
                <w:szCs w:val="18"/>
              </w:rPr>
              <w:t>analyse</w:t>
            </w:r>
            <w:r w:rsidR="006072B3" w:rsidRPr="00402EF4">
              <w:rPr>
                <w:sz w:val="18"/>
                <w:szCs w:val="18"/>
              </w:rPr>
              <w:t xml:space="preserve"> quantitative a été communiquée au Comité de coordination, les domaines de préoccupation ayant été mis en évidence et fai</w:t>
            </w:r>
            <w:r w:rsidR="009B5059" w:rsidRPr="00402EF4">
              <w:rPr>
                <w:sz w:val="18"/>
                <w:szCs w:val="18"/>
              </w:rPr>
              <w:t>sant</w:t>
            </w:r>
            <w:r w:rsidR="006072B3" w:rsidRPr="00402EF4">
              <w:rPr>
                <w:sz w:val="18"/>
                <w:szCs w:val="18"/>
              </w:rPr>
              <w:t xml:space="preserve"> l</w:t>
            </w:r>
            <w:r w:rsidR="00E14E13" w:rsidRPr="00402EF4">
              <w:rPr>
                <w:sz w:val="18"/>
                <w:szCs w:val="18"/>
              </w:rPr>
              <w:t>'</w:t>
            </w:r>
            <w:r w:rsidR="006072B3" w:rsidRPr="00402EF4">
              <w:rPr>
                <w:sz w:val="18"/>
                <w:szCs w:val="18"/>
              </w:rPr>
              <w:t>objet de recommandations. La prochaine étape consiste</w:t>
            </w:r>
            <w:r w:rsidR="003D43F3" w:rsidRPr="00402EF4">
              <w:rPr>
                <w:sz w:val="18"/>
                <w:szCs w:val="18"/>
              </w:rPr>
              <w:t>ra</w:t>
            </w:r>
            <w:r w:rsidR="006072B3" w:rsidRPr="00402EF4">
              <w:rPr>
                <w:sz w:val="18"/>
                <w:szCs w:val="18"/>
              </w:rPr>
              <w:t xml:space="preserve"> à présenter les résultats au Conseil du personnel et à l</w:t>
            </w:r>
            <w:r w:rsidR="00E14E13" w:rsidRPr="00402EF4">
              <w:rPr>
                <w:sz w:val="18"/>
                <w:szCs w:val="18"/>
              </w:rPr>
              <w:t>'</w:t>
            </w:r>
            <w:r w:rsidR="006072B3" w:rsidRPr="00402EF4">
              <w:rPr>
                <w:sz w:val="18"/>
                <w:szCs w:val="18"/>
              </w:rPr>
              <w:t>ensemble des fonctionnaires</w:t>
            </w:r>
            <w:r w:rsidR="007F43CA" w:rsidRPr="00402EF4">
              <w:rPr>
                <w:sz w:val="18"/>
                <w:szCs w:val="18"/>
              </w:rPr>
              <w:t>.</w:t>
            </w:r>
          </w:p>
        </w:tc>
      </w:tr>
      <w:tr w:rsidR="007F43CA" w:rsidRPr="00B651E4" w14:paraId="48252FE0" w14:textId="77777777" w:rsidTr="007F43CA">
        <w:tc>
          <w:tcPr>
            <w:tcW w:w="580" w:type="dxa"/>
            <w:tcBorders>
              <w:top w:val="single" w:sz="4" w:space="0" w:color="auto"/>
              <w:left w:val="single" w:sz="4" w:space="0" w:color="auto"/>
              <w:right w:val="single" w:sz="4" w:space="0" w:color="auto"/>
            </w:tcBorders>
            <w:shd w:val="clear" w:color="auto" w:fill="C2D69B" w:themeFill="accent3" w:themeFillTint="99"/>
          </w:tcPr>
          <w:p w14:paraId="59BC2061" w14:textId="77777777" w:rsidR="007F43CA" w:rsidRPr="003F0D2A" w:rsidRDefault="007F43CA" w:rsidP="001D32F6">
            <w:pPr>
              <w:pStyle w:val="Tabletext"/>
              <w:rPr>
                <w:rFonts w:asciiTheme="minorHAnsi" w:hAnsiTheme="minorHAnsi" w:cstheme="minorHAnsi"/>
                <w:sz w:val="18"/>
                <w:szCs w:val="18"/>
              </w:rPr>
            </w:pPr>
            <w:bookmarkStart w:id="13" w:name="_Hlk70515132"/>
            <w:r w:rsidRPr="003F0D2A">
              <w:rPr>
                <w:rFonts w:asciiTheme="minorHAnsi" w:hAnsiTheme="minorHAnsi" w:cstheme="minorHAnsi"/>
                <w:sz w:val="18"/>
                <w:szCs w:val="18"/>
              </w:rPr>
              <w:lastRenderedPageBreak/>
              <w:t>4.4</w:t>
            </w:r>
          </w:p>
        </w:tc>
        <w:tc>
          <w:tcPr>
            <w:tcW w:w="1345" w:type="dxa"/>
            <w:tcBorders>
              <w:top w:val="single" w:sz="4" w:space="0" w:color="auto"/>
              <w:left w:val="single" w:sz="4" w:space="0" w:color="auto"/>
              <w:right w:val="single" w:sz="4" w:space="0" w:color="auto"/>
            </w:tcBorders>
            <w:shd w:val="clear" w:color="auto" w:fill="C2D69B" w:themeFill="accent3" w:themeFillTint="99"/>
          </w:tcPr>
          <w:p w14:paraId="2132FC56" w14:textId="77777777" w:rsidR="007F43CA" w:rsidRPr="003F0D2A" w:rsidRDefault="007F43CA"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Assurance UNSMIS</w:t>
            </w:r>
          </w:p>
        </w:tc>
        <w:tc>
          <w:tcPr>
            <w:tcW w:w="214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C073394" w14:textId="0E599151" w:rsidR="007F43CA" w:rsidRPr="003F0D2A" w:rsidRDefault="007F43CA"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Intégration des assurés de l</w:t>
            </w:r>
            <w:r w:rsidR="00E14E13">
              <w:rPr>
                <w:rFonts w:asciiTheme="minorHAnsi" w:hAnsiTheme="minorHAnsi" w:cstheme="minorHAnsi"/>
                <w:sz w:val="18"/>
                <w:szCs w:val="18"/>
              </w:rPr>
              <w:t>'</w:t>
            </w:r>
            <w:r w:rsidRPr="003F0D2A">
              <w:rPr>
                <w:rFonts w:asciiTheme="minorHAnsi" w:hAnsiTheme="minorHAnsi" w:cstheme="minorHAnsi"/>
                <w:sz w:val="18"/>
                <w:szCs w:val="18"/>
              </w:rPr>
              <w:t>UIT dans l</w:t>
            </w:r>
            <w:r w:rsidR="00E14E13">
              <w:rPr>
                <w:rFonts w:asciiTheme="minorHAnsi" w:hAnsiTheme="minorHAnsi" w:cstheme="minorHAnsi"/>
                <w:sz w:val="18"/>
                <w:szCs w:val="18"/>
              </w:rPr>
              <w:t>'</w:t>
            </w:r>
            <w:r w:rsidRPr="003F0D2A">
              <w:rPr>
                <w:rFonts w:asciiTheme="minorHAnsi" w:hAnsiTheme="minorHAnsi" w:cstheme="minorHAnsi"/>
                <w:sz w:val="18"/>
                <w:szCs w:val="18"/>
              </w:rPr>
              <w:t>UNSMIS</w:t>
            </w:r>
          </w:p>
        </w:tc>
        <w:tc>
          <w:tcPr>
            <w:tcW w:w="2005" w:type="dxa"/>
            <w:tcBorders>
              <w:left w:val="single" w:sz="4" w:space="0" w:color="auto"/>
            </w:tcBorders>
            <w:shd w:val="clear" w:color="auto" w:fill="C2D69B" w:themeFill="accent3" w:themeFillTint="99"/>
          </w:tcPr>
          <w:p w14:paraId="7B52816A" w14:textId="77777777" w:rsidR="007F43CA" w:rsidRPr="003F0D2A" w:rsidRDefault="007F43CA" w:rsidP="001D32F6">
            <w:pPr>
              <w:pStyle w:val="Tabletext"/>
              <w:rPr>
                <w:rFonts w:asciiTheme="minorHAnsi" w:hAnsiTheme="minorHAnsi" w:cstheme="minorHAnsi"/>
                <w:sz w:val="18"/>
                <w:szCs w:val="18"/>
              </w:rPr>
            </w:pPr>
          </w:p>
        </w:tc>
        <w:tc>
          <w:tcPr>
            <w:tcW w:w="1948" w:type="dxa"/>
            <w:shd w:val="clear" w:color="auto" w:fill="C2D69B" w:themeFill="accent3" w:themeFillTint="99"/>
          </w:tcPr>
          <w:p w14:paraId="273BB8BE" w14:textId="77777777" w:rsidR="007F43CA" w:rsidRPr="003F0D2A" w:rsidRDefault="007F43CA"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HRMD – SSBW &amp; ISD – ERP</w:t>
            </w:r>
          </w:p>
        </w:tc>
        <w:tc>
          <w:tcPr>
            <w:tcW w:w="1466" w:type="dxa"/>
            <w:shd w:val="clear" w:color="auto" w:fill="C2D69B" w:themeFill="accent3" w:themeFillTint="99"/>
          </w:tcPr>
          <w:p w14:paraId="392B26F8" w14:textId="77777777" w:rsidR="007F43CA" w:rsidRPr="003F0D2A" w:rsidRDefault="007F43CA"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2020</w:t>
            </w:r>
          </w:p>
        </w:tc>
        <w:tc>
          <w:tcPr>
            <w:tcW w:w="4536" w:type="dxa"/>
            <w:shd w:val="clear" w:color="auto" w:fill="C2D69B" w:themeFill="accent3" w:themeFillTint="99"/>
          </w:tcPr>
          <w:p w14:paraId="5D688884" w14:textId="39C2DF47" w:rsidR="007F43CA" w:rsidRPr="003F0D2A" w:rsidRDefault="006072B3"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Cette initiative a é</w:t>
            </w:r>
            <w:r w:rsidR="009B5059" w:rsidRPr="003F0D2A">
              <w:rPr>
                <w:rFonts w:asciiTheme="minorHAnsi" w:hAnsiTheme="minorHAnsi" w:cstheme="minorHAnsi"/>
                <w:sz w:val="18"/>
                <w:szCs w:val="18"/>
              </w:rPr>
              <w:t>té</w:t>
            </w:r>
            <w:r w:rsidRPr="003F0D2A">
              <w:rPr>
                <w:rFonts w:asciiTheme="minorHAnsi" w:hAnsiTheme="minorHAnsi" w:cstheme="minorHAnsi"/>
                <w:sz w:val="18"/>
                <w:szCs w:val="18"/>
              </w:rPr>
              <w:t xml:space="preserve"> mis</w:t>
            </w:r>
            <w:r w:rsidR="009B5059" w:rsidRPr="003F0D2A">
              <w:rPr>
                <w:rFonts w:asciiTheme="minorHAnsi" w:hAnsiTheme="minorHAnsi" w:cstheme="minorHAnsi"/>
                <w:sz w:val="18"/>
                <w:szCs w:val="18"/>
              </w:rPr>
              <w:t>e</w:t>
            </w:r>
            <w:r w:rsidRPr="003F0D2A">
              <w:rPr>
                <w:rFonts w:asciiTheme="minorHAnsi" w:hAnsiTheme="minorHAnsi" w:cstheme="minorHAnsi"/>
                <w:sz w:val="18"/>
                <w:szCs w:val="18"/>
              </w:rPr>
              <w:t xml:space="preserve"> en </w:t>
            </w:r>
            <w:r w:rsidR="009B5059" w:rsidRPr="003F0D2A">
              <w:rPr>
                <w:rFonts w:asciiTheme="minorHAnsi" w:hAnsiTheme="minorHAnsi" w:cstheme="minorHAnsi"/>
                <w:sz w:val="18"/>
                <w:szCs w:val="18"/>
              </w:rPr>
              <w:t>œuvre</w:t>
            </w:r>
            <w:r w:rsidRPr="003F0D2A">
              <w:rPr>
                <w:rFonts w:asciiTheme="minorHAnsi" w:hAnsiTheme="minorHAnsi" w:cstheme="minorHAnsi"/>
                <w:sz w:val="18"/>
                <w:szCs w:val="18"/>
              </w:rPr>
              <w:t xml:space="preserve"> avec succès, et un suivi a été </w:t>
            </w:r>
            <w:r w:rsidR="009B5059" w:rsidRPr="003F0D2A">
              <w:rPr>
                <w:rFonts w:asciiTheme="minorHAnsi" w:hAnsiTheme="minorHAnsi" w:cstheme="minorHAnsi"/>
                <w:sz w:val="18"/>
                <w:szCs w:val="18"/>
              </w:rPr>
              <w:t>effectué</w:t>
            </w:r>
            <w:r w:rsidRPr="003F0D2A">
              <w:rPr>
                <w:rFonts w:asciiTheme="minorHAnsi" w:hAnsiTheme="minorHAnsi" w:cstheme="minorHAnsi"/>
                <w:sz w:val="18"/>
                <w:szCs w:val="18"/>
              </w:rPr>
              <w:t xml:space="preserve"> en 2021</w:t>
            </w:r>
            <w:r w:rsidR="007F43CA" w:rsidRPr="003F0D2A">
              <w:rPr>
                <w:rFonts w:asciiTheme="minorHAnsi" w:hAnsiTheme="minorHAnsi" w:cstheme="minorHAnsi"/>
                <w:sz w:val="18"/>
                <w:szCs w:val="18"/>
              </w:rPr>
              <w:t xml:space="preserve">. </w:t>
            </w:r>
            <w:r w:rsidRPr="003F0D2A">
              <w:rPr>
                <w:rFonts w:asciiTheme="minorHAnsi" w:hAnsiTheme="minorHAnsi" w:cstheme="minorHAnsi"/>
                <w:sz w:val="18"/>
                <w:szCs w:val="18"/>
              </w:rPr>
              <w:t>La totalité des assurés ont désormais migré vers l</w:t>
            </w:r>
            <w:r w:rsidR="00E14E13">
              <w:rPr>
                <w:rFonts w:asciiTheme="minorHAnsi" w:hAnsiTheme="minorHAnsi" w:cstheme="minorHAnsi"/>
                <w:sz w:val="18"/>
                <w:szCs w:val="18"/>
              </w:rPr>
              <w:t>'</w:t>
            </w:r>
            <w:r w:rsidRPr="003F0D2A">
              <w:rPr>
                <w:rFonts w:asciiTheme="minorHAnsi" w:hAnsiTheme="minorHAnsi" w:cstheme="minorHAnsi"/>
                <w:sz w:val="18"/>
                <w:szCs w:val="18"/>
              </w:rPr>
              <w:t>UNSMIS</w:t>
            </w:r>
            <w:r w:rsidR="007F43CA" w:rsidRPr="003F0D2A">
              <w:rPr>
                <w:rFonts w:asciiTheme="minorHAnsi" w:hAnsiTheme="minorHAnsi" w:cstheme="minorHAnsi"/>
                <w:sz w:val="18"/>
                <w:szCs w:val="18"/>
              </w:rPr>
              <w:t xml:space="preserve">. </w:t>
            </w:r>
          </w:p>
          <w:p w14:paraId="0E4A12C9" w14:textId="5414A0FA" w:rsidR="007F43CA" w:rsidRPr="003F0D2A" w:rsidRDefault="007F43CA"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La population d</w:t>
            </w:r>
            <w:r w:rsidR="00E14E13">
              <w:rPr>
                <w:rFonts w:asciiTheme="minorHAnsi" w:hAnsiTheme="minorHAnsi" w:cstheme="minorHAnsi"/>
                <w:sz w:val="18"/>
                <w:szCs w:val="18"/>
              </w:rPr>
              <w:t>'</w:t>
            </w:r>
            <w:r w:rsidRPr="003F0D2A">
              <w:rPr>
                <w:rFonts w:asciiTheme="minorHAnsi" w:hAnsiTheme="minorHAnsi" w:cstheme="minorHAnsi"/>
                <w:sz w:val="18"/>
                <w:szCs w:val="18"/>
              </w:rPr>
              <w:t>assurés, soit 2 987 personnes, a été intégrée avec succès dans l</w:t>
            </w:r>
            <w:r w:rsidR="00E14E13">
              <w:rPr>
                <w:rFonts w:asciiTheme="minorHAnsi" w:hAnsiTheme="minorHAnsi" w:cstheme="minorHAnsi"/>
                <w:sz w:val="18"/>
                <w:szCs w:val="18"/>
              </w:rPr>
              <w:t>'</w:t>
            </w:r>
            <w:r w:rsidRPr="003F0D2A">
              <w:rPr>
                <w:rFonts w:asciiTheme="minorHAnsi" w:hAnsiTheme="minorHAnsi" w:cstheme="minorHAnsi"/>
                <w:sz w:val="18"/>
                <w:szCs w:val="18"/>
              </w:rPr>
              <w:t>UNSMIS. Tous les assurés ont rejoint le régime, aucun n</w:t>
            </w:r>
            <w:r w:rsidR="00E14E13">
              <w:rPr>
                <w:rFonts w:asciiTheme="minorHAnsi" w:hAnsiTheme="minorHAnsi" w:cstheme="minorHAnsi"/>
                <w:sz w:val="18"/>
                <w:szCs w:val="18"/>
              </w:rPr>
              <w:t>'</w:t>
            </w:r>
            <w:r w:rsidRPr="003F0D2A">
              <w:rPr>
                <w:rFonts w:asciiTheme="minorHAnsi" w:hAnsiTheme="minorHAnsi" w:cstheme="minorHAnsi"/>
                <w:sz w:val="18"/>
                <w:szCs w:val="18"/>
              </w:rPr>
              <w:t>en a été exclu.</w:t>
            </w:r>
          </w:p>
          <w:p w14:paraId="04E589FF" w14:textId="3771CA12" w:rsidR="007F43CA" w:rsidRPr="003F0D2A" w:rsidRDefault="007F43CA" w:rsidP="001D32F6">
            <w:pPr>
              <w:pStyle w:val="Tabletext"/>
              <w:rPr>
                <w:rFonts w:asciiTheme="minorHAnsi" w:hAnsiTheme="minorHAnsi" w:cstheme="minorHAnsi"/>
                <w:sz w:val="18"/>
                <w:szCs w:val="18"/>
              </w:rPr>
            </w:pPr>
            <w:r w:rsidRPr="003F0D2A">
              <w:rPr>
                <w:rFonts w:asciiTheme="minorHAnsi" w:hAnsiTheme="minorHAnsi" w:cstheme="minorHAnsi"/>
                <w:sz w:val="18"/>
                <w:szCs w:val="18"/>
              </w:rPr>
              <w:t xml:space="preserve">En 2021, des systèmes </w:t>
            </w:r>
            <w:r w:rsidR="006072B3" w:rsidRPr="003F0D2A">
              <w:rPr>
                <w:rFonts w:asciiTheme="minorHAnsi" w:hAnsiTheme="minorHAnsi" w:cstheme="minorHAnsi"/>
                <w:sz w:val="18"/>
                <w:szCs w:val="18"/>
              </w:rPr>
              <w:t xml:space="preserve">ont été mis </w:t>
            </w:r>
            <w:r w:rsidRPr="003F0D2A">
              <w:rPr>
                <w:rFonts w:asciiTheme="minorHAnsi" w:hAnsiTheme="minorHAnsi" w:cstheme="minorHAnsi"/>
                <w:sz w:val="18"/>
                <w:szCs w:val="18"/>
              </w:rPr>
              <w:t>en œuvre pour garantir des vérifications et un équilibre appropriés en ce qui concerne les transactions financières et les données de référence.</w:t>
            </w:r>
          </w:p>
        </w:tc>
      </w:tr>
      <w:bookmarkEnd w:id="13"/>
    </w:tbl>
    <w:p w14:paraId="573F6AB1" w14:textId="77777777" w:rsidR="004C6A2B" w:rsidRDefault="004C6A2B" w:rsidP="001D32F6">
      <w:pPr>
        <w:pStyle w:val="Reasons"/>
      </w:pPr>
    </w:p>
    <w:p w14:paraId="36ECEDC1" w14:textId="77777777" w:rsidR="004C6A2B" w:rsidRDefault="004C6A2B" w:rsidP="001D32F6">
      <w:pPr>
        <w:jc w:val="center"/>
      </w:pPr>
      <w:r>
        <w:t>______________</w:t>
      </w:r>
    </w:p>
    <w:sectPr w:rsidR="004C6A2B" w:rsidSect="007F43CA">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D0D0" w14:textId="77777777" w:rsidR="005628C7" w:rsidRDefault="005628C7">
      <w:r>
        <w:separator/>
      </w:r>
    </w:p>
  </w:endnote>
  <w:endnote w:type="continuationSeparator" w:id="0">
    <w:p w14:paraId="741893B1" w14:textId="77777777" w:rsidR="005628C7" w:rsidRDefault="0056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964F" w14:textId="763A8644" w:rsidR="005628C7" w:rsidRDefault="00BB08BB">
    <w:pPr>
      <w:pStyle w:val="Footer"/>
    </w:pPr>
    <w:r>
      <w:fldChar w:fldCharType="begin"/>
    </w:r>
    <w:r>
      <w:instrText xml:space="preserve"> FILENAME \p \* MERGEFORMAT </w:instrText>
    </w:r>
    <w:r>
      <w:fldChar w:fldCharType="separate"/>
    </w:r>
    <w:r w:rsidR="00790478">
      <w:t>P:\FRA\SG\CONSEIL\C22\000\036F.docx</w:t>
    </w:r>
    <w:r>
      <w:fldChar w:fldCharType="end"/>
    </w:r>
    <w:r w:rsidR="005628C7">
      <w:tab/>
    </w:r>
    <w:r w:rsidR="005628C7">
      <w:fldChar w:fldCharType="begin"/>
    </w:r>
    <w:r w:rsidR="005628C7">
      <w:instrText xml:space="preserve"> savedate \@ dd.MM.yy </w:instrText>
    </w:r>
    <w:r w:rsidR="005628C7">
      <w:fldChar w:fldCharType="separate"/>
    </w:r>
    <w:r>
      <w:t>10.03.22</w:t>
    </w:r>
    <w:r w:rsidR="005628C7">
      <w:fldChar w:fldCharType="end"/>
    </w:r>
    <w:r w:rsidR="005628C7">
      <w:tab/>
    </w:r>
    <w:r w:rsidR="005628C7">
      <w:fldChar w:fldCharType="begin"/>
    </w:r>
    <w:r w:rsidR="005628C7">
      <w:instrText xml:space="preserve"> printdate \@ dd.MM.yy </w:instrText>
    </w:r>
    <w:r w:rsidR="005628C7">
      <w:fldChar w:fldCharType="separate"/>
    </w:r>
    <w:r w:rsidR="00790478">
      <w:t>18.07.00</w:t>
    </w:r>
    <w:r w:rsidR="005628C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A9DA" w14:textId="7AE1E155" w:rsidR="005628C7" w:rsidRPr="00E14E13" w:rsidRDefault="00BB08BB" w:rsidP="00E14E13">
    <w:pPr>
      <w:pStyle w:val="Footer"/>
    </w:pPr>
    <w:r w:rsidRPr="00BB08BB">
      <w:rPr>
        <w:color w:val="F2F2F2" w:themeColor="background1" w:themeShade="F2"/>
      </w:rPr>
      <w:fldChar w:fldCharType="begin"/>
    </w:r>
    <w:r w:rsidRPr="00BB08BB">
      <w:rPr>
        <w:color w:val="F2F2F2" w:themeColor="background1" w:themeShade="F2"/>
      </w:rPr>
      <w:instrText xml:space="preserve"> FILENAME \p  \* MERGEFORMAT </w:instrText>
    </w:r>
    <w:r w:rsidRPr="00BB08BB">
      <w:rPr>
        <w:color w:val="F2F2F2" w:themeColor="background1" w:themeShade="F2"/>
      </w:rPr>
      <w:fldChar w:fldCharType="separate"/>
    </w:r>
    <w:r w:rsidR="00790478" w:rsidRPr="00BB08BB">
      <w:rPr>
        <w:color w:val="F2F2F2" w:themeColor="background1" w:themeShade="F2"/>
      </w:rPr>
      <w:t>P:\FRA\SG\CONSEIL\C22\000\036F.docx</w:t>
    </w:r>
    <w:r w:rsidRPr="00BB08BB">
      <w:rPr>
        <w:color w:val="F2F2F2" w:themeColor="background1" w:themeShade="F2"/>
      </w:rPr>
      <w:fldChar w:fldCharType="end"/>
    </w:r>
    <w:r w:rsidR="005628C7" w:rsidRPr="00BB08BB">
      <w:rPr>
        <w:color w:val="F2F2F2" w:themeColor="background1" w:themeShade="F2"/>
      </w:rPr>
      <w:t xml:space="preserve"> (498306)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64DE" w14:textId="77777777" w:rsidR="005628C7" w:rsidRDefault="005628C7" w:rsidP="004515B9">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73A1" w14:textId="3AD60622" w:rsidR="005628C7" w:rsidRDefault="00BB08BB">
    <w:pPr>
      <w:pStyle w:val="Footer"/>
    </w:pPr>
    <w:r>
      <w:fldChar w:fldCharType="begin"/>
    </w:r>
    <w:r>
      <w:instrText xml:space="preserve"> FILENAME \p \* MERGEFORMAT </w:instrText>
    </w:r>
    <w:r>
      <w:fldChar w:fldCharType="separate"/>
    </w:r>
    <w:r w:rsidR="00790478">
      <w:t>P:\FRA\SG\CONSEIL\C22\000\036F.docx</w:t>
    </w:r>
    <w:r>
      <w:fldChar w:fldCharType="end"/>
    </w:r>
    <w:r w:rsidR="005628C7">
      <w:tab/>
    </w:r>
    <w:r w:rsidR="005628C7">
      <w:fldChar w:fldCharType="begin"/>
    </w:r>
    <w:r w:rsidR="005628C7">
      <w:instrText xml:space="preserve"> savedate \@ dd.MM.yy </w:instrText>
    </w:r>
    <w:r w:rsidR="005628C7">
      <w:fldChar w:fldCharType="separate"/>
    </w:r>
    <w:r>
      <w:t>10.03.22</w:t>
    </w:r>
    <w:r w:rsidR="005628C7">
      <w:fldChar w:fldCharType="end"/>
    </w:r>
    <w:r w:rsidR="005628C7">
      <w:tab/>
    </w:r>
    <w:r w:rsidR="005628C7">
      <w:fldChar w:fldCharType="begin"/>
    </w:r>
    <w:r w:rsidR="005628C7">
      <w:instrText xml:space="preserve"> printdate \@ dd.MM.yy </w:instrText>
    </w:r>
    <w:r w:rsidR="005628C7">
      <w:fldChar w:fldCharType="separate"/>
    </w:r>
    <w:r w:rsidR="00790478">
      <w:t>18.07.00</w:t>
    </w:r>
    <w:r w:rsidR="005628C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4B15" w14:textId="2F704ADC" w:rsidR="005628C7" w:rsidRDefault="00BB08BB" w:rsidP="00E14E13">
    <w:pPr>
      <w:pStyle w:val="Footer"/>
    </w:pPr>
    <w:r w:rsidRPr="00BB08BB">
      <w:rPr>
        <w:color w:val="F2F2F2" w:themeColor="background1" w:themeShade="F2"/>
      </w:rPr>
      <w:fldChar w:fldCharType="begin"/>
    </w:r>
    <w:r w:rsidRPr="00BB08BB">
      <w:rPr>
        <w:color w:val="F2F2F2" w:themeColor="background1" w:themeShade="F2"/>
      </w:rPr>
      <w:instrText xml:space="preserve"> FILENAME \p  \* MERGEFORMAT </w:instrText>
    </w:r>
    <w:r w:rsidRPr="00BB08BB">
      <w:rPr>
        <w:color w:val="F2F2F2" w:themeColor="background1" w:themeShade="F2"/>
      </w:rPr>
      <w:fldChar w:fldCharType="separate"/>
    </w:r>
    <w:r w:rsidR="00790478" w:rsidRPr="00BB08BB">
      <w:rPr>
        <w:color w:val="F2F2F2" w:themeColor="background1" w:themeShade="F2"/>
      </w:rPr>
      <w:t>P:\FRA\SG\CONSEIL\C22\000\036F.docx</w:t>
    </w:r>
    <w:r w:rsidRPr="00BB08BB">
      <w:rPr>
        <w:color w:val="F2F2F2" w:themeColor="background1" w:themeShade="F2"/>
      </w:rPr>
      <w:fldChar w:fldCharType="end"/>
    </w:r>
    <w:r w:rsidR="005628C7" w:rsidRPr="00BB08BB">
      <w:rPr>
        <w:color w:val="F2F2F2" w:themeColor="background1" w:themeShade="F2"/>
      </w:rPr>
      <w:t xml:space="preserve"> (498306)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D6D5" w14:textId="20F4F04B" w:rsidR="005628C7" w:rsidRPr="00E14E13" w:rsidRDefault="00BB08BB" w:rsidP="00E14E13">
    <w:pPr>
      <w:pStyle w:val="Footer"/>
    </w:pPr>
    <w:r w:rsidRPr="00BB08BB">
      <w:rPr>
        <w:color w:val="F2F2F2" w:themeColor="background1" w:themeShade="F2"/>
      </w:rPr>
      <w:fldChar w:fldCharType="begin"/>
    </w:r>
    <w:r w:rsidRPr="00BB08BB">
      <w:rPr>
        <w:color w:val="F2F2F2" w:themeColor="background1" w:themeShade="F2"/>
      </w:rPr>
      <w:instrText xml:space="preserve"> FILENAME \p  \* MERGEFORMAT </w:instrText>
    </w:r>
    <w:r w:rsidRPr="00BB08BB">
      <w:rPr>
        <w:color w:val="F2F2F2" w:themeColor="background1" w:themeShade="F2"/>
      </w:rPr>
      <w:fldChar w:fldCharType="separate"/>
    </w:r>
    <w:r w:rsidR="00790478" w:rsidRPr="00BB08BB">
      <w:rPr>
        <w:color w:val="F2F2F2" w:themeColor="background1" w:themeShade="F2"/>
      </w:rPr>
      <w:t>P:\FRA\SG\CONSEIL\C22\000\036F.docx</w:t>
    </w:r>
    <w:r w:rsidRPr="00BB08BB">
      <w:rPr>
        <w:color w:val="F2F2F2" w:themeColor="background1" w:themeShade="F2"/>
      </w:rPr>
      <w:fldChar w:fldCharType="end"/>
    </w:r>
    <w:r w:rsidR="005628C7" w:rsidRPr="00BB08BB">
      <w:rPr>
        <w:color w:val="F2F2F2" w:themeColor="background1" w:themeShade="F2"/>
      </w:rPr>
      <w:t xml:space="preserve"> (498306)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B3A4" w14:textId="77777777" w:rsidR="005628C7" w:rsidRDefault="005628C7">
      <w:r>
        <w:t>____________________</w:t>
      </w:r>
    </w:p>
  </w:footnote>
  <w:footnote w:type="continuationSeparator" w:id="0">
    <w:p w14:paraId="0322AFCE" w14:textId="77777777" w:rsidR="005628C7" w:rsidRDefault="0056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0191" w14:textId="77777777" w:rsidR="005628C7" w:rsidRDefault="005628C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C06F3D6" w14:textId="77777777" w:rsidR="005628C7" w:rsidRDefault="005628C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7420" w14:textId="69595017" w:rsidR="005628C7" w:rsidRDefault="005628C7" w:rsidP="00475FB3">
    <w:pPr>
      <w:pStyle w:val="Header"/>
    </w:pPr>
    <w:r>
      <w:fldChar w:fldCharType="begin"/>
    </w:r>
    <w:r>
      <w:instrText>PAGE</w:instrText>
    </w:r>
    <w:r>
      <w:fldChar w:fldCharType="separate"/>
    </w:r>
    <w:r w:rsidR="004F1D7C">
      <w:rPr>
        <w:noProof/>
      </w:rPr>
      <w:t>2</w:t>
    </w:r>
    <w:r>
      <w:rPr>
        <w:noProof/>
      </w:rPr>
      <w:fldChar w:fldCharType="end"/>
    </w:r>
  </w:p>
  <w:p w14:paraId="6508C976" w14:textId="752A8B24" w:rsidR="005628C7" w:rsidRDefault="005628C7" w:rsidP="00106B19">
    <w:pPr>
      <w:pStyle w:val="Header"/>
    </w:pPr>
    <w:r>
      <w:t>C22/36-F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1109" w14:textId="77777777" w:rsidR="005628C7" w:rsidRDefault="005628C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7CE777C" w14:textId="77777777" w:rsidR="005628C7" w:rsidRDefault="005628C7">
    <w:pPr>
      <w:pStyle w:val="Header"/>
    </w:pPr>
    <w:r>
      <w:t>C2001/#-F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BCBE" w14:textId="3B2A5D8A" w:rsidR="005628C7" w:rsidRDefault="005628C7" w:rsidP="00475FB3">
    <w:pPr>
      <w:pStyle w:val="Header"/>
    </w:pPr>
    <w:r>
      <w:fldChar w:fldCharType="begin"/>
    </w:r>
    <w:r>
      <w:instrText>PAGE</w:instrText>
    </w:r>
    <w:r>
      <w:fldChar w:fldCharType="separate"/>
    </w:r>
    <w:r w:rsidR="004F1D7C">
      <w:rPr>
        <w:noProof/>
      </w:rPr>
      <w:t>17</w:t>
    </w:r>
    <w:r>
      <w:rPr>
        <w:noProof/>
      </w:rPr>
      <w:fldChar w:fldCharType="end"/>
    </w:r>
  </w:p>
  <w:p w14:paraId="2460BB7D" w14:textId="3011855F" w:rsidR="005628C7" w:rsidRDefault="005628C7" w:rsidP="00E14E13">
    <w:pPr>
      <w:pStyle w:val="Header"/>
      <w:spacing w:after="240"/>
    </w:pPr>
    <w:r>
      <w:t>C22/36-F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FBAF" w14:textId="7BA64C7B" w:rsidR="005628C7" w:rsidRDefault="005628C7" w:rsidP="002F551E">
    <w:pPr>
      <w:pStyle w:val="Header"/>
    </w:pPr>
    <w:r>
      <w:fldChar w:fldCharType="begin"/>
    </w:r>
    <w:r>
      <w:instrText>PAGE</w:instrText>
    </w:r>
    <w:r>
      <w:fldChar w:fldCharType="separate"/>
    </w:r>
    <w:r w:rsidR="004F1D7C">
      <w:rPr>
        <w:noProof/>
      </w:rPr>
      <w:t>3</w:t>
    </w:r>
    <w:r>
      <w:rPr>
        <w:noProof/>
      </w:rPr>
      <w:fldChar w:fldCharType="end"/>
    </w:r>
  </w:p>
  <w:p w14:paraId="7B2F171D" w14:textId="1125420B" w:rsidR="005628C7" w:rsidRDefault="005628C7" w:rsidP="002F551E">
    <w:pPr>
      <w:pStyle w:val="Header"/>
      <w:spacing w:after="240"/>
    </w:pPr>
    <w:r>
      <w:t>C22/36-F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1C79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260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A4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6B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65D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D08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466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181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CEF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3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0261E1"/>
    <w:multiLevelType w:val="hybridMultilevel"/>
    <w:tmpl w:val="A546E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BDD2815"/>
    <w:multiLevelType w:val="hybridMultilevel"/>
    <w:tmpl w:val="D67CF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DC5A85"/>
    <w:multiLevelType w:val="hybridMultilevel"/>
    <w:tmpl w:val="F172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E75081"/>
    <w:multiLevelType w:val="hybridMultilevel"/>
    <w:tmpl w:val="4DD0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8"/>
  </w:num>
  <w:num w:numId="14">
    <w:abstractNumId w:val="12"/>
  </w:num>
  <w:num w:numId="15">
    <w:abstractNumId w:val="16"/>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D"/>
    <w:rsid w:val="00062388"/>
    <w:rsid w:val="00064EC1"/>
    <w:rsid w:val="00097F00"/>
    <w:rsid w:val="000D0D0A"/>
    <w:rsid w:val="00103163"/>
    <w:rsid w:val="00106B19"/>
    <w:rsid w:val="00115D93"/>
    <w:rsid w:val="001247A8"/>
    <w:rsid w:val="001378C0"/>
    <w:rsid w:val="00165EBE"/>
    <w:rsid w:val="001772B0"/>
    <w:rsid w:val="0018694A"/>
    <w:rsid w:val="001A3287"/>
    <w:rsid w:val="001A5C3F"/>
    <w:rsid w:val="001A6508"/>
    <w:rsid w:val="001A66DF"/>
    <w:rsid w:val="001D32F6"/>
    <w:rsid w:val="001D4C31"/>
    <w:rsid w:val="001E4D21"/>
    <w:rsid w:val="001F188B"/>
    <w:rsid w:val="001F79C0"/>
    <w:rsid w:val="00203206"/>
    <w:rsid w:val="00207CD1"/>
    <w:rsid w:val="00214E8E"/>
    <w:rsid w:val="00224624"/>
    <w:rsid w:val="002477A2"/>
    <w:rsid w:val="00263A51"/>
    <w:rsid w:val="00267E02"/>
    <w:rsid w:val="00271943"/>
    <w:rsid w:val="00280101"/>
    <w:rsid w:val="0029041D"/>
    <w:rsid w:val="002930EA"/>
    <w:rsid w:val="002A5D44"/>
    <w:rsid w:val="002E0BC4"/>
    <w:rsid w:val="002F1B76"/>
    <w:rsid w:val="002F551E"/>
    <w:rsid w:val="002F71B3"/>
    <w:rsid w:val="00332E33"/>
    <w:rsid w:val="0033568E"/>
    <w:rsid w:val="00355FF5"/>
    <w:rsid w:val="00361350"/>
    <w:rsid w:val="00386FE3"/>
    <w:rsid w:val="00392325"/>
    <w:rsid w:val="003B01FD"/>
    <w:rsid w:val="003C3FAE"/>
    <w:rsid w:val="003D43F3"/>
    <w:rsid w:val="003F0D2A"/>
    <w:rsid w:val="00402EF4"/>
    <w:rsid w:val="004038CB"/>
    <w:rsid w:val="0040546F"/>
    <w:rsid w:val="0042404A"/>
    <w:rsid w:val="0044618F"/>
    <w:rsid w:val="004515B9"/>
    <w:rsid w:val="00456D4B"/>
    <w:rsid w:val="0046769A"/>
    <w:rsid w:val="00470104"/>
    <w:rsid w:val="00475FB3"/>
    <w:rsid w:val="00483382"/>
    <w:rsid w:val="00492E34"/>
    <w:rsid w:val="004C28B2"/>
    <w:rsid w:val="004C37A9"/>
    <w:rsid w:val="004C3FD3"/>
    <w:rsid w:val="004C6A2B"/>
    <w:rsid w:val="004D1D50"/>
    <w:rsid w:val="004F1D7C"/>
    <w:rsid w:val="004F259E"/>
    <w:rsid w:val="00511F1D"/>
    <w:rsid w:val="00520F36"/>
    <w:rsid w:val="00540615"/>
    <w:rsid w:val="00540A6D"/>
    <w:rsid w:val="00556770"/>
    <w:rsid w:val="005628C7"/>
    <w:rsid w:val="00571EEA"/>
    <w:rsid w:val="00575417"/>
    <w:rsid w:val="005768E1"/>
    <w:rsid w:val="005817FB"/>
    <w:rsid w:val="005A0097"/>
    <w:rsid w:val="005A7175"/>
    <w:rsid w:val="005B1938"/>
    <w:rsid w:val="005C3890"/>
    <w:rsid w:val="005D66A5"/>
    <w:rsid w:val="005E387C"/>
    <w:rsid w:val="005E446A"/>
    <w:rsid w:val="005F7BFE"/>
    <w:rsid w:val="00600017"/>
    <w:rsid w:val="006016BF"/>
    <w:rsid w:val="006072B3"/>
    <w:rsid w:val="006235CA"/>
    <w:rsid w:val="00660B9B"/>
    <w:rsid w:val="006643AB"/>
    <w:rsid w:val="00683D89"/>
    <w:rsid w:val="006B597C"/>
    <w:rsid w:val="006C4562"/>
    <w:rsid w:val="007210CD"/>
    <w:rsid w:val="00723277"/>
    <w:rsid w:val="00732045"/>
    <w:rsid w:val="007369DB"/>
    <w:rsid w:val="00776B49"/>
    <w:rsid w:val="007844FA"/>
    <w:rsid w:val="00790478"/>
    <w:rsid w:val="007956C2"/>
    <w:rsid w:val="007A187E"/>
    <w:rsid w:val="007B0E2C"/>
    <w:rsid w:val="007B6CE7"/>
    <w:rsid w:val="007C70F7"/>
    <w:rsid w:val="007C72C2"/>
    <w:rsid w:val="007D4436"/>
    <w:rsid w:val="007F257A"/>
    <w:rsid w:val="007F3665"/>
    <w:rsid w:val="007F43CA"/>
    <w:rsid w:val="00800037"/>
    <w:rsid w:val="00805F55"/>
    <w:rsid w:val="0083391C"/>
    <w:rsid w:val="00845D00"/>
    <w:rsid w:val="00852168"/>
    <w:rsid w:val="00861D73"/>
    <w:rsid w:val="00897553"/>
    <w:rsid w:val="008A14F8"/>
    <w:rsid w:val="008A4E87"/>
    <w:rsid w:val="008C41F6"/>
    <w:rsid w:val="008D441F"/>
    <w:rsid w:val="008D6B43"/>
    <w:rsid w:val="008D76E6"/>
    <w:rsid w:val="008F0EA4"/>
    <w:rsid w:val="0092392D"/>
    <w:rsid w:val="0093113D"/>
    <w:rsid w:val="0093234A"/>
    <w:rsid w:val="00932AF4"/>
    <w:rsid w:val="0097363B"/>
    <w:rsid w:val="00982BDD"/>
    <w:rsid w:val="009A04A2"/>
    <w:rsid w:val="009A2CAA"/>
    <w:rsid w:val="009A4F65"/>
    <w:rsid w:val="009A611A"/>
    <w:rsid w:val="009B3A00"/>
    <w:rsid w:val="009B5059"/>
    <w:rsid w:val="009C307F"/>
    <w:rsid w:val="009C353C"/>
    <w:rsid w:val="009C6C51"/>
    <w:rsid w:val="009D5E39"/>
    <w:rsid w:val="009F2CE8"/>
    <w:rsid w:val="00A2113E"/>
    <w:rsid w:val="00A23A51"/>
    <w:rsid w:val="00A24607"/>
    <w:rsid w:val="00A25CD3"/>
    <w:rsid w:val="00A55D59"/>
    <w:rsid w:val="00A6162E"/>
    <w:rsid w:val="00A709FE"/>
    <w:rsid w:val="00A82767"/>
    <w:rsid w:val="00A84042"/>
    <w:rsid w:val="00AA1A8B"/>
    <w:rsid w:val="00AA332F"/>
    <w:rsid w:val="00AA7BBB"/>
    <w:rsid w:val="00AB64A8"/>
    <w:rsid w:val="00AB6832"/>
    <w:rsid w:val="00AC0266"/>
    <w:rsid w:val="00AD24EC"/>
    <w:rsid w:val="00B16CB8"/>
    <w:rsid w:val="00B200CD"/>
    <w:rsid w:val="00B309F9"/>
    <w:rsid w:val="00B32B60"/>
    <w:rsid w:val="00B34D4E"/>
    <w:rsid w:val="00B61619"/>
    <w:rsid w:val="00B6324E"/>
    <w:rsid w:val="00B65E51"/>
    <w:rsid w:val="00B91D74"/>
    <w:rsid w:val="00BB08BB"/>
    <w:rsid w:val="00BB4545"/>
    <w:rsid w:val="00BB6031"/>
    <w:rsid w:val="00BD54AF"/>
    <w:rsid w:val="00BD5873"/>
    <w:rsid w:val="00BE1098"/>
    <w:rsid w:val="00C04BE3"/>
    <w:rsid w:val="00C204B7"/>
    <w:rsid w:val="00C25D29"/>
    <w:rsid w:val="00C27A7C"/>
    <w:rsid w:val="00C73D61"/>
    <w:rsid w:val="00CA08ED"/>
    <w:rsid w:val="00CA7B94"/>
    <w:rsid w:val="00CF183B"/>
    <w:rsid w:val="00D02EEF"/>
    <w:rsid w:val="00D375CD"/>
    <w:rsid w:val="00D4465A"/>
    <w:rsid w:val="00D553A2"/>
    <w:rsid w:val="00D774D3"/>
    <w:rsid w:val="00D904E8"/>
    <w:rsid w:val="00D97462"/>
    <w:rsid w:val="00DA08C3"/>
    <w:rsid w:val="00DB5A3E"/>
    <w:rsid w:val="00DC22AA"/>
    <w:rsid w:val="00DF74DD"/>
    <w:rsid w:val="00E0391B"/>
    <w:rsid w:val="00E14E13"/>
    <w:rsid w:val="00E152D7"/>
    <w:rsid w:val="00E25AD0"/>
    <w:rsid w:val="00E63488"/>
    <w:rsid w:val="00E75BA3"/>
    <w:rsid w:val="00E83B9B"/>
    <w:rsid w:val="00EA3FE9"/>
    <w:rsid w:val="00EB0160"/>
    <w:rsid w:val="00EB6350"/>
    <w:rsid w:val="00EC2030"/>
    <w:rsid w:val="00ED4558"/>
    <w:rsid w:val="00EE2A9D"/>
    <w:rsid w:val="00F15B57"/>
    <w:rsid w:val="00F427DB"/>
    <w:rsid w:val="00F74C17"/>
    <w:rsid w:val="00F94381"/>
    <w:rsid w:val="00FA5EB1"/>
    <w:rsid w:val="00FA7439"/>
    <w:rsid w:val="00FB066B"/>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9EAB3"/>
  <w15:docId w15:val="{3A0464D7-7BAC-468F-9E11-4290FE80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29041D"/>
    <w:rPr>
      <w:color w:val="605E5C"/>
      <w:shd w:val="clear" w:color="auto" w:fill="E1DFDD"/>
    </w:rPr>
  </w:style>
  <w:style w:type="character" w:customStyle="1" w:styleId="UnresolvedMention10">
    <w:name w:val="Unresolved Mention1"/>
    <w:basedOn w:val="DefaultParagraphFont"/>
    <w:uiPriority w:val="99"/>
    <w:semiHidden/>
    <w:unhideWhenUsed/>
    <w:rsid w:val="0029041D"/>
    <w:rPr>
      <w:color w:val="605E5C"/>
      <w:shd w:val="clear" w:color="auto" w:fill="E1DFDD"/>
    </w:rPr>
  </w:style>
  <w:style w:type="character" w:customStyle="1" w:styleId="UnresolvedMention2">
    <w:name w:val="Unresolved Mention2"/>
    <w:basedOn w:val="DefaultParagraphFont"/>
    <w:uiPriority w:val="99"/>
    <w:semiHidden/>
    <w:unhideWhenUsed/>
    <w:rsid w:val="0029041D"/>
    <w:rPr>
      <w:color w:val="605E5C"/>
      <w:shd w:val="clear" w:color="auto" w:fill="E1DFDD"/>
    </w:rPr>
  </w:style>
  <w:style w:type="character" w:styleId="Strong">
    <w:name w:val="Strong"/>
    <w:basedOn w:val="DefaultParagraphFont"/>
    <w:uiPriority w:val="22"/>
    <w:qFormat/>
    <w:rsid w:val="0029041D"/>
    <w:rPr>
      <w:b/>
      <w:bCs/>
    </w:rPr>
  </w:style>
  <w:style w:type="character" w:styleId="CommentReference">
    <w:name w:val="annotation reference"/>
    <w:basedOn w:val="DefaultParagraphFont"/>
    <w:semiHidden/>
    <w:unhideWhenUsed/>
    <w:rsid w:val="0029041D"/>
    <w:rPr>
      <w:sz w:val="16"/>
      <w:szCs w:val="16"/>
    </w:rPr>
  </w:style>
  <w:style w:type="paragraph" w:styleId="CommentText">
    <w:name w:val="annotation text"/>
    <w:basedOn w:val="Normal"/>
    <w:link w:val="CommentTextChar"/>
    <w:semiHidden/>
    <w:unhideWhenUsed/>
    <w:rsid w:val="0029041D"/>
    <w:rPr>
      <w:sz w:val="20"/>
    </w:rPr>
  </w:style>
  <w:style w:type="character" w:customStyle="1" w:styleId="CommentTextChar">
    <w:name w:val="Comment Text Char"/>
    <w:basedOn w:val="DefaultParagraphFont"/>
    <w:link w:val="CommentText"/>
    <w:semiHidden/>
    <w:rsid w:val="0029041D"/>
    <w:rPr>
      <w:rFonts w:ascii="Calibri" w:hAnsi="Calibri"/>
      <w:lang w:val="fr-FR" w:eastAsia="en-US"/>
    </w:rPr>
  </w:style>
  <w:style w:type="paragraph" w:styleId="CommentSubject">
    <w:name w:val="annotation subject"/>
    <w:basedOn w:val="CommentText"/>
    <w:next w:val="CommentText"/>
    <w:link w:val="CommentSubjectChar"/>
    <w:semiHidden/>
    <w:unhideWhenUsed/>
    <w:rsid w:val="0029041D"/>
    <w:rPr>
      <w:b/>
      <w:bCs/>
    </w:rPr>
  </w:style>
  <w:style w:type="character" w:customStyle="1" w:styleId="CommentSubjectChar">
    <w:name w:val="Comment Subject Char"/>
    <w:basedOn w:val="CommentTextChar"/>
    <w:link w:val="CommentSubject"/>
    <w:semiHidden/>
    <w:rsid w:val="0029041D"/>
    <w:rPr>
      <w:rFonts w:ascii="Calibri" w:hAnsi="Calibri"/>
      <w:b/>
      <w:bCs/>
      <w:lang w:val="fr-FR" w:eastAsia="en-US"/>
    </w:rPr>
  </w:style>
  <w:style w:type="paragraph" w:styleId="Revision">
    <w:name w:val="Revision"/>
    <w:hidden/>
    <w:uiPriority w:val="99"/>
    <w:semiHidden/>
    <w:rsid w:val="0029041D"/>
    <w:rPr>
      <w:rFonts w:ascii="Calibri" w:hAnsi="Calibri"/>
      <w:sz w:val="24"/>
      <w:lang w:val="fr-FR" w:eastAsia="en-US"/>
    </w:rPr>
  </w:style>
  <w:style w:type="paragraph" w:styleId="BalloonText">
    <w:name w:val="Balloon Text"/>
    <w:basedOn w:val="Normal"/>
    <w:link w:val="BalloonTextChar"/>
    <w:semiHidden/>
    <w:unhideWhenUsed/>
    <w:rsid w:val="0029041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9041D"/>
    <w:rPr>
      <w:rFonts w:ascii="Segoe UI" w:hAnsi="Segoe UI" w:cs="Segoe UI"/>
      <w:sz w:val="18"/>
      <w:szCs w:val="18"/>
      <w:lang w:val="fr-FR" w:eastAsia="en-US"/>
    </w:rPr>
  </w:style>
  <w:style w:type="character" w:customStyle="1" w:styleId="UnresolvedMention3">
    <w:name w:val="Unresolved Mention3"/>
    <w:basedOn w:val="DefaultParagraphFont"/>
    <w:uiPriority w:val="99"/>
    <w:semiHidden/>
    <w:unhideWhenUsed/>
    <w:rsid w:val="0029041D"/>
    <w:rPr>
      <w:color w:val="605E5C"/>
      <w:shd w:val="clear" w:color="auto" w:fill="E1DFDD"/>
    </w:rPr>
  </w:style>
  <w:style w:type="table" w:styleId="TableGrid">
    <w:name w:val="Table Grid"/>
    <w:basedOn w:val="TableNormal"/>
    <w:uiPriority w:val="39"/>
    <w:rsid w:val="0029041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29041D"/>
    <w:rPr>
      <w:rFonts w:ascii="Calibri" w:eastAsiaTheme="minorHAnsi" w:hAnsi="Calibri" w:cs="Calibri"/>
      <w:lang w:val="en-GB" w:eastAsia="en-US"/>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29041D"/>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eastAsiaTheme="minorHAnsi" w:cs="Calibri"/>
      <w:sz w:val="20"/>
      <w:lang w:val="en-GB"/>
    </w:rPr>
  </w:style>
  <w:style w:type="character" w:customStyle="1" w:styleId="HeaderChar">
    <w:name w:val="Header Char"/>
    <w:aliases w:val="encabezado Char"/>
    <w:basedOn w:val="DefaultParagraphFont"/>
    <w:link w:val="Header"/>
    <w:locked/>
    <w:rsid w:val="0029041D"/>
    <w:rPr>
      <w:rFonts w:ascii="Calibri" w:hAnsi="Calibri"/>
      <w:sz w:val="18"/>
      <w:lang w:val="fr-FR" w:eastAsia="en-US"/>
    </w:rPr>
  </w:style>
  <w:style w:type="character" w:customStyle="1" w:styleId="FootnoteTextChar">
    <w:name w:val="Footnote Text Char"/>
    <w:basedOn w:val="DefaultParagraphFont"/>
    <w:link w:val="FootnoteText"/>
    <w:uiPriority w:val="99"/>
    <w:rsid w:val="0029041D"/>
    <w:rPr>
      <w:rFonts w:ascii="Calibri" w:hAnsi="Calibri"/>
      <w:sz w:val="24"/>
      <w:lang w:val="fr-FR" w:eastAsia="en-US"/>
    </w:rPr>
  </w:style>
  <w:style w:type="character" w:customStyle="1" w:styleId="FooterChar">
    <w:name w:val="Footer Char"/>
    <w:basedOn w:val="DefaultParagraphFont"/>
    <w:link w:val="Footer"/>
    <w:rsid w:val="0029041D"/>
    <w:rPr>
      <w:rFonts w:ascii="Calibri" w:hAnsi="Calibri"/>
      <w:caps/>
      <w:noProof/>
      <w:sz w:val="16"/>
      <w:lang w:val="fr-FR" w:eastAsia="en-US"/>
    </w:rPr>
  </w:style>
  <w:style w:type="character" w:customStyle="1" w:styleId="NormalaftertitleChar">
    <w:name w:val="Normal after title Char"/>
    <w:basedOn w:val="DefaultParagraphFont"/>
    <w:link w:val="Normalaftertitle"/>
    <w:rsid w:val="0029041D"/>
    <w:rPr>
      <w:rFonts w:ascii="Calibri" w:hAnsi="Calibri"/>
      <w:sz w:val="24"/>
      <w:lang w:val="fr-FR" w:eastAsia="en-US"/>
    </w:rPr>
  </w:style>
  <w:style w:type="character" w:customStyle="1" w:styleId="RestitleChar">
    <w:name w:val="Res_title Char"/>
    <w:basedOn w:val="DefaultParagraphFont"/>
    <w:link w:val="Restitle"/>
    <w:rsid w:val="0029041D"/>
    <w:rPr>
      <w:rFonts w:ascii="Calibri" w:hAnsi="Calibri"/>
      <w:b/>
      <w:sz w:val="28"/>
      <w:lang w:val="fr-FR" w:eastAsia="en-US"/>
    </w:rPr>
  </w:style>
  <w:style w:type="character" w:customStyle="1" w:styleId="CallChar">
    <w:name w:val="Call Char"/>
    <w:basedOn w:val="DefaultParagraphFont"/>
    <w:link w:val="Call"/>
    <w:rsid w:val="0029041D"/>
    <w:rPr>
      <w:rFonts w:ascii="Calibri" w:hAnsi="Calibri"/>
      <w:i/>
      <w:sz w:val="24"/>
      <w:lang w:val="fr-FR" w:eastAsia="en-US"/>
    </w:rPr>
  </w:style>
  <w:style w:type="paragraph" w:customStyle="1" w:styleId="Default">
    <w:name w:val="Default"/>
    <w:rsid w:val="0029041D"/>
    <w:pPr>
      <w:autoSpaceDE w:val="0"/>
      <w:autoSpaceDN w:val="0"/>
      <w:adjustRightInd w:val="0"/>
    </w:pPr>
    <w:rPr>
      <w:rFonts w:ascii="Times New Roman" w:eastAsiaTheme="minorHAnsi" w:hAnsi="Times New Roman"/>
      <w:color w:val="000000"/>
      <w:sz w:val="24"/>
      <w:szCs w:val="24"/>
      <w:lang w:val="en-GB" w:eastAsia="en-US"/>
    </w:rPr>
  </w:style>
  <w:style w:type="paragraph" w:styleId="NormalWeb">
    <w:name w:val="Normal (Web)"/>
    <w:basedOn w:val="Normal"/>
    <w:uiPriority w:val="99"/>
    <w:semiHidden/>
    <w:unhideWhenUsed/>
    <w:rsid w:val="0029041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fr-FR"/>
    </w:rPr>
  </w:style>
  <w:style w:type="character" w:customStyle="1" w:styleId="UnresolvedMention4">
    <w:name w:val="Unresolved Mention4"/>
    <w:basedOn w:val="DefaultParagraphFont"/>
    <w:uiPriority w:val="99"/>
    <w:semiHidden/>
    <w:unhideWhenUsed/>
    <w:rsid w:val="001D3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48-F.pdf"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itu.int/md/S22-CL-INF-0006/en"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itu.int/md/S21-CL-C-0054/en"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28</Pages>
  <Words>7112</Words>
  <Characters>40405</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47423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2022</dc:subject>
  <dc:creator>French</dc:creator>
  <cp:keywords>C22, C2022, Council-22</cp:keywords>
  <dc:description/>
  <cp:lastModifiedBy>Xue, Kun</cp:lastModifiedBy>
  <cp:revision>2</cp:revision>
  <cp:lastPrinted>2000-07-18T08:55:00Z</cp:lastPrinted>
  <dcterms:created xsi:type="dcterms:W3CDTF">2022-03-15T09:36:00Z</dcterms:created>
  <dcterms:modified xsi:type="dcterms:W3CDTF">2022-03-15T09:36:00Z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